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D7180" w14:textId="77777777" w:rsidR="00CF4685" w:rsidRPr="00CF4685" w:rsidRDefault="00CF4685" w:rsidP="0047456A">
      <w:pPr>
        <w:pStyle w:val="Default"/>
        <w:spacing w:line="276" w:lineRule="auto"/>
      </w:pPr>
    </w:p>
    <w:p w14:paraId="1437EED4" w14:textId="77777777" w:rsidR="0047456A" w:rsidRDefault="0047456A" w:rsidP="0047456A">
      <w:pPr>
        <w:pStyle w:val="Default"/>
        <w:spacing w:line="276" w:lineRule="auto"/>
        <w:jc w:val="center"/>
        <w:rPr>
          <w:b/>
          <w:bCs/>
          <w:sz w:val="48"/>
          <w:szCs w:val="48"/>
        </w:rPr>
      </w:pPr>
    </w:p>
    <w:p w14:paraId="40D1FEC0" w14:textId="77777777" w:rsidR="0047456A" w:rsidRPr="0047456A" w:rsidRDefault="0047456A" w:rsidP="0047456A">
      <w:pPr>
        <w:pStyle w:val="Default"/>
        <w:spacing w:line="276" w:lineRule="auto"/>
        <w:jc w:val="center"/>
        <w:rPr>
          <w:bCs/>
          <w:sz w:val="48"/>
          <w:szCs w:val="48"/>
        </w:rPr>
      </w:pPr>
    </w:p>
    <w:p w14:paraId="5326ED61" w14:textId="77777777" w:rsidR="0047456A" w:rsidRPr="0047456A" w:rsidRDefault="008A505E" w:rsidP="0047456A">
      <w:pPr>
        <w:pStyle w:val="Default"/>
        <w:spacing w:line="276" w:lineRule="auto"/>
        <w:jc w:val="center"/>
        <w:rPr>
          <w:rFonts w:ascii="Diplomacy Office Bold" w:hAnsi="Diplomacy Office Bold"/>
          <w:bCs/>
          <w:sz w:val="48"/>
          <w:szCs w:val="48"/>
        </w:rPr>
      </w:pPr>
      <w:r w:rsidRPr="0047456A">
        <w:rPr>
          <w:rFonts w:ascii="Diplomacy Office Bold" w:hAnsi="Diplomacy Office Bold"/>
          <w:bCs/>
          <w:sz w:val="48"/>
          <w:szCs w:val="48"/>
        </w:rPr>
        <w:t>R</w:t>
      </w:r>
      <w:r w:rsidR="0047456A" w:rsidRPr="0047456A">
        <w:rPr>
          <w:rFonts w:ascii="Diplomacy Office Bold" w:hAnsi="Diplomacy Office Bold"/>
          <w:bCs/>
          <w:sz w:val="48"/>
          <w:szCs w:val="48"/>
        </w:rPr>
        <w:t xml:space="preserve">etningslinjer for </w:t>
      </w:r>
    </w:p>
    <w:p w14:paraId="176D9615" w14:textId="77777777" w:rsidR="00CF4685" w:rsidRPr="0047456A" w:rsidRDefault="00077DD8" w:rsidP="0047456A">
      <w:pPr>
        <w:pStyle w:val="Default"/>
        <w:spacing w:line="276" w:lineRule="auto"/>
        <w:jc w:val="center"/>
        <w:rPr>
          <w:rFonts w:ascii="Diplomacy Office Bold" w:hAnsi="Diplomacy Office Bold"/>
          <w:sz w:val="48"/>
          <w:szCs w:val="48"/>
        </w:rPr>
      </w:pPr>
      <w:r>
        <w:rPr>
          <w:rFonts w:ascii="Diplomacy Office Bold" w:hAnsi="Diplomacy Office Bold"/>
          <w:bCs/>
          <w:sz w:val="48"/>
          <w:szCs w:val="48"/>
        </w:rPr>
        <w:t xml:space="preserve">Tilskudsforvaltning gennem danske </w:t>
      </w:r>
      <w:r w:rsidR="00005BF5">
        <w:rPr>
          <w:rFonts w:ascii="Diplomacy Office Bold" w:hAnsi="Diplomacy Office Bold"/>
          <w:bCs/>
          <w:sz w:val="48"/>
          <w:szCs w:val="48"/>
        </w:rPr>
        <w:t>Civilsamfunds</w:t>
      </w:r>
      <w:r>
        <w:rPr>
          <w:rFonts w:ascii="Diplomacy Office Bold" w:hAnsi="Diplomacy Office Bold"/>
          <w:bCs/>
          <w:sz w:val="48"/>
          <w:szCs w:val="48"/>
        </w:rPr>
        <w:t>organisationer</w:t>
      </w:r>
    </w:p>
    <w:p w14:paraId="6223500F" w14:textId="77777777" w:rsidR="0047456A" w:rsidRDefault="0047456A" w:rsidP="0047456A">
      <w:pPr>
        <w:pStyle w:val="Default"/>
        <w:spacing w:line="276" w:lineRule="auto"/>
        <w:jc w:val="center"/>
        <w:rPr>
          <w:rFonts w:ascii="Diplomacy Office Bold" w:hAnsi="Diplomacy Office Bold"/>
          <w:bCs/>
          <w:sz w:val="32"/>
          <w:szCs w:val="32"/>
        </w:rPr>
      </w:pPr>
    </w:p>
    <w:p w14:paraId="7FC344A2" w14:textId="357C942C" w:rsidR="00CF4685" w:rsidRPr="0047456A" w:rsidRDefault="00C766EB" w:rsidP="0047456A">
      <w:pPr>
        <w:pStyle w:val="Default"/>
        <w:spacing w:line="276" w:lineRule="auto"/>
        <w:jc w:val="center"/>
        <w:rPr>
          <w:rFonts w:ascii="Diplomacy Office Bold" w:hAnsi="Diplomacy Office Bold"/>
          <w:sz w:val="32"/>
          <w:szCs w:val="32"/>
        </w:rPr>
      </w:pPr>
      <w:r>
        <w:rPr>
          <w:rFonts w:ascii="Diplomacy Office Bold" w:hAnsi="Diplomacy Office Bold"/>
          <w:bCs/>
          <w:sz w:val="32"/>
          <w:szCs w:val="32"/>
        </w:rPr>
        <w:t>Marts 2021</w:t>
      </w:r>
    </w:p>
    <w:p w14:paraId="012CFE5B" w14:textId="77777777" w:rsidR="00CF4685" w:rsidRPr="00CF4685" w:rsidRDefault="00CF4685" w:rsidP="0047456A">
      <w:pPr>
        <w:pStyle w:val="Default"/>
        <w:spacing w:line="276" w:lineRule="auto"/>
        <w:rPr>
          <w:rFonts w:cstheme="minorBidi"/>
          <w:color w:val="auto"/>
        </w:rPr>
      </w:pPr>
    </w:p>
    <w:p w14:paraId="36269425" w14:textId="77777777" w:rsidR="003C6EF6" w:rsidRDefault="003C6EF6" w:rsidP="0047456A">
      <w:pPr>
        <w:pStyle w:val="Default"/>
        <w:pageBreakBefore/>
        <w:spacing w:line="276" w:lineRule="auto"/>
        <w:rPr>
          <w:rFonts w:ascii="Diplomacy Office Bold" w:hAnsi="Diplomacy Office Bold" w:cstheme="minorBidi"/>
          <w:bCs/>
          <w:color w:val="auto"/>
        </w:rPr>
      </w:pPr>
      <w:bookmarkStart w:id="0" w:name="_GoBack"/>
      <w:bookmarkEnd w:id="0"/>
    </w:p>
    <w:sdt>
      <w:sdtPr>
        <w:rPr>
          <w:rFonts w:ascii="Verdana" w:eastAsiaTheme="minorHAnsi" w:hAnsi="Verdana" w:cstheme="minorBidi"/>
          <w:sz w:val="20"/>
          <w:szCs w:val="20"/>
          <w:lang w:eastAsia="en-US"/>
        </w:rPr>
        <w:id w:val="-1801144430"/>
        <w:docPartObj>
          <w:docPartGallery w:val="Table of Contents"/>
          <w:docPartUnique/>
        </w:docPartObj>
      </w:sdtPr>
      <w:sdtEndPr>
        <w:rPr>
          <w:rFonts w:ascii="Garamond" w:hAnsi="Garamond"/>
          <w:b/>
          <w:bCs/>
          <w:sz w:val="24"/>
          <w:szCs w:val="24"/>
        </w:rPr>
      </w:sdtEndPr>
      <w:sdtContent>
        <w:p w14:paraId="010E13EE" w14:textId="77777777" w:rsidR="003C6EF6" w:rsidRDefault="003C6EF6">
          <w:pPr>
            <w:pStyle w:val="Overskrift"/>
          </w:pPr>
          <w:r>
            <w:t>Indhold</w:t>
          </w:r>
        </w:p>
        <w:p w14:paraId="141F5127" w14:textId="77777777" w:rsidR="00FD2EDB" w:rsidRPr="00AC392B" w:rsidRDefault="0034069A" w:rsidP="0034069A">
          <w:pPr>
            <w:tabs>
              <w:tab w:val="left" w:pos="4495"/>
            </w:tabs>
            <w:rPr>
              <w:rFonts w:ascii="Garamond" w:hAnsi="Garamond"/>
              <w:lang w:eastAsia="da-DK"/>
            </w:rPr>
          </w:pPr>
          <w:r w:rsidRPr="00AC392B">
            <w:rPr>
              <w:rFonts w:ascii="Garamond" w:hAnsi="Garamond"/>
              <w:lang w:eastAsia="da-DK"/>
            </w:rPr>
            <w:tab/>
          </w:r>
        </w:p>
        <w:p w14:paraId="73CC8DF5" w14:textId="3B5BC985" w:rsidR="00FF6C0F" w:rsidRPr="00FF6C0F" w:rsidRDefault="003C6EF6">
          <w:pPr>
            <w:pStyle w:val="Indholdsfortegnelse1"/>
            <w:tabs>
              <w:tab w:val="right" w:leader="dot" w:pos="10055"/>
            </w:tabs>
            <w:rPr>
              <w:rFonts w:ascii="Garamond" w:eastAsiaTheme="minorEastAsia" w:hAnsi="Garamond"/>
              <w:noProof/>
              <w:sz w:val="24"/>
              <w:szCs w:val="24"/>
              <w:lang w:val="en-GB" w:eastAsia="en-GB"/>
            </w:rPr>
          </w:pPr>
          <w:r w:rsidRPr="00AC392B">
            <w:rPr>
              <w:rFonts w:ascii="Garamond" w:hAnsi="Garamond"/>
              <w:sz w:val="24"/>
              <w:szCs w:val="24"/>
            </w:rPr>
            <w:fldChar w:fldCharType="begin"/>
          </w:r>
          <w:r w:rsidRPr="00AC392B">
            <w:rPr>
              <w:rFonts w:ascii="Garamond" w:hAnsi="Garamond"/>
              <w:sz w:val="24"/>
              <w:szCs w:val="24"/>
            </w:rPr>
            <w:instrText xml:space="preserve"> TOC \o "1-3" \h \z \u </w:instrText>
          </w:r>
          <w:r w:rsidRPr="00AC392B">
            <w:rPr>
              <w:rFonts w:ascii="Garamond" w:hAnsi="Garamond"/>
              <w:sz w:val="24"/>
              <w:szCs w:val="24"/>
            </w:rPr>
            <w:fldChar w:fldCharType="separate"/>
          </w:r>
          <w:hyperlink w:anchor="_Toc67665615" w:history="1">
            <w:r w:rsidR="00FF6C0F" w:rsidRPr="00FF6C0F">
              <w:rPr>
                <w:rStyle w:val="Hyperlink"/>
                <w:rFonts w:ascii="Garamond" w:hAnsi="Garamond"/>
                <w:noProof/>
                <w:sz w:val="24"/>
                <w:szCs w:val="24"/>
              </w:rPr>
              <w:t>1. Indledning</w:t>
            </w:r>
            <w:r w:rsidR="00FF6C0F" w:rsidRPr="00FF6C0F">
              <w:rPr>
                <w:rFonts w:ascii="Garamond" w:hAnsi="Garamond"/>
                <w:noProof/>
                <w:webHidden/>
                <w:sz w:val="24"/>
                <w:szCs w:val="24"/>
              </w:rPr>
              <w:tab/>
            </w:r>
            <w:r w:rsidR="00FF6C0F" w:rsidRPr="00FF6C0F">
              <w:rPr>
                <w:rFonts w:ascii="Garamond" w:hAnsi="Garamond"/>
                <w:noProof/>
                <w:webHidden/>
                <w:sz w:val="24"/>
                <w:szCs w:val="24"/>
              </w:rPr>
              <w:fldChar w:fldCharType="begin"/>
            </w:r>
            <w:r w:rsidR="00FF6C0F" w:rsidRPr="00FF6C0F">
              <w:rPr>
                <w:rFonts w:ascii="Garamond" w:hAnsi="Garamond"/>
                <w:noProof/>
                <w:webHidden/>
                <w:sz w:val="24"/>
                <w:szCs w:val="24"/>
              </w:rPr>
              <w:instrText xml:space="preserve"> PAGEREF _Toc67665615 \h </w:instrText>
            </w:r>
            <w:r w:rsidR="00FF6C0F" w:rsidRPr="00FF6C0F">
              <w:rPr>
                <w:rFonts w:ascii="Garamond" w:hAnsi="Garamond"/>
                <w:noProof/>
                <w:webHidden/>
                <w:sz w:val="24"/>
                <w:szCs w:val="24"/>
              </w:rPr>
            </w:r>
            <w:r w:rsidR="00FF6C0F" w:rsidRPr="00FF6C0F">
              <w:rPr>
                <w:rFonts w:ascii="Garamond" w:hAnsi="Garamond"/>
                <w:noProof/>
                <w:webHidden/>
                <w:sz w:val="24"/>
                <w:szCs w:val="24"/>
              </w:rPr>
              <w:fldChar w:fldCharType="separate"/>
            </w:r>
            <w:r w:rsidR="00D84A0A">
              <w:rPr>
                <w:rFonts w:ascii="Garamond" w:hAnsi="Garamond"/>
                <w:noProof/>
                <w:webHidden/>
                <w:sz w:val="24"/>
                <w:szCs w:val="24"/>
              </w:rPr>
              <w:t>3</w:t>
            </w:r>
            <w:r w:rsidR="00FF6C0F" w:rsidRPr="00FF6C0F">
              <w:rPr>
                <w:rFonts w:ascii="Garamond" w:hAnsi="Garamond"/>
                <w:noProof/>
                <w:webHidden/>
                <w:sz w:val="24"/>
                <w:szCs w:val="24"/>
              </w:rPr>
              <w:fldChar w:fldCharType="end"/>
            </w:r>
          </w:hyperlink>
        </w:p>
        <w:p w14:paraId="096ED2C3" w14:textId="26EB02AF" w:rsidR="00FF6C0F" w:rsidRPr="00FF6C0F" w:rsidRDefault="00FF6C0F">
          <w:pPr>
            <w:pStyle w:val="Indholdsfortegnelse1"/>
            <w:tabs>
              <w:tab w:val="right" w:leader="dot" w:pos="10055"/>
            </w:tabs>
            <w:rPr>
              <w:rFonts w:ascii="Garamond" w:eastAsiaTheme="minorEastAsia" w:hAnsi="Garamond"/>
              <w:noProof/>
              <w:sz w:val="24"/>
              <w:szCs w:val="24"/>
              <w:lang w:val="en-GB" w:eastAsia="en-GB"/>
            </w:rPr>
          </w:pPr>
          <w:hyperlink w:anchor="_Toc67665616" w:history="1">
            <w:r w:rsidRPr="00FF6C0F">
              <w:rPr>
                <w:rStyle w:val="Hyperlink"/>
                <w:rFonts w:ascii="Garamond" w:hAnsi="Garamond"/>
                <w:noProof/>
                <w:sz w:val="24"/>
                <w:szCs w:val="24"/>
              </w:rPr>
              <w:t>2. Den tilskudsmodtagende organisations ansvar og pligter</w:t>
            </w:r>
            <w:r w:rsidRPr="00FF6C0F">
              <w:rPr>
                <w:rFonts w:ascii="Garamond" w:hAnsi="Garamond"/>
                <w:noProof/>
                <w:webHidden/>
                <w:sz w:val="24"/>
                <w:szCs w:val="24"/>
              </w:rPr>
              <w:tab/>
            </w:r>
            <w:r w:rsidRPr="00FF6C0F">
              <w:rPr>
                <w:rFonts w:ascii="Garamond" w:hAnsi="Garamond"/>
                <w:noProof/>
                <w:webHidden/>
                <w:sz w:val="24"/>
                <w:szCs w:val="24"/>
              </w:rPr>
              <w:fldChar w:fldCharType="begin"/>
            </w:r>
            <w:r w:rsidRPr="00FF6C0F">
              <w:rPr>
                <w:rFonts w:ascii="Garamond" w:hAnsi="Garamond"/>
                <w:noProof/>
                <w:webHidden/>
                <w:sz w:val="24"/>
                <w:szCs w:val="24"/>
              </w:rPr>
              <w:instrText xml:space="preserve"> PAGEREF _Toc67665616 \h </w:instrText>
            </w:r>
            <w:r w:rsidRPr="00FF6C0F">
              <w:rPr>
                <w:rFonts w:ascii="Garamond" w:hAnsi="Garamond"/>
                <w:noProof/>
                <w:webHidden/>
                <w:sz w:val="24"/>
                <w:szCs w:val="24"/>
              </w:rPr>
            </w:r>
            <w:r w:rsidRPr="00FF6C0F">
              <w:rPr>
                <w:rFonts w:ascii="Garamond" w:hAnsi="Garamond"/>
                <w:noProof/>
                <w:webHidden/>
                <w:sz w:val="24"/>
                <w:szCs w:val="24"/>
              </w:rPr>
              <w:fldChar w:fldCharType="separate"/>
            </w:r>
            <w:r w:rsidR="00D84A0A">
              <w:rPr>
                <w:rFonts w:ascii="Garamond" w:hAnsi="Garamond"/>
                <w:noProof/>
                <w:webHidden/>
                <w:sz w:val="24"/>
                <w:szCs w:val="24"/>
              </w:rPr>
              <w:t>3</w:t>
            </w:r>
            <w:r w:rsidRPr="00FF6C0F">
              <w:rPr>
                <w:rFonts w:ascii="Garamond" w:hAnsi="Garamond"/>
                <w:noProof/>
                <w:webHidden/>
                <w:sz w:val="24"/>
                <w:szCs w:val="24"/>
              </w:rPr>
              <w:fldChar w:fldCharType="end"/>
            </w:r>
          </w:hyperlink>
        </w:p>
        <w:p w14:paraId="7B9845E6" w14:textId="4D3CC570" w:rsidR="00FF6C0F" w:rsidRPr="00FF6C0F" w:rsidRDefault="00FF6C0F">
          <w:pPr>
            <w:pStyle w:val="Indholdsfortegnelse1"/>
            <w:tabs>
              <w:tab w:val="right" w:leader="dot" w:pos="10055"/>
            </w:tabs>
            <w:rPr>
              <w:rFonts w:ascii="Garamond" w:eastAsiaTheme="minorEastAsia" w:hAnsi="Garamond"/>
              <w:noProof/>
              <w:sz w:val="24"/>
              <w:szCs w:val="24"/>
              <w:lang w:val="en-GB" w:eastAsia="en-GB"/>
            </w:rPr>
          </w:pPr>
          <w:hyperlink w:anchor="_Toc67665617" w:history="1">
            <w:r w:rsidRPr="00FF6C0F">
              <w:rPr>
                <w:rStyle w:val="Hyperlink"/>
                <w:rFonts w:ascii="Garamond" w:hAnsi="Garamond"/>
                <w:noProof/>
                <w:sz w:val="24"/>
                <w:szCs w:val="24"/>
              </w:rPr>
              <w:t>3. Tilskuddets budgettering og anvendelse</w:t>
            </w:r>
            <w:r w:rsidRPr="00FF6C0F">
              <w:rPr>
                <w:rFonts w:ascii="Garamond" w:hAnsi="Garamond"/>
                <w:noProof/>
                <w:webHidden/>
                <w:sz w:val="24"/>
                <w:szCs w:val="24"/>
              </w:rPr>
              <w:tab/>
            </w:r>
            <w:r w:rsidRPr="00FF6C0F">
              <w:rPr>
                <w:rFonts w:ascii="Garamond" w:hAnsi="Garamond"/>
                <w:noProof/>
                <w:webHidden/>
                <w:sz w:val="24"/>
                <w:szCs w:val="24"/>
              </w:rPr>
              <w:fldChar w:fldCharType="begin"/>
            </w:r>
            <w:r w:rsidRPr="00FF6C0F">
              <w:rPr>
                <w:rFonts w:ascii="Garamond" w:hAnsi="Garamond"/>
                <w:noProof/>
                <w:webHidden/>
                <w:sz w:val="24"/>
                <w:szCs w:val="24"/>
              </w:rPr>
              <w:instrText xml:space="preserve"> PAGEREF _Toc67665617 \h </w:instrText>
            </w:r>
            <w:r w:rsidRPr="00FF6C0F">
              <w:rPr>
                <w:rFonts w:ascii="Garamond" w:hAnsi="Garamond"/>
                <w:noProof/>
                <w:webHidden/>
                <w:sz w:val="24"/>
                <w:szCs w:val="24"/>
              </w:rPr>
            </w:r>
            <w:r w:rsidRPr="00FF6C0F">
              <w:rPr>
                <w:rFonts w:ascii="Garamond" w:hAnsi="Garamond"/>
                <w:noProof/>
                <w:webHidden/>
                <w:sz w:val="24"/>
                <w:szCs w:val="24"/>
              </w:rPr>
              <w:fldChar w:fldCharType="separate"/>
            </w:r>
            <w:r w:rsidR="00D84A0A">
              <w:rPr>
                <w:rFonts w:ascii="Garamond" w:hAnsi="Garamond"/>
                <w:noProof/>
                <w:webHidden/>
                <w:sz w:val="24"/>
                <w:szCs w:val="24"/>
              </w:rPr>
              <w:t>4</w:t>
            </w:r>
            <w:r w:rsidRPr="00FF6C0F">
              <w:rPr>
                <w:rFonts w:ascii="Garamond" w:hAnsi="Garamond"/>
                <w:noProof/>
                <w:webHidden/>
                <w:sz w:val="24"/>
                <w:szCs w:val="24"/>
              </w:rPr>
              <w:fldChar w:fldCharType="end"/>
            </w:r>
          </w:hyperlink>
        </w:p>
        <w:p w14:paraId="1BBE7833" w14:textId="5677C677" w:rsidR="00FF6C0F" w:rsidRPr="00FF6C0F" w:rsidRDefault="00FF6C0F">
          <w:pPr>
            <w:pStyle w:val="Indholdsfortegnelse1"/>
            <w:tabs>
              <w:tab w:val="right" w:leader="dot" w:pos="10055"/>
            </w:tabs>
            <w:rPr>
              <w:rFonts w:ascii="Garamond" w:eastAsiaTheme="minorEastAsia" w:hAnsi="Garamond"/>
              <w:noProof/>
              <w:sz w:val="24"/>
              <w:szCs w:val="24"/>
              <w:lang w:val="en-GB" w:eastAsia="en-GB"/>
            </w:rPr>
          </w:pPr>
          <w:hyperlink w:anchor="_Toc67665618" w:history="1">
            <w:r w:rsidRPr="00FF6C0F">
              <w:rPr>
                <w:rStyle w:val="Hyperlink"/>
                <w:rFonts w:ascii="Garamond" w:hAnsi="Garamond"/>
                <w:bCs/>
                <w:noProof/>
                <w:sz w:val="24"/>
                <w:szCs w:val="24"/>
              </w:rPr>
              <w:t>4. Forvaltning af budgettet</w:t>
            </w:r>
            <w:r w:rsidRPr="00FF6C0F">
              <w:rPr>
                <w:rFonts w:ascii="Garamond" w:hAnsi="Garamond"/>
                <w:noProof/>
                <w:webHidden/>
                <w:sz w:val="24"/>
                <w:szCs w:val="24"/>
              </w:rPr>
              <w:tab/>
            </w:r>
            <w:r w:rsidRPr="00FF6C0F">
              <w:rPr>
                <w:rFonts w:ascii="Garamond" w:hAnsi="Garamond"/>
                <w:noProof/>
                <w:webHidden/>
                <w:sz w:val="24"/>
                <w:szCs w:val="24"/>
              </w:rPr>
              <w:fldChar w:fldCharType="begin"/>
            </w:r>
            <w:r w:rsidRPr="00FF6C0F">
              <w:rPr>
                <w:rFonts w:ascii="Garamond" w:hAnsi="Garamond"/>
                <w:noProof/>
                <w:webHidden/>
                <w:sz w:val="24"/>
                <w:szCs w:val="24"/>
              </w:rPr>
              <w:instrText xml:space="preserve"> PAGEREF _Toc67665618 \h </w:instrText>
            </w:r>
            <w:r w:rsidRPr="00FF6C0F">
              <w:rPr>
                <w:rFonts w:ascii="Garamond" w:hAnsi="Garamond"/>
                <w:noProof/>
                <w:webHidden/>
                <w:sz w:val="24"/>
                <w:szCs w:val="24"/>
              </w:rPr>
            </w:r>
            <w:r w:rsidRPr="00FF6C0F">
              <w:rPr>
                <w:rFonts w:ascii="Garamond" w:hAnsi="Garamond"/>
                <w:noProof/>
                <w:webHidden/>
                <w:sz w:val="24"/>
                <w:szCs w:val="24"/>
              </w:rPr>
              <w:fldChar w:fldCharType="separate"/>
            </w:r>
            <w:r w:rsidR="00D84A0A">
              <w:rPr>
                <w:rFonts w:ascii="Garamond" w:hAnsi="Garamond"/>
                <w:noProof/>
                <w:webHidden/>
                <w:sz w:val="24"/>
                <w:szCs w:val="24"/>
              </w:rPr>
              <w:t>4</w:t>
            </w:r>
            <w:r w:rsidRPr="00FF6C0F">
              <w:rPr>
                <w:rFonts w:ascii="Garamond" w:hAnsi="Garamond"/>
                <w:noProof/>
                <w:webHidden/>
                <w:sz w:val="24"/>
                <w:szCs w:val="24"/>
              </w:rPr>
              <w:fldChar w:fldCharType="end"/>
            </w:r>
          </w:hyperlink>
        </w:p>
        <w:p w14:paraId="751608E0" w14:textId="11A647D7" w:rsidR="00FF6C0F" w:rsidRPr="00FF6C0F" w:rsidRDefault="00FF6C0F">
          <w:pPr>
            <w:pStyle w:val="Indholdsfortegnelse1"/>
            <w:tabs>
              <w:tab w:val="right" w:leader="dot" w:pos="10055"/>
            </w:tabs>
            <w:rPr>
              <w:rFonts w:ascii="Garamond" w:eastAsiaTheme="minorEastAsia" w:hAnsi="Garamond"/>
              <w:noProof/>
              <w:sz w:val="24"/>
              <w:szCs w:val="24"/>
              <w:lang w:val="en-GB" w:eastAsia="en-GB"/>
            </w:rPr>
          </w:pPr>
          <w:hyperlink w:anchor="_Toc67665619" w:history="1">
            <w:r w:rsidRPr="00FF6C0F">
              <w:rPr>
                <w:rStyle w:val="Hyperlink"/>
                <w:rFonts w:ascii="Garamond" w:hAnsi="Garamond"/>
                <w:noProof/>
                <w:sz w:val="24"/>
                <w:szCs w:val="24"/>
              </w:rPr>
              <w:t>5. Administrationsudgifter</w:t>
            </w:r>
            <w:r w:rsidRPr="00FF6C0F">
              <w:rPr>
                <w:rFonts w:ascii="Garamond" w:hAnsi="Garamond"/>
                <w:noProof/>
                <w:webHidden/>
                <w:sz w:val="24"/>
                <w:szCs w:val="24"/>
              </w:rPr>
              <w:tab/>
            </w:r>
            <w:r w:rsidRPr="00FF6C0F">
              <w:rPr>
                <w:rFonts w:ascii="Garamond" w:hAnsi="Garamond"/>
                <w:noProof/>
                <w:webHidden/>
                <w:sz w:val="24"/>
                <w:szCs w:val="24"/>
              </w:rPr>
              <w:fldChar w:fldCharType="begin"/>
            </w:r>
            <w:r w:rsidRPr="00FF6C0F">
              <w:rPr>
                <w:rFonts w:ascii="Garamond" w:hAnsi="Garamond"/>
                <w:noProof/>
                <w:webHidden/>
                <w:sz w:val="24"/>
                <w:szCs w:val="24"/>
              </w:rPr>
              <w:instrText xml:space="preserve"> PAGEREF _Toc67665619 \h </w:instrText>
            </w:r>
            <w:r w:rsidRPr="00FF6C0F">
              <w:rPr>
                <w:rFonts w:ascii="Garamond" w:hAnsi="Garamond"/>
                <w:noProof/>
                <w:webHidden/>
                <w:sz w:val="24"/>
                <w:szCs w:val="24"/>
              </w:rPr>
            </w:r>
            <w:r w:rsidRPr="00FF6C0F">
              <w:rPr>
                <w:rFonts w:ascii="Garamond" w:hAnsi="Garamond"/>
                <w:noProof/>
                <w:webHidden/>
                <w:sz w:val="24"/>
                <w:szCs w:val="24"/>
              </w:rPr>
              <w:fldChar w:fldCharType="separate"/>
            </w:r>
            <w:r w:rsidR="00D84A0A">
              <w:rPr>
                <w:rFonts w:ascii="Garamond" w:hAnsi="Garamond"/>
                <w:noProof/>
                <w:webHidden/>
                <w:sz w:val="24"/>
                <w:szCs w:val="24"/>
              </w:rPr>
              <w:t>4</w:t>
            </w:r>
            <w:r w:rsidRPr="00FF6C0F">
              <w:rPr>
                <w:rFonts w:ascii="Garamond" w:hAnsi="Garamond"/>
                <w:noProof/>
                <w:webHidden/>
                <w:sz w:val="24"/>
                <w:szCs w:val="24"/>
              </w:rPr>
              <w:fldChar w:fldCharType="end"/>
            </w:r>
          </w:hyperlink>
        </w:p>
        <w:p w14:paraId="695F7D19" w14:textId="3BFBE78D" w:rsidR="00FF6C0F" w:rsidRPr="00FF6C0F" w:rsidRDefault="00FF6C0F">
          <w:pPr>
            <w:pStyle w:val="Indholdsfortegnelse1"/>
            <w:tabs>
              <w:tab w:val="right" w:leader="dot" w:pos="10055"/>
            </w:tabs>
            <w:rPr>
              <w:rFonts w:ascii="Garamond" w:eastAsiaTheme="minorEastAsia" w:hAnsi="Garamond"/>
              <w:noProof/>
              <w:sz w:val="24"/>
              <w:szCs w:val="24"/>
              <w:lang w:val="en-GB" w:eastAsia="en-GB"/>
            </w:rPr>
          </w:pPr>
          <w:hyperlink w:anchor="_Toc67665620" w:history="1">
            <w:r w:rsidRPr="00FF6C0F">
              <w:rPr>
                <w:rStyle w:val="Hyperlink"/>
                <w:rFonts w:ascii="Garamond" w:hAnsi="Garamond"/>
                <w:noProof/>
                <w:sz w:val="24"/>
                <w:szCs w:val="24"/>
              </w:rPr>
              <w:t>6. Udbetaling af tilskud</w:t>
            </w:r>
            <w:r w:rsidRPr="00FF6C0F">
              <w:rPr>
                <w:rFonts w:ascii="Garamond" w:hAnsi="Garamond"/>
                <w:noProof/>
                <w:webHidden/>
                <w:sz w:val="24"/>
                <w:szCs w:val="24"/>
              </w:rPr>
              <w:tab/>
            </w:r>
            <w:r w:rsidRPr="00FF6C0F">
              <w:rPr>
                <w:rFonts w:ascii="Garamond" w:hAnsi="Garamond"/>
                <w:noProof/>
                <w:webHidden/>
                <w:sz w:val="24"/>
                <w:szCs w:val="24"/>
              </w:rPr>
              <w:fldChar w:fldCharType="begin"/>
            </w:r>
            <w:r w:rsidRPr="00FF6C0F">
              <w:rPr>
                <w:rFonts w:ascii="Garamond" w:hAnsi="Garamond"/>
                <w:noProof/>
                <w:webHidden/>
                <w:sz w:val="24"/>
                <w:szCs w:val="24"/>
              </w:rPr>
              <w:instrText xml:space="preserve"> PAGEREF _Toc67665620 \h </w:instrText>
            </w:r>
            <w:r w:rsidRPr="00FF6C0F">
              <w:rPr>
                <w:rFonts w:ascii="Garamond" w:hAnsi="Garamond"/>
                <w:noProof/>
                <w:webHidden/>
                <w:sz w:val="24"/>
                <w:szCs w:val="24"/>
              </w:rPr>
            </w:r>
            <w:r w:rsidRPr="00FF6C0F">
              <w:rPr>
                <w:rFonts w:ascii="Garamond" w:hAnsi="Garamond"/>
                <w:noProof/>
                <w:webHidden/>
                <w:sz w:val="24"/>
                <w:szCs w:val="24"/>
              </w:rPr>
              <w:fldChar w:fldCharType="separate"/>
            </w:r>
            <w:r w:rsidR="00D84A0A">
              <w:rPr>
                <w:rFonts w:ascii="Garamond" w:hAnsi="Garamond"/>
                <w:noProof/>
                <w:webHidden/>
                <w:sz w:val="24"/>
                <w:szCs w:val="24"/>
              </w:rPr>
              <w:t>5</w:t>
            </w:r>
            <w:r w:rsidRPr="00FF6C0F">
              <w:rPr>
                <w:rFonts w:ascii="Garamond" w:hAnsi="Garamond"/>
                <w:noProof/>
                <w:webHidden/>
                <w:sz w:val="24"/>
                <w:szCs w:val="24"/>
              </w:rPr>
              <w:fldChar w:fldCharType="end"/>
            </w:r>
          </w:hyperlink>
        </w:p>
        <w:p w14:paraId="0F4F0E83" w14:textId="6D951EA1" w:rsidR="00FF6C0F" w:rsidRPr="00FF6C0F" w:rsidRDefault="00FF6C0F">
          <w:pPr>
            <w:pStyle w:val="Indholdsfortegnelse1"/>
            <w:tabs>
              <w:tab w:val="right" w:leader="dot" w:pos="10055"/>
            </w:tabs>
            <w:rPr>
              <w:rFonts w:ascii="Garamond" w:eastAsiaTheme="minorEastAsia" w:hAnsi="Garamond"/>
              <w:noProof/>
              <w:sz w:val="24"/>
              <w:szCs w:val="24"/>
              <w:lang w:val="en-GB" w:eastAsia="en-GB"/>
            </w:rPr>
          </w:pPr>
          <w:hyperlink w:anchor="_Toc67665621" w:history="1">
            <w:r w:rsidRPr="00FF6C0F">
              <w:rPr>
                <w:rStyle w:val="Hyperlink"/>
                <w:rFonts w:ascii="Garamond" w:hAnsi="Garamond"/>
                <w:noProof/>
                <w:sz w:val="24"/>
                <w:szCs w:val="24"/>
              </w:rPr>
              <w:t>7. Rapportering</w:t>
            </w:r>
            <w:r w:rsidRPr="00FF6C0F">
              <w:rPr>
                <w:rFonts w:ascii="Garamond" w:hAnsi="Garamond"/>
                <w:noProof/>
                <w:webHidden/>
                <w:sz w:val="24"/>
                <w:szCs w:val="24"/>
              </w:rPr>
              <w:tab/>
            </w:r>
            <w:r w:rsidRPr="00FF6C0F">
              <w:rPr>
                <w:rFonts w:ascii="Garamond" w:hAnsi="Garamond"/>
                <w:noProof/>
                <w:webHidden/>
                <w:sz w:val="24"/>
                <w:szCs w:val="24"/>
              </w:rPr>
              <w:fldChar w:fldCharType="begin"/>
            </w:r>
            <w:r w:rsidRPr="00FF6C0F">
              <w:rPr>
                <w:rFonts w:ascii="Garamond" w:hAnsi="Garamond"/>
                <w:noProof/>
                <w:webHidden/>
                <w:sz w:val="24"/>
                <w:szCs w:val="24"/>
              </w:rPr>
              <w:instrText xml:space="preserve"> PAGEREF _Toc67665621 \h </w:instrText>
            </w:r>
            <w:r w:rsidRPr="00FF6C0F">
              <w:rPr>
                <w:rFonts w:ascii="Garamond" w:hAnsi="Garamond"/>
                <w:noProof/>
                <w:webHidden/>
                <w:sz w:val="24"/>
                <w:szCs w:val="24"/>
              </w:rPr>
            </w:r>
            <w:r w:rsidRPr="00FF6C0F">
              <w:rPr>
                <w:rFonts w:ascii="Garamond" w:hAnsi="Garamond"/>
                <w:noProof/>
                <w:webHidden/>
                <w:sz w:val="24"/>
                <w:szCs w:val="24"/>
              </w:rPr>
              <w:fldChar w:fldCharType="separate"/>
            </w:r>
            <w:r w:rsidR="00D84A0A">
              <w:rPr>
                <w:rFonts w:ascii="Garamond" w:hAnsi="Garamond"/>
                <w:noProof/>
                <w:webHidden/>
                <w:sz w:val="24"/>
                <w:szCs w:val="24"/>
              </w:rPr>
              <w:t>5</w:t>
            </w:r>
            <w:r w:rsidRPr="00FF6C0F">
              <w:rPr>
                <w:rFonts w:ascii="Garamond" w:hAnsi="Garamond"/>
                <w:noProof/>
                <w:webHidden/>
                <w:sz w:val="24"/>
                <w:szCs w:val="24"/>
              </w:rPr>
              <w:fldChar w:fldCharType="end"/>
            </w:r>
          </w:hyperlink>
        </w:p>
        <w:p w14:paraId="66EC76AD" w14:textId="7990D4CE" w:rsidR="00FF6C0F" w:rsidRPr="00FF6C0F" w:rsidRDefault="00FF6C0F">
          <w:pPr>
            <w:pStyle w:val="Indholdsfortegnelse1"/>
            <w:tabs>
              <w:tab w:val="right" w:leader="dot" w:pos="10055"/>
            </w:tabs>
            <w:rPr>
              <w:rFonts w:ascii="Garamond" w:eastAsiaTheme="minorEastAsia" w:hAnsi="Garamond"/>
              <w:noProof/>
              <w:sz w:val="24"/>
              <w:szCs w:val="24"/>
              <w:lang w:val="en-GB" w:eastAsia="en-GB"/>
            </w:rPr>
          </w:pPr>
          <w:hyperlink w:anchor="_Toc67665622" w:history="1">
            <w:r w:rsidRPr="00FF6C0F">
              <w:rPr>
                <w:rStyle w:val="Hyperlink"/>
                <w:rFonts w:ascii="Garamond" w:hAnsi="Garamond"/>
                <w:noProof/>
                <w:sz w:val="24"/>
                <w:szCs w:val="24"/>
              </w:rPr>
              <w:t>8. Regnskabsaflæggelse</w:t>
            </w:r>
            <w:r w:rsidRPr="00FF6C0F">
              <w:rPr>
                <w:rFonts w:ascii="Garamond" w:hAnsi="Garamond"/>
                <w:noProof/>
                <w:webHidden/>
                <w:sz w:val="24"/>
                <w:szCs w:val="24"/>
              </w:rPr>
              <w:tab/>
            </w:r>
            <w:r w:rsidRPr="00FF6C0F">
              <w:rPr>
                <w:rFonts w:ascii="Garamond" w:hAnsi="Garamond"/>
                <w:noProof/>
                <w:webHidden/>
                <w:sz w:val="24"/>
                <w:szCs w:val="24"/>
              </w:rPr>
              <w:fldChar w:fldCharType="begin"/>
            </w:r>
            <w:r w:rsidRPr="00FF6C0F">
              <w:rPr>
                <w:rFonts w:ascii="Garamond" w:hAnsi="Garamond"/>
                <w:noProof/>
                <w:webHidden/>
                <w:sz w:val="24"/>
                <w:szCs w:val="24"/>
              </w:rPr>
              <w:instrText xml:space="preserve"> PAGEREF _Toc67665622 \h </w:instrText>
            </w:r>
            <w:r w:rsidRPr="00FF6C0F">
              <w:rPr>
                <w:rFonts w:ascii="Garamond" w:hAnsi="Garamond"/>
                <w:noProof/>
                <w:webHidden/>
                <w:sz w:val="24"/>
                <w:szCs w:val="24"/>
              </w:rPr>
            </w:r>
            <w:r w:rsidRPr="00FF6C0F">
              <w:rPr>
                <w:rFonts w:ascii="Garamond" w:hAnsi="Garamond"/>
                <w:noProof/>
                <w:webHidden/>
                <w:sz w:val="24"/>
                <w:szCs w:val="24"/>
              </w:rPr>
              <w:fldChar w:fldCharType="separate"/>
            </w:r>
            <w:r w:rsidR="00D84A0A">
              <w:rPr>
                <w:rFonts w:ascii="Garamond" w:hAnsi="Garamond"/>
                <w:noProof/>
                <w:webHidden/>
                <w:sz w:val="24"/>
                <w:szCs w:val="24"/>
              </w:rPr>
              <w:t>6</w:t>
            </w:r>
            <w:r w:rsidRPr="00FF6C0F">
              <w:rPr>
                <w:rFonts w:ascii="Garamond" w:hAnsi="Garamond"/>
                <w:noProof/>
                <w:webHidden/>
                <w:sz w:val="24"/>
                <w:szCs w:val="24"/>
              </w:rPr>
              <w:fldChar w:fldCharType="end"/>
            </w:r>
          </w:hyperlink>
        </w:p>
        <w:p w14:paraId="1891C8CE" w14:textId="09135FCB" w:rsidR="00FF6C0F" w:rsidRPr="00FF6C0F" w:rsidRDefault="00FF6C0F">
          <w:pPr>
            <w:pStyle w:val="Indholdsfortegnelse1"/>
            <w:tabs>
              <w:tab w:val="right" w:leader="dot" w:pos="10055"/>
            </w:tabs>
            <w:rPr>
              <w:rFonts w:ascii="Garamond" w:eastAsiaTheme="minorEastAsia" w:hAnsi="Garamond"/>
              <w:noProof/>
              <w:sz w:val="24"/>
              <w:szCs w:val="24"/>
              <w:lang w:val="en-GB" w:eastAsia="en-GB"/>
            </w:rPr>
          </w:pPr>
          <w:hyperlink w:anchor="_Toc67665623" w:history="1">
            <w:r w:rsidRPr="00FF6C0F">
              <w:rPr>
                <w:rStyle w:val="Hyperlink"/>
                <w:rFonts w:ascii="Garamond" w:hAnsi="Garamond"/>
                <w:noProof/>
                <w:sz w:val="24"/>
                <w:szCs w:val="24"/>
              </w:rPr>
              <w:t>9. Revision</w:t>
            </w:r>
            <w:r w:rsidRPr="00FF6C0F">
              <w:rPr>
                <w:rFonts w:ascii="Garamond" w:hAnsi="Garamond"/>
                <w:noProof/>
                <w:webHidden/>
                <w:sz w:val="24"/>
                <w:szCs w:val="24"/>
              </w:rPr>
              <w:tab/>
            </w:r>
            <w:r w:rsidRPr="00FF6C0F">
              <w:rPr>
                <w:rFonts w:ascii="Garamond" w:hAnsi="Garamond"/>
                <w:noProof/>
                <w:webHidden/>
                <w:sz w:val="24"/>
                <w:szCs w:val="24"/>
              </w:rPr>
              <w:fldChar w:fldCharType="begin"/>
            </w:r>
            <w:r w:rsidRPr="00FF6C0F">
              <w:rPr>
                <w:rFonts w:ascii="Garamond" w:hAnsi="Garamond"/>
                <w:noProof/>
                <w:webHidden/>
                <w:sz w:val="24"/>
                <w:szCs w:val="24"/>
              </w:rPr>
              <w:instrText xml:space="preserve"> PAGEREF _Toc67665623 \h </w:instrText>
            </w:r>
            <w:r w:rsidRPr="00FF6C0F">
              <w:rPr>
                <w:rFonts w:ascii="Garamond" w:hAnsi="Garamond"/>
                <w:noProof/>
                <w:webHidden/>
                <w:sz w:val="24"/>
                <w:szCs w:val="24"/>
              </w:rPr>
            </w:r>
            <w:r w:rsidRPr="00FF6C0F">
              <w:rPr>
                <w:rFonts w:ascii="Garamond" w:hAnsi="Garamond"/>
                <w:noProof/>
                <w:webHidden/>
                <w:sz w:val="24"/>
                <w:szCs w:val="24"/>
              </w:rPr>
              <w:fldChar w:fldCharType="separate"/>
            </w:r>
            <w:r w:rsidR="00D84A0A">
              <w:rPr>
                <w:rFonts w:ascii="Garamond" w:hAnsi="Garamond"/>
                <w:noProof/>
                <w:webHidden/>
                <w:sz w:val="24"/>
                <w:szCs w:val="24"/>
              </w:rPr>
              <w:t>6</w:t>
            </w:r>
            <w:r w:rsidRPr="00FF6C0F">
              <w:rPr>
                <w:rFonts w:ascii="Garamond" w:hAnsi="Garamond"/>
                <w:noProof/>
                <w:webHidden/>
                <w:sz w:val="24"/>
                <w:szCs w:val="24"/>
              </w:rPr>
              <w:fldChar w:fldCharType="end"/>
            </w:r>
          </w:hyperlink>
        </w:p>
        <w:p w14:paraId="2BD14747" w14:textId="2F954C2A" w:rsidR="00FF6C0F" w:rsidRPr="00FF6C0F" w:rsidRDefault="00FF6C0F">
          <w:pPr>
            <w:pStyle w:val="Indholdsfortegnelse1"/>
            <w:tabs>
              <w:tab w:val="right" w:leader="dot" w:pos="10055"/>
            </w:tabs>
            <w:rPr>
              <w:rFonts w:ascii="Garamond" w:eastAsiaTheme="minorEastAsia" w:hAnsi="Garamond"/>
              <w:noProof/>
              <w:sz w:val="24"/>
              <w:szCs w:val="24"/>
              <w:lang w:val="en-GB" w:eastAsia="en-GB"/>
            </w:rPr>
          </w:pPr>
          <w:hyperlink w:anchor="_Toc67665624" w:history="1">
            <w:r w:rsidRPr="00FF6C0F">
              <w:rPr>
                <w:rStyle w:val="Hyperlink"/>
                <w:rFonts w:ascii="Garamond" w:hAnsi="Garamond"/>
                <w:noProof/>
                <w:sz w:val="24"/>
                <w:szCs w:val="24"/>
              </w:rPr>
              <w:t>10. Udenrigsministeriets tilsyn</w:t>
            </w:r>
            <w:r w:rsidRPr="00FF6C0F">
              <w:rPr>
                <w:rFonts w:ascii="Garamond" w:hAnsi="Garamond"/>
                <w:noProof/>
                <w:webHidden/>
                <w:sz w:val="24"/>
                <w:szCs w:val="24"/>
              </w:rPr>
              <w:tab/>
            </w:r>
            <w:r w:rsidRPr="00FF6C0F">
              <w:rPr>
                <w:rFonts w:ascii="Garamond" w:hAnsi="Garamond"/>
                <w:noProof/>
                <w:webHidden/>
                <w:sz w:val="24"/>
                <w:szCs w:val="24"/>
              </w:rPr>
              <w:fldChar w:fldCharType="begin"/>
            </w:r>
            <w:r w:rsidRPr="00FF6C0F">
              <w:rPr>
                <w:rFonts w:ascii="Garamond" w:hAnsi="Garamond"/>
                <w:noProof/>
                <w:webHidden/>
                <w:sz w:val="24"/>
                <w:szCs w:val="24"/>
              </w:rPr>
              <w:instrText xml:space="preserve"> PAGEREF _Toc67665624 \h </w:instrText>
            </w:r>
            <w:r w:rsidRPr="00FF6C0F">
              <w:rPr>
                <w:rFonts w:ascii="Garamond" w:hAnsi="Garamond"/>
                <w:noProof/>
                <w:webHidden/>
                <w:sz w:val="24"/>
                <w:szCs w:val="24"/>
              </w:rPr>
            </w:r>
            <w:r w:rsidRPr="00FF6C0F">
              <w:rPr>
                <w:rFonts w:ascii="Garamond" w:hAnsi="Garamond"/>
                <w:noProof/>
                <w:webHidden/>
                <w:sz w:val="24"/>
                <w:szCs w:val="24"/>
              </w:rPr>
              <w:fldChar w:fldCharType="separate"/>
            </w:r>
            <w:r w:rsidR="00D84A0A">
              <w:rPr>
                <w:rFonts w:ascii="Garamond" w:hAnsi="Garamond"/>
                <w:noProof/>
                <w:webHidden/>
                <w:sz w:val="24"/>
                <w:szCs w:val="24"/>
              </w:rPr>
              <w:t>7</w:t>
            </w:r>
            <w:r w:rsidRPr="00FF6C0F">
              <w:rPr>
                <w:rFonts w:ascii="Garamond" w:hAnsi="Garamond"/>
                <w:noProof/>
                <w:webHidden/>
                <w:sz w:val="24"/>
                <w:szCs w:val="24"/>
              </w:rPr>
              <w:fldChar w:fldCharType="end"/>
            </w:r>
          </w:hyperlink>
        </w:p>
        <w:p w14:paraId="16A82A5D" w14:textId="0EFAAEBC" w:rsidR="00FF6C0F" w:rsidRPr="00FF6C0F" w:rsidRDefault="00FF6C0F">
          <w:pPr>
            <w:pStyle w:val="Indholdsfortegnelse1"/>
            <w:tabs>
              <w:tab w:val="right" w:leader="dot" w:pos="10055"/>
            </w:tabs>
            <w:rPr>
              <w:rFonts w:ascii="Garamond" w:eastAsiaTheme="minorEastAsia" w:hAnsi="Garamond"/>
              <w:noProof/>
              <w:sz w:val="24"/>
              <w:szCs w:val="24"/>
              <w:lang w:val="en-GB" w:eastAsia="en-GB"/>
            </w:rPr>
          </w:pPr>
          <w:hyperlink w:anchor="_Toc67665625" w:history="1">
            <w:r w:rsidRPr="00FF6C0F">
              <w:rPr>
                <w:rStyle w:val="Hyperlink"/>
                <w:rFonts w:ascii="Garamond" w:hAnsi="Garamond"/>
                <w:noProof/>
                <w:sz w:val="24"/>
                <w:szCs w:val="24"/>
              </w:rPr>
              <w:t>11. Opsigelse af aftaler og voldgiftsbestemmelser</w:t>
            </w:r>
            <w:r w:rsidRPr="00FF6C0F">
              <w:rPr>
                <w:rFonts w:ascii="Garamond" w:hAnsi="Garamond"/>
                <w:noProof/>
                <w:webHidden/>
                <w:sz w:val="24"/>
                <w:szCs w:val="24"/>
              </w:rPr>
              <w:tab/>
            </w:r>
            <w:r w:rsidRPr="00FF6C0F">
              <w:rPr>
                <w:rFonts w:ascii="Garamond" w:hAnsi="Garamond"/>
                <w:noProof/>
                <w:webHidden/>
                <w:sz w:val="24"/>
                <w:szCs w:val="24"/>
              </w:rPr>
              <w:fldChar w:fldCharType="begin"/>
            </w:r>
            <w:r w:rsidRPr="00FF6C0F">
              <w:rPr>
                <w:rFonts w:ascii="Garamond" w:hAnsi="Garamond"/>
                <w:noProof/>
                <w:webHidden/>
                <w:sz w:val="24"/>
                <w:szCs w:val="24"/>
              </w:rPr>
              <w:instrText xml:space="preserve"> PAGEREF _Toc67665625 \h </w:instrText>
            </w:r>
            <w:r w:rsidRPr="00FF6C0F">
              <w:rPr>
                <w:rFonts w:ascii="Garamond" w:hAnsi="Garamond"/>
                <w:noProof/>
                <w:webHidden/>
                <w:sz w:val="24"/>
                <w:szCs w:val="24"/>
              </w:rPr>
            </w:r>
            <w:r w:rsidRPr="00FF6C0F">
              <w:rPr>
                <w:rFonts w:ascii="Garamond" w:hAnsi="Garamond"/>
                <w:noProof/>
                <w:webHidden/>
                <w:sz w:val="24"/>
                <w:szCs w:val="24"/>
              </w:rPr>
              <w:fldChar w:fldCharType="separate"/>
            </w:r>
            <w:r w:rsidR="00D84A0A">
              <w:rPr>
                <w:rFonts w:ascii="Garamond" w:hAnsi="Garamond"/>
                <w:noProof/>
                <w:webHidden/>
                <w:sz w:val="24"/>
                <w:szCs w:val="24"/>
              </w:rPr>
              <w:t>7</w:t>
            </w:r>
            <w:r w:rsidRPr="00FF6C0F">
              <w:rPr>
                <w:rFonts w:ascii="Garamond" w:hAnsi="Garamond"/>
                <w:noProof/>
                <w:webHidden/>
                <w:sz w:val="24"/>
                <w:szCs w:val="24"/>
              </w:rPr>
              <w:fldChar w:fldCharType="end"/>
            </w:r>
          </w:hyperlink>
        </w:p>
        <w:p w14:paraId="4C6DF4C5" w14:textId="3396A562" w:rsidR="00FF6C0F" w:rsidRPr="00FF6C0F" w:rsidRDefault="00FF6C0F">
          <w:pPr>
            <w:pStyle w:val="Indholdsfortegnelse1"/>
            <w:tabs>
              <w:tab w:val="right" w:leader="dot" w:pos="10055"/>
            </w:tabs>
            <w:rPr>
              <w:rFonts w:ascii="Garamond" w:eastAsiaTheme="minorEastAsia" w:hAnsi="Garamond"/>
              <w:noProof/>
              <w:sz w:val="24"/>
              <w:szCs w:val="24"/>
              <w:lang w:val="en-GB" w:eastAsia="en-GB"/>
            </w:rPr>
          </w:pPr>
          <w:hyperlink w:anchor="_Toc67665626" w:history="1">
            <w:r w:rsidRPr="00FF6C0F">
              <w:rPr>
                <w:rStyle w:val="Hyperlink"/>
                <w:rFonts w:ascii="Garamond" w:hAnsi="Garamond"/>
                <w:noProof/>
                <w:sz w:val="24"/>
                <w:szCs w:val="24"/>
              </w:rPr>
              <w:t>12. Oversigt over annekser</w:t>
            </w:r>
            <w:r w:rsidRPr="00FF6C0F">
              <w:rPr>
                <w:rFonts w:ascii="Garamond" w:hAnsi="Garamond"/>
                <w:noProof/>
                <w:webHidden/>
                <w:sz w:val="24"/>
                <w:szCs w:val="24"/>
              </w:rPr>
              <w:tab/>
            </w:r>
            <w:r w:rsidRPr="00FF6C0F">
              <w:rPr>
                <w:rFonts w:ascii="Garamond" w:hAnsi="Garamond"/>
                <w:noProof/>
                <w:webHidden/>
                <w:sz w:val="24"/>
                <w:szCs w:val="24"/>
              </w:rPr>
              <w:fldChar w:fldCharType="begin"/>
            </w:r>
            <w:r w:rsidRPr="00FF6C0F">
              <w:rPr>
                <w:rFonts w:ascii="Garamond" w:hAnsi="Garamond"/>
                <w:noProof/>
                <w:webHidden/>
                <w:sz w:val="24"/>
                <w:szCs w:val="24"/>
              </w:rPr>
              <w:instrText xml:space="preserve"> PAGEREF _Toc67665626 \h </w:instrText>
            </w:r>
            <w:r w:rsidRPr="00FF6C0F">
              <w:rPr>
                <w:rFonts w:ascii="Garamond" w:hAnsi="Garamond"/>
                <w:noProof/>
                <w:webHidden/>
                <w:sz w:val="24"/>
                <w:szCs w:val="24"/>
              </w:rPr>
            </w:r>
            <w:r w:rsidRPr="00FF6C0F">
              <w:rPr>
                <w:rFonts w:ascii="Garamond" w:hAnsi="Garamond"/>
                <w:noProof/>
                <w:webHidden/>
                <w:sz w:val="24"/>
                <w:szCs w:val="24"/>
              </w:rPr>
              <w:fldChar w:fldCharType="separate"/>
            </w:r>
            <w:r w:rsidR="00D84A0A">
              <w:rPr>
                <w:rFonts w:ascii="Garamond" w:hAnsi="Garamond"/>
                <w:noProof/>
                <w:webHidden/>
                <w:sz w:val="24"/>
                <w:szCs w:val="24"/>
              </w:rPr>
              <w:t>8</w:t>
            </w:r>
            <w:r w:rsidRPr="00FF6C0F">
              <w:rPr>
                <w:rFonts w:ascii="Garamond" w:hAnsi="Garamond"/>
                <w:noProof/>
                <w:webHidden/>
                <w:sz w:val="24"/>
                <w:szCs w:val="24"/>
              </w:rPr>
              <w:fldChar w:fldCharType="end"/>
            </w:r>
          </w:hyperlink>
        </w:p>
        <w:p w14:paraId="45ACF92F" w14:textId="47ADDB8D" w:rsidR="00AC392B" w:rsidRDefault="003C6EF6">
          <w:pPr>
            <w:rPr>
              <w:rFonts w:ascii="Garamond" w:hAnsi="Garamond"/>
              <w:sz w:val="24"/>
              <w:szCs w:val="24"/>
            </w:rPr>
          </w:pPr>
          <w:r w:rsidRPr="00AC392B">
            <w:rPr>
              <w:rFonts w:ascii="Garamond" w:hAnsi="Garamond"/>
              <w:b/>
              <w:bCs/>
              <w:sz w:val="24"/>
              <w:szCs w:val="24"/>
            </w:rPr>
            <w:fldChar w:fldCharType="end"/>
          </w:r>
        </w:p>
      </w:sdtContent>
    </w:sdt>
    <w:p w14:paraId="17E06887" w14:textId="77777777" w:rsidR="00AC392B" w:rsidRDefault="00AC392B" w:rsidP="00AC392B">
      <w:pPr>
        <w:ind w:firstLine="1304"/>
        <w:rPr>
          <w:rFonts w:ascii="Garamond" w:hAnsi="Garamond"/>
          <w:sz w:val="24"/>
          <w:szCs w:val="24"/>
        </w:rPr>
      </w:pPr>
    </w:p>
    <w:p w14:paraId="1716BE77" w14:textId="77777777" w:rsidR="003C6EF6" w:rsidRPr="00AC392B" w:rsidRDefault="003C6EF6" w:rsidP="00AC392B">
      <w:pPr>
        <w:rPr>
          <w:rFonts w:ascii="Garamond" w:hAnsi="Garamond"/>
          <w:sz w:val="24"/>
          <w:szCs w:val="24"/>
        </w:rPr>
      </w:pPr>
    </w:p>
    <w:p w14:paraId="5E959047" w14:textId="77777777" w:rsidR="003C6EF6" w:rsidRDefault="003C6EF6" w:rsidP="0047456A">
      <w:pPr>
        <w:pStyle w:val="Default"/>
        <w:pageBreakBefore/>
        <w:spacing w:line="276" w:lineRule="auto"/>
        <w:rPr>
          <w:rFonts w:ascii="Diplomacy Office Bold" w:hAnsi="Diplomacy Office Bold" w:cstheme="minorBidi"/>
          <w:bCs/>
          <w:color w:val="auto"/>
        </w:rPr>
      </w:pPr>
    </w:p>
    <w:p w14:paraId="2ACCE4B6" w14:textId="77777777" w:rsidR="00CF4685" w:rsidRPr="0047456A" w:rsidRDefault="00CF4685" w:rsidP="003C6EF6">
      <w:pPr>
        <w:pStyle w:val="Overskrift1"/>
      </w:pPr>
      <w:bookmarkStart w:id="1" w:name="_Toc67665615"/>
      <w:r w:rsidRPr="0047456A">
        <w:t>1. Indledning</w:t>
      </w:r>
      <w:bookmarkEnd w:id="1"/>
      <w:r w:rsidRPr="0047456A">
        <w:t xml:space="preserve"> </w:t>
      </w:r>
    </w:p>
    <w:p w14:paraId="116EE9B2" w14:textId="77777777" w:rsidR="00CF4685" w:rsidRDefault="00CF4685" w:rsidP="0047456A">
      <w:pPr>
        <w:pStyle w:val="Default"/>
        <w:spacing w:line="276" w:lineRule="auto"/>
        <w:rPr>
          <w:color w:val="auto"/>
        </w:rPr>
      </w:pPr>
      <w:r w:rsidRPr="00CF4685">
        <w:rPr>
          <w:color w:val="auto"/>
        </w:rPr>
        <w:t xml:space="preserve">Nærværende retningslinjer for tilskudsforvaltning gennem danske </w:t>
      </w:r>
      <w:r w:rsidR="000317E3">
        <w:rPr>
          <w:color w:val="auto"/>
        </w:rPr>
        <w:t>civilsamfunds</w:t>
      </w:r>
      <w:r w:rsidRPr="00CF4685">
        <w:rPr>
          <w:color w:val="auto"/>
        </w:rPr>
        <w:t xml:space="preserve">organisationer gælder som udgangspunkt for alle danske organisationer, der modtager tilskud fra Udenrigsministeriet i form af </w:t>
      </w:r>
      <w:r w:rsidR="00910956">
        <w:rPr>
          <w:color w:val="auto"/>
        </w:rPr>
        <w:t xml:space="preserve">enkeltstående </w:t>
      </w:r>
      <w:r w:rsidRPr="00CF4685">
        <w:rPr>
          <w:color w:val="auto"/>
        </w:rPr>
        <w:t xml:space="preserve">bevillinger til </w:t>
      </w:r>
      <w:r w:rsidR="00910956">
        <w:rPr>
          <w:color w:val="auto"/>
        </w:rPr>
        <w:t xml:space="preserve">specifikke </w:t>
      </w:r>
      <w:r w:rsidRPr="00CF4685">
        <w:rPr>
          <w:color w:val="auto"/>
        </w:rPr>
        <w:t>udviklingsindsatser såvel som til humanitære indsatser</w:t>
      </w:r>
      <w:r w:rsidR="00F367D9">
        <w:rPr>
          <w:color w:val="auto"/>
        </w:rPr>
        <w:t>.</w:t>
      </w:r>
      <w:r w:rsidR="00C937E5">
        <w:rPr>
          <w:color w:val="auto"/>
        </w:rPr>
        <w:t xml:space="preserve"> </w:t>
      </w:r>
      <w:r w:rsidRPr="00CF4685">
        <w:rPr>
          <w:color w:val="auto"/>
        </w:rPr>
        <w:t xml:space="preserve"> </w:t>
      </w:r>
    </w:p>
    <w:p w14:paraId="67080164" w14:textId="77777777" w:rsidR="00CF4685" w:rsidRPr="00CF4685" w:rsidRDefault="00CF4685" w:rsidP="0047456A">
      <w:pPr>
        <w:pStyle w:val="Default"/>
        <w:spacing w:line="276" w:lineRule="auto"/>
        <w:rPr>
          <w:color w:val="auto"/>
        </w:rPr>
      </w:pPr>
    </w:p>
    <w:p w14:paraId="392A4E38" w14:textId="77777777" w:rsidR="00CF4685" w:rsidRPr="0047456A" w:rsidRDefault="00CF4685" w:rsidP="003C6EF6">
      <w:pPr>
        <w:pStyle w:val="Overskrift1"/>
      </w:pPr>
      <w:bookmarkStart w:id="2" w:name="_Toc67665616"/>
      <w:r w:rsidRPr="0047456A">
        <w:t>2. Den tilskudsmodtagende organisations ansvar og pligter</w:t>
      </w:r>
      <w:bookmarkEnd w:id="2"/>
      <w:r w:rsidRPr="0047456A">
        <w:t xml:space="preserve"> </w:t>
      </w:r>
    </w:p>
    <w:p w14:paraId="27077B9C" w14:textId="77777777" w:rsidR="00CF4685" w:rsidRDefault="00CF4685" w:rsidP="0047456A">
      <w:pPr>
        <w:pStyle w:val="Default"/>
        <w:spacing w:line="276" w:lineRule="auto"/>
        <w:rPr>
          <w:color w:val="auto"/>
        </w:rPr>
      </w:pPr>
      <w:r w:rsidRPr="00CF4685">
        <w:rPr>
          <w:color w:val="auto"/>
        </w:rPr>
        <w:t xml:space="preserve">Organisationen har over for Udenrigsministeriet det fulde ansvar for planlægning, gennemførelse og afrapportering af den støttede aktivitet. Det påhviler herunder organisationen: </w:t>
      </w:r>
    </w:p>
    <w:p w14:paraId="651DCB2A" w14:textId="77777777" w:rsidR="00CF4685" w:rsidRPr="00CF4685" w:rsidRDefault="00CF4685" w:rsidP="0047456A">
      <w:pPr>
        <w:pStyle w:val="Default"/>
        <w:spacing w:line="276" w:lineRule="auto"/>
        <w:rPr>
          <w:color w:val="auto"/>
        </w:rPr>
      </w:pPr>
    </w:p>
    <w:p w14:paraId="4307ECA4" w14:textId="77777777" w:rsidR="00CF4685" w:rsidRPr="00CF4685" w:rsidRDefault="00CF4685" w:rsidP="0047456A">
      <w:pPr>
        <w:pStyle w:val="Default"/>
        <w:numPr>
          <w:ilvl w:val="0"/>
          <w:numId w:val="1"/>
        </w:numPr>
        <w:spacing w:line="276" w:lineRule="auto"/>
        <w:rPr>
          <w:color w:val="auto"/>
        </w:rPr>
      </w:pPr>
      <w:r w:rsidRPr="00CF4685">
        <w:rPr>
          <w:color w:val="auto"/>
        </w:rPr>
        <w:t xml:space="preserve">at sikre den fornødne faglige og administrative kapacitet til en forsvarlig og betryggende forvaltning af det bevilgede tilskud, </w:t>
      </w:r>
    </w:p>
    <w:p w14:paraId="220E1603" w14:textId="77777777" w:rsidR="00CF4685" w:rsidRPr="00CF4685" w:rsidRDefault="00CF4685" w:rsidP="0047456A">
      <w:pPr>
        <w:pStyle w:val="Default"/>
        <w:numPr>
          <w:ilvl w:val="0"/>
          <w:numId w:val="1"/>
        </w:numPr>
        <w:spacing w:line="276" w:lineRule="auto"/>
        <w:rPr>
          <w:color w:val="auto"/>
        </w:rPr>
      </w:pPr>
      <w:r w:rsidRPr="00CF4685">
        <w:rPr>
          <w:color w:val="auto"/>
        </w:rPr>
        <w:t>at sørge for, at rapportering og regnskabsaflæggelse til Udenrigsministeriet samt tilrettelæggelse af revision sker i overensstemmelse med reglerne herom nedenfor</w:t>
      </w:r>
      <w:r w:rsidR="002551D8">
        <w:rPr>
          <w:color w:val="auto"/>
        </w:rPr>
        <w:t xml:space="preserve"> og i relevante annekser</w:t>
      </w:r>
      <w:r w:rsidRPr="00CF4685">
        <w:rPr>
          <w:color w:val="auto"/>
        </w:rPr>
        <w:t xml:space="preserve">, </w:t>
      </w:r>
    </w:p>
    <w:p w14:paraId="116F410B" w14:textId="77777777" w:rsidR="00CF4685" w:rsidRPr="00CF4685" w:rsidRDefault="00CF4685" w:rsidP="0047456A">
      <w:pPr>
        <w:pStyle w:val="Default"/>
        <w:numPr>
          <w:ilvl w:val="0"/>
          <w:numId w:val="1"/>
        </w:numPr>
        <w:spacing w:line="276" w:lineRule="auto"/>
        <w:rPr>
          <w:color w:val="auto"/>
        </w:rPr>
      </w:pPr>
      <w:r w:rsidRPr="00CF4685">
        <w:rPr>
          <w:color w:val="auto"/>
        </w:rPr>
        <w:t xml:space="preserve">at sikre, at der ved besættelse af stillinger med en varighed af mere end 12 måneder i forbindelse med aktiviteten anvendes åbne stillingsopslag og transparente udvælgelsesprocedurer. Undtaget herfra er stillingsbesættelse som led i rotation. Ved udvælgelsen af kandidater må der ikke diskrimineres mod race, køn, handicap eller politisk og religiøst tilhørsforhold, </w:t>
      </w:r>
    </w:p>
    <w:p w14:paraId="741EEF33" w14:textId="77777777" w:rsidR="00CF4685" w:rsidRPr="00465016" w:rsidRDefault="00CF4685" w:rsidP="0047456A">
      <w:pPr>
        <w:pStyle w:val="Default"/>
        <w:numPr>
          <w:ilvl w:val="0"/>
          <w:numId w:val="1"/>
        </w:numPr>
        <w:spacing w:line="276" w:lineRule="auto"/>
        <w:rPr>
          <w:color w:val="auto"/>
        </w:rPr>
      </w:pPr>
      <w:r w:rsidRPr="00CF4685">
        <w:rPr>
          <w:color w:val="auto"/>
        </w:rPr>
        <w:t xml:space="preserve">at sikre, at </w:t>
      </w:r>
      <w:r w:rsidR="00576461">
        <w:rPr>
          <w:color w:val="auto"/>
        </w:rPr>
        <w:t xml:space="preserve">organisationen, herunder medlemmer af dens ledelse og bestyrelse samt </w:t>
      </w:r>
      <w:r w:rsidRPr="00CF4685">
        <w:rPr>
          <w:color w:val="auto"/>
        </w:rPr>
        <w:t>partnerorganisationer og andre, der får del i det bevilgede tilskud ikke står opført på EU</w:t>
      </w:r>
      <w:r w:rsidR="00576461">
        <w:rPr>
          <w:color w:val="auto"/>
        </w:rPr>
        <w:t xml:space="preserve"> eller FN</w:t>
      </w:r>
      <w:r w:rsidR="002551D8">
        <w:rPr>
          <w:color w:val="auto"/>
        </w:rPr>
        <w:t>’s</w:t>
      </w:r>
      <w:r w:rsidRPr="00465016">
        <w:rPr>
          <w:color w:val="auto"/>
        </w:rPr>
        <w:t xml:space="preserve"> sanktions</w:t>
      </w:r>
      <w:r w:rsidR="00576461">
        <w:rPr>
          <w:color w:val="auto"/>
        </w:rPr>
        <w:t>- og/eller terrorlister.</w:t>
      </w:r>
      <w:r w:rsidRPr="00465016">
        <w:rPr>
          <w:color w:val="auto"/>
        </w:rPr>
        <w:t xml:space="preserve"> </w:t>
      </w:r>
    </w:p>
    <w:p w14:paraId="61CB7E2C" w14:textId="77777777" w:rsidR="00CF4685" w:rsidRPr="00CF4685" w:rsidRDefault="00CF4685" w:rsidP="0047456A">
      <w:pPr>
        <w:pStyle w:val="Default"/>
        <w:numPr>
          <w:ilvl w:val="0"/>
          <w:numId w:val="1"/>
        </w:numPr>
        <w:spacing w:line="276" w:lineRule="auto"/>
        <w:rPr>
          <w:color w:val="auto"/>
        </w:rPr>
      </w:pPr>
      <w:r w:rsidRPr="00465016">
        <w:rPr>
          <w:color w:val="auto"/>
        </w:rPr>
        <w:t>at sikre, at medarbejdere, konsulenter m.fl. (både i Danmark, udsendte og lokalt ansatte), der arbejder i tilknytning til den støttede aktivitet, ikke nyder mere gunstige løn-, ansættelses- og andre vilkår end anvendt af Udenrigsministeriet og</w:t>
      </w:r>
      <w:r w:rsidRPr="00CF4685">
        <w:rPr>
          <w:color w:val="auto"/>
        </w:rPr>
        <w:t xml:space="preserve"> ikke oppebærer dobbelt løn, samt sikre, at bonuspoints fra flyselskaber, der optjenes på rejser, ikke anvendes privat, men medgår til billiggørelse af andre rejser for organisationen, </w:t>
      </w:r>
    </w:p>
    <w:p w14:paraId="56B4478F" w14:textId="77777777" w:rsidR="00CF4685" w:rsidRPr="00CF4685" w:rsidRDefault="00CF4685" w:rsidP="0047456A">
      <w:pPr>
        <w:pStyle w:val="Default"/>
        <w:numPr>
          <w:ilvl w:val="0"/>
          <w:numId w:val="1"/>
        </w:numPr>
        <w:spacing w:line="276" w:lineRule="auto"/>
        <w:rPr>
          <w:color w:val="auto"/>
        </w:rPr>
      </w:pPr>
      <w:r w:rsidRPr="00CF4685">
        <w:rPr>
          <w:color w:val="auto"/>
        </w:rPr>
        <w:t xml:space="preserve">at underrette lokale partnere og deltagere i samarbejdet om reglerne i denne vejledning og påse, at disse overholdes. Samarbejdet med lokale partnere skal hvile på skriftlige aftaler. Ved overdragelse </w:t>
      </w:r>
      <w:r w:rsidR="00CB51A2">
        <w:rPr>
          <w:color w:val="auto"/>
        </w:rPr>
        <w:t xml:space="preserve">af udstyr indkøbt under bevillingen </w:t>
      </w:r>
      <w:r w:rsidRPr="00CF4685">
        <w:rPr>
          <w:color w:val="auto"/>
        </w:rPr>
        <w:t>til partneren, skal en overdragelsesforretning finde sted med angivelse af de overdragne effekter og deres værdi</w:t>
      </w:r>
      <w:r w:rsidR="00F636A2">
        <w:rPr>
          <w:color w:val="auto"/>
        </w:rPr>
        <w:t>.</w:t>
      </w:r>
      <w:r w:rsidR="0034069A">
        <w:rPr>
          <w:color w:val="auto"/>
        </w:rPr>
        <w:t xml:space="preserve"> </w:t>
      </w:r>
      <w:r w:rsidR="0034069A">
        <w:t>Der udarbejdes en liste over udstyr, der er stillet til partnerens rådighed, som</w:t>
      </w:r>
      <w:r w:rsidR="00F636A2">
        <w:t xml:space="preserve"> opdateres undervejs ved nyanskaffelser, og udstyr kan evt. overdrages til partneren ved projektets afslutning. </w:t>
      </w:r>
      <w:r w:rsidRPr="00CF4685">
        <w:rPr>
          <w:color w:val="auto"/>
        </w:rPr>
        <w:t xml:space="preserve">Overdragelsesforretningen vedrører alle effekter med en værdi, der overstiger den skattemæssige sats for småanskaffelser, </w:t>
      </w:r>
    </w:p>
    <w:p w14:paraId="5D2A102A" w14:textId="77777777" w:rsidR="008A505E" w:rsidRPr="00676E53" w:rsidRDefault="00CF4685" w:rsidP="0047456A">
      <w:pPr>
        <w:pStyle w:val="Default"/>
        <w:numPr>
          <w:ilvl w:val="0"/>
          <w:numId w:val="1"/>
        </w:numPr>
        <w:spacing w:line="276" w:lineRule="auto"/>
        <w:rPr>
          <w:color w:val="auto"/>
        </w:rPr>
      </w:pPr>
      <w:r w:rsidRPr="00CF4685">
        <w:rPr>
          <w:color w:val="auto"/>
        </w:rPr>
        <w:t xml:space="preserve">at sikre, at Udenrigsministeriet, Rigsrevisionen og Statsrevisorerne i ønsket omfang får fuld adgang og </w:t>
      </w:r>
      <w:r w:rsidRPr="00EA058B">
        <w:rPr>
          <w:color w:val="auto"/>
        </w:rPr>
        <w:t xml:space="preserve">bistand til projektbesigtigelse, dokumentgennemgang, regnskabsanalyse, inventar-kontrol mv., </w:t>
      </w:r>
    </w:p>
    <w:p w14:paraId="31BB0595" w14:textId="77777777" w:rsidR="008A505E" w:rsidRPr="00676E53" w:rsidRDefault="00EA058B" w:rsidP="0047456A">
      <w:pPr>
        <w:pStyle w:val="Listeafsnit"/>
        <w:numPr>
          <w:ilvl w:val="0"/>
          <w:numId w:val="1"/>
        </w:numPr>
        <w:autoSpaceDE w:val="0"/>
        <w:autoSpaceDN w:val="0"/>
        <w:adjustRightInd w:val="0"/>
        <w:spacing w:after="0"/>
        <w:rPr>
          <w:rFonts w:ascii="Garamond" w:hAnsi="Garamond"/>
          <w:sz w:val="24"/>
          <w:szCs w:val="24"/>
          <w:lang w:val="en-US"/>
        </w:rPr>
      </w:pPr>
      <w:r w:rsidRPr="00EA058B">
        <w:rPr>
          <w:rFonts w:ascii="Garamond" w:hAnsi="Garamond"/>
          <w:color w:val="222222"/>
          <w:sz w:val="24"/>
          <w:szCs w:val="24"/>
        </w:rPr>
        <w:t xml:space="preserve">at sikre de nødvendige foranstaltninger er på plads for at beskytte mennesker, herunder modtagere og personale, mod seksuel udnyttelse og misbrug og seksuel chikane fra organisationens personale og tilknyttede personale, f.eks. partnere, konsulenter, frivillige osv. </w:t>
      </w:r>
      <w:r w:rsidRPr="00EA058B">
        <w:rPr>
          <w:rFonts w:ascii="Garamond" w:hAnsi="Garamond"/>
          <w:color w:val="222222"/>
          <w:sz w:val="24"/>
          <w:szCs w:val="24"/>
          <w:lang w:val="en-US"/>
        </w:rPr>
        <w:t>Der henvises til CHS Alliance Protection from Sexual Exploitation and Abuse (PSEA) index og</w:t>
      </w:r>
      <w:r w:rsidR="00E72E26">
        <w:rPr>
          <w:rFonts w:ascii="Garamond" w:hAnsi="Garamond"/>
          <w:color w:val="222222"/>
          <w:sz w:val="24"/>
          <w:szCs w:val="24"/>
          <w:lang w:val="en-US"/>
        </w:rPr>
        <w:t xml:space="preserve"> PSEA Implementation Handbook,</w:t>
      </w:r>
      <w:r w:rsidR="008A505E" w:rsidRPr="00676E53">
        <w:rPr>
          <w:rFonts w:ascii="Garamond" w:hAnsi="Garamond"/>
          <w:sz w:val="24"/>
          <w:szCs w:val="24"/>
          <w:lang w:val="en-US"/>
        </w:rPr>
        <w:t xml:space="preserve"> </w:t>
      </w:r>
    </w:p>
    <w:p w14:paraId="6ED1F54D" w14:textId="77777777" w:rsidR="0092113B" w:rsidRDefault="00CF4685" w:rsidP="0047456A">
      <w:pPr>
        <w:pStyle w:val="Default"/>
        <w:numPr>
          <w:ilvl w:val="0"/>
          <w:numId w:val="1"/>
        </w:numPr>
        <w:spacing w:line="276" w:lineRule="auto"/>
        <w:rPr>
          <w:color w:val="auto"/>
        </w:rPr>
      </w:pPr>
      <w:r w:rsidRPr="00CF4685">
        <w:rPr>
          <w:color w:val="auto"/>
        </w:rPr>
        <w:t xml:space="preserve">at sørge for, at der ved indgåelse af aftaler og kontrakter med partnere og leverandører indføjes Udenrigsministeriets sålydende korruptionsklausul i aftaledokumentet: </w:t>
      </w:r>
    </w:p>
    <w:p w14:paraId="07BC7274" w14:textId="77777777" w:rsidR="0092113B" w:rsidRDefault="0092113B" w:rsidP="0047456A">
      <w:pPr>
        <w:pStyle w:val="Default"/>
        <w:spacing w:line="276" w:lineRule="auto"/>
        <w:rPr>
          <w:color w:val="auto"/>
        </w:rPr>
      </w:pPr>
    </w:p>
    <w:p w14:paraId="637F79C5" w14:textId="77777777" w:rsidR="008C4474" w:rsidRDefault="008C4474" w:rsidP="0047456A">
      <w:pPr>
        <w:pStyle w:val="Default"/>
        <w:spacing w:line="276" w:lineRule="auto"/>
        <w:rPr>
          <w:color w:val="auto"/>
        </w:rPr>
      </w:pPr>
    </w:p>
    <w:p w14:paraId="2C6F6C29" w14:textId="77777777" w:rsidR="008C4474" w:rsidRDefault="008C4474" w:rsidP="0047456A">
      <w:pPr>
        <w:pStyle w:val="Default"/>
        <w:spacing w:line="276" w:lineRule="auto"/>
        <w:rPr>
          <w:color w:val="auto"/>
        </w:rPr>
      </w:pPr>
    </w:p>
    <w:p w14:paraId="49952275" w14:textId="4EEF4DC5" w:rsidR="00CF4685" w:rsidRDefault="00CF4685" w:rsidP="0047456A">
      <w:pPr>
        <w:pStyle w:val="Default"/>
        <w:spacing w:line="276" w:lineRule="auto"/>
        <w:rPr>
          <w:i/>
          <w:iCs/>
          <w:color w:val="auto"/>
          <w:lang w:val="en-US"/>
        </w:rPr>
      </w:pPr>
      <w:r w:rsidRPr="00CF4685">
        <w:rPr>
          <w:i/>
          <w:iCs/>
          <w:color w:val="auto"/>
          <w:lang w:val="en-US"/>
        </w:rPr>
        <w:lastRenderedPageBreak/>
        <w:t xml:space="preserve">No offer, payment, consideration or benefit of any kind, which could be regarded as an illegal or corrupt </w:t>
      </w:r>
      <w:r w:rsidR="00A9437C" w:rsidRPr="00CF4685">
        <w:rPr>
          <w:i/>
          <w:iCs/>
          <w:color w:val="auto"/>
          <w:lang w:val="en-US"/>
        </w:rPr>
        <w:t>practice</w:t>
      </w:r>
      <w:r w:rsidRPr="00CF4685">
        <w:rPr>
          <w:i/>
          <w:iCs/>
          <w:color w:val="auto"/>
          <w:lang w:val="en-US"/>
        </w:rPr>
        <w:t xml:space="preserve">, shall be made, promised, sought or accepted - neither directly nor indirectly - as an inducement or reward in relation to activities funded under this agreement, incl. tendering, award or execution of contracts. Any such </w:t>
      </w:r>
      <w:r w:rsidR="00A9437C" w:rsidRPr="00CF4685">
        <w:rPr>
          <w:i/>
          <w:iCs/>
          <w:color w:val="auto"/>
          <w:lang w:val="en-US"/>
        </w:rPr>
        <w:t>practice</w:t>
      </w:r>
      <w:r w:rsidRPr="00CF4685">
        <w:rPr>
          <w:i/>
          <w:iCs/>
          <w:color w:val="auto"/>
          <w:lang w:val="en-US"/>
        </w:rPr>
        <w:t xml:space="preserve"> will be grounds for the immediate cancellation of this agreement/contract and for such additional action, civil and/or criminal, as may be appropriate. At the discretion of the Danish Ministry of Foreign Affairs, a further consequence of any such </w:t>
      </w:r>
      <w:r w:rsidR="00A9437C" w:rsidRPr="00CF4685">
        <w:rPr>
          <w:i/>
          <w:iCs/>
          <w:color w:val="auto"/>
          <w:lang w:val="en-US"/>
        </w:rPr>
        <w:t>practice</w:t>
      </w:r>
      <w:r w:rsidRPr="00CF4685">
        <w:rPr>
          <w:i/>
          <w:iCs/>
          <w:color w:val="auto"/>
          <w:lang w:val="en-US"/>
        </w:rPr>
        <w:t xml:space="preserve"> can be the definite exclusion from any tendering for projects, funded by the Danish Ministry of Foreign Affairs”. </w:t>
      </w:r>
      <w:r>
        <w:rPr>
          <w:i/>
          <w:iCs/>
          <w:color w:val="auto"/>
          <w:lang w:val="en-US"/>
        </w:rPr>
        <w:br/>
      </w:r>
    </w:p>
    <w:p w14:paraId="7957B9DE" w14:textId="77777777" w:rsidR="00CF4685" w:rsidRPr="0047456A" w:rsidRDefault="00CF4685" w:rsidP="003C6EF6">
      <w:pPr>
        <w:pStyle w:val="Overskrift1"/>
      </w:pPr>
      <w:bookmarkStart w:id="3" w:name="_Toc67665617"/>
      <w:r w:rsidRPr="0047456A">
        <w:t>3. Tilskuddets budgettering og anvendelse</w:t>
      </w:r>
      <w:bookmarkEnd w:id="3"/>
      <w:r w:rsidRPr="0047456A">
        <w:t xml:space="preserve"> </w:t>
      </w:r>
    </w:p>
    <w:p w14:paraId="358271E9" w14:textId="77777777" w:rsidR="00CF4685" w:rsidRPr="00CF4685" w:rsidRDefault="00CF4685" w:rsidP="0047456A">
      <w:pPr>
        <w:pStyle w:val="Default"/>
        <w:spacing w:line="276" w:lineRule="auto"/>
        <w:rPr>
          <w:color w:val="auto"/>
        </w:rPr>
      </w:pPr>
      <w:r w:rsidRPr="00CF4685">
        <w:rPr>
          <w:color w:val="auto"/>
        </w:rPr>
        <w:t xml:space="preserve">Bevilgede tilskud skal anvendes i overensstemmelse med bevillingsforudsætningerne, dvs. den tiltrådte </w:t>
      </w:r>
      <w:r w:rsidR="00763EB6">
        <w:rPr>
          <w:color w:val="auto"/>
        </w:rPr>
        <w:t xml:space="preserve">aftale og/eller </w:t>
      </w:r>
      <w:r w:rsidRPr="00CF4685">
        <w:rPr>
          <w:color w:val="auto"/>
        </w:rPr>
        <w:t xml:space="preserve">ansøgning med budget samt øvrige dokumenter, der har dannet grundlag for det ydede tilskud. </w:t>
      </w:r>
    </w:p>
    <w:p w14:paraId="6858BFA6" w14:textId="77777777" w:rsidR="008141B1" w:rsidRDefault="008141B1" w:rsidP="0047456A">
      <w:pPr>
        <w:pStyle w:val="Default"/>
        <w:spacing w:line="276" w:lineRule="auto"/>
        <w:rPr>
          <w:color w:val="auto"/>
        </w:rPr>
      </w:pPr>
    </w:p>
    <w:p w14:paraId="2FBD3280" w14:textId="77777777" w:rsidR="00465016" w:rsidRPr="00DC5AD6" w:rsidRDefault="00CF4685" w:rsidP="0047456A">
      <w:pPr>
        <w:pStyle w:val="Default"/>
        <w:spacing w:line="276" w:lineRule="auto"/>
        <w:rPr>
          <w:color w:val="auto"/>
        </w:rPr>
      </w:pPr>
      <w:r w:rsidRPr="00DC5AD6">
        <w:rPr>
          <w:color w:val="auto"/>
        </w:rPr>
        <w:t>Budget for aktiviteten skal udarbejdes i</w:t>
      </w:r>
      <w:r w:rsidR="00F37D92" w:rsidRPr="00DC5AD6">
        <w:rPr>
          <w:color w:val="auto"/>
        </w:rPr>
        <w:t xml:space="preserve"> </w:t>
      </w:r>
      <w:r w:rsidR="00465016" w:rsidRPr="00DC5AD6">
        <w:rPr>
          <w:color w:val="auto"/>
        </w:rPr>
        <w:t>overensstemmelse</w:t>
      </w:r>
      <w:r w:rsidR="00F37D92" w:rsidRPr="00DC5AD6">
        <w:rPr>
          <w:color w:val="auto"/>
        </w:rPr>
        <w:t xml:space="preserve"> med det ve</w:t>
      </w:r>
      <w:r w:rsidR="00F17BE8">
        <w:rPr>
          <w:color w:val="auto"/>
        </w:rPr>
        <w:t>d</w:t>
      </w:r>
      <w:r w:rsidR="00F37D92" w:rsidRPr="00DC5AD6">
        <w:rPr>
          <w:color w:val="auto"/>
        </w:rPr>
        <w:t xml:space="preserve">lagte budgetformat </w:t>
      </w:r>
      <w:r w:rsidR="00DC5AD6" w:rsidRPr="00DC5AD6">
        <w:rPr>
          <w:color w:val="auto"/>
        </w:rPr>
        <w:t xml:space="preserve">i </w:t>
      </w:r>
      <w:r w:rsidR="00077DD8" w:rsidRPr="00DC5AD6">
        <w:rPr>
          <w:color w:val="auto"/>
        </w:rPr>
        <w:t>anne</w:t>
      </w:r>
      <w:r w:rsidR="00B47BA6">
        <w:rPr>
          <w:color w:val="auto"/>
        </w:rPr>
        <w:t>ks</w:t>
      </w:r>
      <w:r w:rsidR="00077DD8" w:rsidRPr="00DC5AD6">
        <w:rPr>
          <w:color w:val="auto"/>
        </w:rPr>
        <w:t xml:space="preserve"> 3</w:t>
      </w:r>
      <w:r w:rsidR="00465016" w:rsidRPr="00DC5AD6">
        <w:rPr>
          <w:color w:val="auto"/>
        </w:rPr>
        <w:t xml:space="preserve"> </w:t>
      </w:r>
      <w:r w:rsidR="00F37D92" w:rsidRPr="00DC5AD6">
        <w:rPr>
          <w:color w:val="auto"/>
        </w:rPr>
        <w:t>og budgetnote</w:t>
      </w:r>
      <w:r w:rsidR="00465016" w:rsidRPr="00DC5AD6">
        <w:rPr>
          <w:color w:val="auto"/>
        </w:rPr>
        <w:t xml:space="preserve"> </w:t>
      </w:r>
      <w:r w:rsidR="00DC5AD6" w:rsidRPr="00DC5AD6">
        <w:rPr>
          <w:color w:val="auto"/>
        </w:rPr>
        <w:t xml:space="preserve">i </w:t>
      </w:r>
      <w:r w:rsidR="00077DD8" w:rsidRPr="00DC5AD6">
        <w:rPr>
          <w:color w:val="auto"/>
        </w:rPr>
        <w:t>anne</w:t>
      </w:r>
      <w:r w:rsidR="00B47BA6">
        <w:rPr>
          <w:color w:val="auto"/>
        </w:rPr>
        <w:t>ks</w:t>
      </w:r>
      <w:r w:rsidR="00077DD8" w:rsidRPr="00DC5AD6">
        <w:rPr>
          <w:color w:val="auto"/>
        </w:rPr>
        <w:t xml:space="preserve"> 4</w:t>
      </w:r>
      <w:r w:rsidR="00F37D92" w:rsidRPr="00DC5AD6">
        <w:rPr>
          <w:color w:val="auto"/>
        </w:rPr>
        <w:t>.</w:t>
      </w:r>
    </w:p>
    <w:p w14:paraId="08472142" w14:textId="77777777" w:rsidR="00465016" w:rsidRPr="00DC5AD6" w:rsidRDefault="00465016" w:rsidP="0047456A">
      <w:pPr>
        <w:pStyle w:val="Default"/>
        <w:spacing w:line="276" w:lineRule="auto"/>
        <w:rPr>
          <w:color w:val="auto"/>
        </w:rPr>
      </w:pPr>
    </w:p>
    <w:p w14:paraId="2BD3A2C4" w14:textId="77777777" w:rsidR="00CF4685" w:rsidRDefault="00CF4685" w:rsidP="0047456A">
      <w:pPr>
        <w:pStyle w:val="Default"/>
        <w:spacing w:line="276" w:lineRule="auto"/>
        <w:rPr>
          <w:color w:val="auto"/>
        </w:rPr>
      </w:pPr>
      <w:r w:rsidRPr="00DC5AD6">
        <w:rPr>
          <w:color w:val="auto"/>
        </w:rPr>
        <w:t>Rejseudgifter skal budgetteres</w:t>
      </w:r>
      <w:r w:rsidRPr="00CF4685">
        <w:rPr>
          <w:color w:val="auto"/>
        </w:rPr>
        <w:t xml:space="preserve"> billigst muligt, herunder begrænse antallet af rejsedeltagere. Dagpenge og kilometergodtgørelse må maksimalt udgøre de af Finansministeriet fastsatte takster, flyrejser må højst udgøre prisen på økonomiklasse, og indkvartering må ikke overstige prisen for almindeligt turistklassehotel. </w:t>
      </w:r>
    </w:p>
    <w:p w14:paraId="7117FF1C" w14:textId="77777777" w:rsidR="0034069A" w:rsidRDefault="0034069A" w:rsidP="0047456A">
      <w:pPr>
        <w:pStyle w:val="Default"/>
        <w:spacing w:line="276" w:lineRule="auto"/>
        <w:rPr>
          <w:color w:val="auto"/>
        </w:rPr>
      </w:pPr>
    </w:p>
    <w:p w14:paraId="40A2C112" w14:textId="77777777" w:rsidR="00CF4685" w:rsidRPr="0047456A" w:rsidRDefault="00CF4685" w:rsidP="003C6EF6">
      <w:pPr>
        <w:pStyle w:val="Overskrift1"/>
      </w:pPr>
      <w:bookmarkStart w:id="4" w:name="_Toc67665618"/>
      <w:r w:rsidRPr="0047456A">
        <w:rPr>
          <w:bCs/>
        </w:rPr>
        <w:t>4. Forvaltning af budgettet</w:t>
      </w:r>
      <w:bookmarkEnd w:id="4"/>
      <w:r w:rsidRPr="0047456A">
        <w:rPr>
          <w:bCs/>
        </w:rPr>
        <w:t xml:space="preserve"> </w:t>
      </w:r>
    </w:p>
    <w:p w14:paraId="3ED59898" w14:textId="77E9D990" w:rsidR="00CF4685" w:rsidRPr="00CF4685" w:rsidRDefault="00CF4685" w:rsidP="0047456A">
      <w:pPr>
        <w:pStyle w:val="Default"/>
        <w:spacing w:line="276" w:lineRule="auto"/>
        <w:rPr>
          <w:color w:val="auto"/>
        </w:rPr>
      </w:pPr>
      <w:r w:rsidRPr="00CF4685">
        <w:rPr>
          <w:color w:val="auto"/>
        </w:rPr>
        <w:t xml:space="preserve">Aktiviteternes gennemførelse skal ske inden for det godkendte budgets rammer. </w:t>
      </w:r>
      <w:r w:rsidR="004E104B">
        <w:rPr>
          <w:color w:val="auto"/>
        </w:rPr>
        <w:t>O</w:t>
      </w:r>
      <w:r w:rsidR="004E104B" w:rsidRPr="00CF4685">
        <w:rPr>
          <w:color w:val="auto"/>
        </w:rPr>
        <w:t xml:space="preserve">mallokeringer skal altid finde sted inden for aktivitetens overordnede formål. </w:t>
      </w:r>
      <w:r w:rsidRPr="00CF4685">
        <w:rPr>
          <w:color w:val="auto"/>
        </w:rPr>
        <w:t>Oma</w:t>
      </w:r>
      <w:r w:rsidR="004E4F57">
        <w:rPr>
          <w:color w:val="auto"/>
        </w:rPr>
        <w:t>llokering mellem hovedbudgetlinj</w:t>
      </w:r>
      <w:r w:rsidRPr="00CF4685">
        <w:rPr>
          <w:color w:val="auto"/>
        </w:rPr>
        <w:t xml:space="preserve">erne </w:t>
      </w:r>
      <w:r w:rsidR="00780FE2">
        <w:rPr>
          <w:color w:val="auto"/>
        </w:rPr>
        <w:t xml:space="preserve">(outputs) </w:t>
      </w:r>
      <w:r w:rsidRPr="00CF4685">
        <w:rPr>
          <w:color w:val="auto"/>
        </w:rPr>
        <w:t xml:space="preserve">i det godkendte budget kan ske </w:t>
      </w:r>
      <w:r w:rsidRPr="00EA058B">
        <w:rPr>
          <w:color w:val="auto"/>
        </w:rPr>
        <w:t xml:space="preserve">uden forudgående forelæggelse for Udenrigsministeriet med op til </w:t>
      </w:r>
      <w:r w:rsidR="00F37D92" w:rsidRPr="00EA058B">
        <w:rPr>
          <w:color w:val="auto"/>
        </w:rPr>
        <w:t>30</w:t>
      </w:r>
      <w:r w:rsidRPr="00EA058B">
        <w:rPr>
          <w:color w:val="auto"/>
        </w:rPr>
        <w:t xml:space="preserve"> pct. af budgettet for den mindste af de </w:t>
      </w:r>
      <w:r w:rsidR="007A4A4A">
        <w:rPr>
          <w:color w:val="auto"/>
        </w:rPr>
        <w:t xml:space="preserve">budgetlinjer </w:t>
      </w:r>
      <w:r w:rsidR="00780FE2">
        <w:rPr>
          <w:color w:val="auto"/>
        </w:rPr>
        <w:t>(outputs)</w:t>
      </w:r>
      <w:r w:rsidRPr="00EA058B">
        <w:rPr>
          <w:color w:val="auto"/>
        </w:rPr>
        <w:t>, hvorfra eller hvortil midlerne flyttes.</w:t>
      </w:r>
      <w:r w:rsidRPr="00CF4685">
        <w:rPr>
          <w:color w:val="auto"/>
        </w:rPr>
        <w:t xml:space="preserve"> </w:t>
      </w:r>
    </w:p>
    <w:p w14:paraId="234BDCE2" w14:textId="77777777" w:rsidR="00CF4685" w:rsidRDefault="00CF4685" w:rsidP="0047456A">
      <w:pPr>
        <w:pStyle w:val="Default"/>
        <w:spacing w:line="276" w:lineRule="auto"/>
        <w:rPr>
          <w:color w:val="auto"/>
        </w:rPr>
      </w:pPr>
    </w:p>
    <w:p w14:paraId="30657F87" w14:textId="77777777" w:rsidR="00CF4685" w:rsidRDefault="00CF4685" w:rsidP="0047456A">
      <w:pPr>
        <w:pStyle w:val="Default"/>
        <w:spacing w:line="276" w:lineRule="auto"/>
        <w:rPr>
          <w:color w:val="auto"/>
        </w:rPr>
      </w:pPr>
      <w:r w:rsidRPr="00CF4685">
        <w:rPr>
          <w:color w:val="auto"/>
        </w:rPr>
        <w:t>Omallokeringer skal efterfølgende oplyses og begrundes i førstkommende statusrapport (med revideret budget) og i det afsluttende regnskab. Budgetoverskridelser som følge af pris-, løn- og kursændringer vil ikke kunne kompenseres ved en forhøjelse af det bevilgede tilskud</w:t>
      </w:r>
      <w:r w:rsidR="00F37D92">
        <w:rPr>
          <w:color w:val="auto"/>
        </w:rPr>
        <w:t xml:space="preserve">. </w:t>
      </w:r>
    </w:p>
    <w:p w14:paraId="40DA2513" w14:textId="77777777" w:rsidR="0092113B" w:rsidRPr="00CF4685" w:rsidRDefault="0092113B" w:rsidP="0047456A">
      <w:pPr>
        <w:pStyle w:val="Default"/>
        <w:spacing w:line="276" w:lineRule="auto"/>
        <w:rPr>
          <w:color w:val="auto"/>
        </w:rPr>
      </w:pPr>
    </w:p>
    <w:p w14:paraId="0BCD2B3D" w14:textId="39AB8CAA" w:rsidR="00CF4685" w:rsidRDefault="00F37D92" w:rsidP="0047456A">
      <w:pPr>
        <w:pStyle w:val="Default"/>
        <w:spacing w:line="276" w:lineRule="auto"/>
        <w:rPr>
          <w:color w:val="auto"/>
        </w:rPr>
      </w:pPr>
      <w:r>
        <w:rPr>
          <w:color w:val="auto"/>
        </w:rPr>
        <w:t>Eventuelle o</w:t>
      </w:r>
      <w:r w:rsidR="00CF4685" w:rsidRPr="00CF4685">
        <w:rPr>
          <w:color w:val="auto"/>
        </w:rPr>
        <w:t xml:space="preserve">ptjente </w:t>
      </w:r>
      <w:r w:rsidR="00CF4685" w:rsidRPr="008E2734">
        <w:rPr>
          <w:color w:val="auto"/>
        </w:rPr>
        <w:t xml:space="preserve">renter kan </w:t>
      </w:r>
      <w:r w:rsidRPr="008E2734">
        <w:rPr>
          <w:color w:val="auto"/>
        </w:rPr>
        <w:t xml:space="preserve">anvendes til </w:t>
      </w:r>
      <w:r w:rsidR="00465016" w:rsidRPr="008E2734">
        <w:rPr>
          <w:color w:val="auto"/>
        </w:rPr>
        <w:t>bevilligede</w:t>
      </w:r>
      <w:r w:rsidRPr="008E2734">
        <w:rPr>
          <w:color w:val="auto"/>
        </w:rPr>
        <w:t xml:space="preserve"> aktiviteter, </w:t>
      </w:r>
      <w:r w:rsidR="00763EB6" w:rsidRPr="008E2734">
        <w:rPr>
          <w:color w:val="auto"/>
        </w:rPr>
        <w:t xml:space="preserve">og </w:t>
      </w:r>
      <w:r w:rsidRPr="008E2734">
        <w:rPr>
          <w:color w:val="auto"/>
        </w:rPr>
        <w:t xml:space="preserve">der skal regnskabsaflægges herfor. </w:t>
      </w:r>
      <w:r w:rsidR="00D0202B" w:rsidRPr="008E2734">
        <w:rPr>
          <w:color w:val="auto"/>
        </w:rPr>
        <w:t>N</w:t>
      </w:r>
      <w:r w:rsidR="00EE0DCB" w:rsidRPr="008E2734">
        <w:rPr>
          <w:color w:val="auto"/>
        </w:rPr>
        <w:t>egative renter</w:t>
      </w:r>
      <w:r w:rsidR="00D0202B" w:rsidRPr="008E2734">
        <w:rPr>
          <w:color w:val="auto"/>
        </w:rPr>
        <w:t xml:space="preserve"> </w:t>
      </w:r>
      <w:r w:rsidR="00340375">
        <w:rPr>
          <w:color w:val="auto"/>
        </w:rPr>
        <w:t>kan dækkes af bevillingen</w:t>
      </w:r>
      <w:r w:rsidR="00567A1B">
        <w:rPr>
          <w:color w:val="auto"/>
        </w:rPr>
        <w:t xml:space="preserve"> og skal ligel</w:t>
      </w:r>
      <w:r w:rsidR="007A4A4A">
        <w:rPr>
          <w:color w:val="auto"/>
        </w:rPr>
        <w:t>e</w:t>
      </w:r>
      <w:r w:rsidR="00567A1B">
        <w:rPr>
          <w:color w:val="auto"/>
        </w:rPr>
        <w:t xml:space="preserve">des fremgå af regnskabet. </w:t>
      </w:r>
      <w:r w:rsidR="007A4A4A">
        <w:rPr>
          <w:color w:val="auto"/>
        </w:rPr>
        <w:t xml:space="preserve">Der kan ikke tages administrationsvederlag af renteudgiften. </w:t>
      </w:r>
      <w:r w:rsidR="00567A1B">
        <w:rPr>
          <w:color w:val="auto"/>
        </w:rPr>
        <w:t>Det bør tilstræbes at minimere negative renter</w:t>
      </w:r>
      <w:r w:rsidR="00EE0DCB" w:rsidRPr="008E2734">
        <w:rPr>
          <w:color w:val="auto"/>
        </w:rPr>
        <w:t>.</w:t>
      </w:r>
      <w:r w:rsidR="00EE0DCB">
        <w:rPr>
          <w:color w:val="auto"/>
        </w:rPr>
        <w:t xml:space="preserve"> </w:t>
      </w:r>
    </w:p>
    <w:p w14:paraId="590074C3" w14:textId="77777777" w:rsidR="0092113B" w:rsidRPr="00CF4685" w:rsidRDefault="0092113B" w:rsidP="0047456A">
      <w:pPr>
        <w:pStyle w:val="Default"/>
        <w:spacing w:line="276" w:lineRule="auto"/>
        <w:rPr>
          <w:color w:val="auto"/>
        </w:rPr>
      </w:pPr>
    </w:p>
    <w:p w14:paraId="018C4020" w14:textId="77777777" w:rsidR="00CF4685" w:rsidRDefault="00CF4685" w:rsidP="0047456A">
      <w:pPr>
        <w:pStyle w:val="Default"/>
        <w:spacing w:line="276" w:lineRule="auto"/>
        <w:rPr>
          <w:color w:val="auto"/>
        </w:rPr>
      </w:pPr>
      <w:r w:rsidRPr="00CF4685">
        <w:rPr>
          <w:color w:val="auto"/>
        </w:rPr>
        <w:t xml:space="preserve">Anvendelsen af administrationsvederlaget skal ikke dokumenteres, men skal følge retningslinjerne i afsnit 5 nedenfor. </w:t>
      </w:r>
    </w:p>
    <w:p w14:paraId="7C84B296" w14:textId="77777777" w:rsidR="00340375" w:rsidRDefault="00340375" w:rsidP="0047456A">
      <w:pPr>
        <w:pStyle w:val="Default"/>
        <w:spacing w:line="276" w:lineRule="auto"/>
        <w:rPr>
          <w:color w:val="auto"/>
        </w:rPr>
      </w:pPr>
    </w:p>
    <w:p w14:paraId="09C40FB8" w14:textId="77777777" w:rsidR="00340375" w:rsidRPr="00CF4685" w:rsidRDefault="00340375" w:rsidP="0047456A">
      <w:pPr>
        <w:pStyle w:val="Default"/>
        <w:spacing w:line="276" w:lineRule="auto"/>
        <w:rPr>
          <w:color w:val="auto"/>
        </w:rPr>
      </w:pPr>
      <w:r>
        <w:rPr>
          <w:color w:val="auto"/>
        </w:rPr>
        <w:t>Underforbrug af midler kan overføres til næste regnskabsår inden</w:t>
      </w:r>
      <w:r w:rsidR="00852F23">
        <w:rPr>
          <w:color w:val="auto"/>
        </w:rPr>
        <w:t xml:space="preserve"> </w:t>
      </w:r>
      <w:r>
        <w:rPr>
          <w:color w:val="auto"/>
        </w:rPr>
        <w:t>for programperioden.</w:t>
      </w:r>
    </w:p>
    <w:p w14:paraId="419BC229" w14:textId="77777777" w:rsidR="00CF4685" w:rsidRDefault="00CF4685" w:rsidP="0047456A">
      <w:pPr>
        <w:pStyle w:val="Default"/>
        <w:spacing w:line="276" w:lineRule="auto"/>
        <w:rPr>
          <w:b/>
          <w:bCs/>
          <w:color w:val="auto"/>
        </w:rPr>
      </w:pPr>
    </w:p>
    <w:p w14:paraId="0F748134" w14:textId="77777777" w:rsidR="00CF4685" w:rsidRPr="0047456A" w:rsidRDefault="00CF4685" w:rsidP="003C6EF6">
      <w:pPr>
        <w:pStyle w:val="Overskrift1"/>
      </w:pPr>
      <w:bookmarkStart w:id="5" w:name="_Toc67665619"/>
      <w:r w:rsidRPr="0047456A">
        <w:t>5. Administrationsudgifter</w:t>
      </w:r>
      <w:bookmarkEnd w:id="5"/>
      <w:r w:rsidRPr="0047456A">
        <w:t xml:space="preserve"> </w:t>
      </w:r>
    </w:p>
    <w:p w14:paraId="038D675C" w14:textId="77777777" w:rsidR="00CF4685" w:rsidRPr="00CF4685" w:rsidRDefault="00CF4685" w:rsidP="0047456A">
      <w:pPr>
        <w:pStyle w:val="Default"/>
        <w:spacing w:line="276" w:lineRule="auto"/>
        <w:rPr>
          <w:color w:val="auto"/>
        </w:rPr>
      </w:pPr>
      <w:r w:rsidRPr="00CF4685">
        <w:rPr>
          <w:color w:val="auto"/>
        </w:rPr>
        <w:t xml:space="preserve">I forbindelse med tilskuddet ydes normalt et administrationsvederlag. </w:t>
      </w:r>
    </w:p>
    <w:p w14:paraId="62C2E220" w14:textId="77777777" w:rsidR="00CF4685" w:rsidRDefault="00CF4685" w:rsidP="0047456A">
      <w:pPr>
        <w:pStyle w:val="Default"/>
        <w:spacing w:line="276" w:lineRule="auto"/>
        <w:rPr>
          <w:b/>
          <w:bCs/>
          <w:color w:val="auto"/>
        </w:rPr>
      </w:pPr>
    </w:p>
    <w:p w14:paraId="6969DE2F" w14:textId="77777777" w:rsidR="002E636D" w:rsidRPr="00CF4685" w:rsidRDefault="002E636D" w:rsidP="0047456A">
      <w:pPr>
        <w:pStyle w:val="Default"/>
        <w:spacing w:line="276" w:lineRule="auto"/>
        <w:rPr>
          <w:color w:val="auto"/>
        </w:rPr>
      </w:pPr>
      <w:r>
        <w:rPr>
          <w:b/>
          <w:bCs/>
          <w:color w:val="auto"/>
        </w:rPr>
        <w:t>Beregning og a</w:t>
      </w:r>
      <w:r w:rsidRPr="00CF4685">
        <w:rPr>
          <w:b/>
          <w:bCs/>
          <w:color w:val="auto"/>
        </w:rPr>
        <w:t xml:space="preserve">nvendelse af administrationsvederlaget </w:t>
      </w:r>
    </w:p>
    <w:p w14:paraId="1D7D94E2" w14:textId="77777777" w:rsidR="00CF4685" w:rsidRPr="004E4F57" w:rsidRDefault="00CF4685" w:rsidP="0047456A">
      <w:pPr>
        <w:pStyle w:val="Default"/>
        <w:spacing w:line="276" w:lineRule="auto"/>
        <w:rPr>
          <w:iCs/>
          <w:color w:val="auto"/>
        </w:rPr>
      </w:pPr>
      <w:r w:rsidRPr="00CF4685">
        <w:rPr>
          <w:color w:val="auto"/>
        </w:rPr>
        <w:t>I budgetfasen beregnes administrationsvederlaget</w:t>
      </w:r>
      <w:r w:rsidR="00973664">
        <w:rPr>
          <w:color w:val="auto"/>
        </w:rPr>
        <w:t xml:space="preserve"> på </w:t>
      </w:r>
      <w:r w:rsidR="007A4A4A">
        <w:rPr>
          <w:color w:val="auto"/>
        </w:rPr>
        <w:t xml:space="preserve">maksimalt </w:t>
      </w:r>
      <w:r w:rsidR="00973664">
        <w:rPr>
          <w:color w:val="auto"/>
        </w:rPr>
        <w:t xml:space="preserve">7 pct. </w:t>
      </w:r>
      <w:r w:rsidRPr="00CF4685">
        <w:rPr>
          <w:color w:val="auto"/>
        </w:rPr>
        <w:t xml:space="preserve"> af det samlede budget. I regnskabsfasen ydes vederlaget </w:t>
      </w:r>
      <w:r w:rsidR="00973664">
        <w:rPr>
          <w:color w:val="auto"/>
        </w:rPr>
        <w:t xml:space="preserve">på </w:t>
      </w:r>
      <w:r w:rsidR="007A4A4A">
        <w:rPr>
          <w:color w:val="auto"/>
        </w:rPr>
        <w:t xml:space="preserve">maksimalt </w:t>
      </w:r>
      <w:r w:rsidR="00973664">
        <w:rPr>
          <w:color w:val="auto"/>
        </w:rPr>
        <w:t xml:space="preserve">7 pct. </w:t>
      </w:r>
      <w:r w:rsidRPr="00CF4685">
        <w:rPr>
          <w:i/>
          <w:iCs/>
          <w:color w:val="auto"/>
        </w:rPr>
        <w:t>af det faktiske forbrug</w:t>
      </w:r>
      <w:r w:rsidR="00973664">
        <w:rPr>
          <w:i/>
          <w:iCs/>
          <w:color w:val="auto"/>
        </w:rPr>
        <w:t xml:space="preserve"> </w:t>
      </w:r>
      <w:r w:rsidR="00A867E3">
        <w:rPr>
          <w:i/>
          <w:iCs/>
          <w:color w:val="auto"/>
        </w:rPr>
        <w:t xml:space="preserve">(direkte omkostninger) </w:t>
      </w:r>
      <w:r w:rsidR="00973664" w:rsidRPr="004E4F57">
        <w:rPr>
          <w:iCs/>
          <w:color w:val="auto"/>
        </w:rPr>
        <w:t xml:space="preserve">ekskl. </w:t>
      </w:r>
      <w:r w:rsidR="004E4F57" w:rsidRPr="004E4F57">
        <w:rPr>
          <w:iCs/>
          <w:color w:val="auto"/>
        </w:rPr>
        <w:t>administration</w:t>
      </w:r>
      <w:r w:rsidR="00973664" w:rsidRPr="004E4F57">
        <w:rPr>
          <w:iCs/>
          <w:color w:val="auto"/>
        </w:rPr>
        <w:t>.</w:t>
      </w:r>
      <w:r w:rsidRPr="004E4F57">
        <w:rPr>
          <w:iCs/>
          <w:color w:val="auto"/>
        </w:rPr>
        <w:t xml:space="preserve"> </w:t>
      </w:r>
    </w:p>
    <w:p w14:paraId="75C5537A" w14:textId="77777777" w:rsidR="00CF4685" w:rsidRDefault="00CF4685" w:rsidP="0047456A">
      <w:pPr>
        <w:pStyle w:val="Default"/>
        <w:spacing w:line="276" w:lineRule="auto"/>
        <w:rPr>
          <w:b/>
          <w:bCs/>
          <w:color w:val="auto"/>
        </w:rPr>
      </w:pPr>
    </w:p>
    <w:p w14:paraId="2E20640F" w14:textId="77777777" w:rsidR="00CF4685" w:rsidRPr="00DC5AD6" w:rsidRDefault="00CF4685" w:rsidP="0047456A">
      <w:pPr>
        <w:pStyle w:val="Default"/>
        <w:spacing w:line="276" w:lineRule="auto"/>
        <w:rPr>
          <w:color w:val="auto"/>
        </w:rPr>
      </w:pPr>
      <w:r w:rsidRPr="00CF4685">
        <w:rPr>
          <w:color w:val="auto"/>
        </w:rPr>
        <w:lastRenderedPageBreak/>
        <w:t xml:space="preserve">Administrationsvederlagets anvendelse skal ikke specificeres eller </w:t>
      </w:r>
      <w:r w:rsidRPr="00DC5AD6">
        <w:rPr>
          <w:color w:val="auto"/>
        </w:rPr>
        <w:t>dokumenteres af organisationen, hverken i budget- eller regnskabsfasen</w:t>
      </w:r>
      <w:r w:rsidR="00885122">
        <w:rPr>
          <w:color w:val="auto"/>
        </w:rPr>
        <w:t xml:space="preserve">, men det vil hovedsageligt skulle anvendes til at dække </w:t>
      </w:r>
      <w:r w:rsidR="00A867E3">
        <w:rPr>
          <w:color w:val="auto"/>
        </w:rPr>
        <w:t>indirekte omkostninger</w:t>
      </w:r>
      <w:r w:rsidR="00885122">
        <w:rPr>
          <w:color w:val="auto"/>
        </w:rPr>
        <w:t xml:space="preserve"> angivet</w:t>
      </w:r>
      <w:r w:rsidR="00973664" w:rsidRPr="00DC5AD6">
        <w:rPr>
          <w:color w:val="auto"/>
        </w:rPr>
        <w:t xml:space="preserve"> i </w:t>
      </w:r>
      <w:r w:rsidR="004057D1" w:rsidRPr="00DC5AD6">
        <w:rPr>
          <w:color w:val="auto"/>
        </w:rPr>
        <w:t xml:space="preserve">budgetnote </w:t>
      </w:r>
      <w:r w:rsidR="00DC5AD6" w:rsidRPr="00DC5AD6">
        <w:rPr>
          <w:color w:val="auto"/>
        </w:rPr>
        <w:t xml:space="preserve">i </w:t>
      </w:r>
      <w:r w:rsidR="00077DD8" w:rsidRPr="00DC5AD6">
        <w:rPr>
          <w:color w:val="auto"/>
        </w:rPr>
        <w:t>anne</w:t>
      </w:r>
      <w:r w:rsidR="00885122">
        <w:rPr>
          <w:color w:val="auto"/>
        </w:rPr>
        <w:t>ks</w:t>
      </w:r>
      <w:r w:rsidR="00077DD8" w:rsidRPr="00DC5AD6">
        <w:rPr>
          <w:color w:val="auto"/>
        </w:rPr>
        <w:t xml:space="preserve"> 4</w:t>
      </w:r>
      <w:r w:rsidR="004057D1" w:rsidRPr="00DC5AD6">
        <w:rPr>
          <w:color w:val="auto"/>
        </w:rPr>
        <w:t>.</w:t>
      </w:r>
    </w:p>
    <w:p w14:paraId="2BAB6D4A" w14:textId="77777777" w:rsidR="00CF4685" w:rsidRPr="00DC5AD6" w:rsidRDefault="00CF4685" w:rsidP="0047456A">
      <w:pPr>
        <w:pStyle w:val="Default"/>
        <w:spacing w:line="276" w:lineRule="auto"/>
        <w:rPr>
          <w:color w:val="auto"/>
        </w:rPr>
      </w:pPr>
    </w:p>
    <w:p w14:paraId="6A8C818D" w14:textId="77777777" w:rsidR="00CF4685" w:rsidRPr="0047456A" w:rsidRDefault="00CF4685" w:rsidP="003C6EF6">
      <w:pPr>
        <w:pStyle w:val="Overskrift1"/>
      </w:pPr>
      <w:bookmarkStart w:id="6" w:name="_Toc67665620"/>
      <w:r w:rsidRPr="00DC5AD6">
        <w:t>6. Udbetaling af tilskud</w:t>
      </w:r>
      <w:bookmarkEnd w:id="6"/>
      <w:r w:rsidRPr="0047456A">
        <w:t xml:space="preserve"> </w:t>
      </w:r>
    </w:p>
    <w:p w14:paraId="2B52FDFA" w14:textId="77777777" w:rsidR="00CF4685" w:rsidRDefault="00CF4685" w:rsidP="0047456A">
      <w:pPr>
        <w:pStyle w:val="Default"/>
        <w:spacing w:line="276" w:lineRule="auto"/>
        <w:rPr>
          <w:b/>
          <w:bCs/>
          <w:color w:val="auto"/>
        </w:rPr>
      </w:pPr>
    </w:p>
    <w:p w14:paraId="54BFBA37" w14:textId="77777777" w:rsidR="00CF4685" w:rsidRDefault="00CF4685" w:rsidP="0047456A">
      <w:pPr>
        <w:pStyle w:val="Default"/>
        <w:spacing w:line="276" w:lineRule="auto"/>
        <w:rPr>
          <w:color w:val="auto"/>
        </w:rPr>
      </w:pPr>
      <w:r w:rsidRPr="00CF4685">
        <w:rPr>
          <w:color w:val="auto"/>
        </w:rPr>
        <w:t xml:space="preserve">Første rate af det bevilgede tilskud udbetales i forbindelse med tilsagnet og derefter to gange årligt (januar og juli) på grundlag af </w:t>
      </w:r>
      <w:r w:rsidR="00D0202B">
        <w:rPr>
          <w:color w:val="auto"/>
        </w:rPr>
        <w:t>ud</w:t>
      </w:r>
      <w:r w:rsidRPr="00CF4685">
        <w:rPr>
          <w:color w:val="auto"/>
        </w:rPr>
        <w:t xml:space="preserve">betalingsanmodninger fra organisationen. </w:t>
      </w:r>
    </w:p>
    <w:p w14:paraId="5A57C3E5" w14:textId="77777777" w:rsidR="00CF4685" w:rsidRPr="00CF4685" w:rsidRDefault="00CF4685" w:rsidP="0047456A">
      <w:pPr>
        <w:pStyle w:val="Default"/>
        <w:spacing w:line="276" w:lineRule="auto"/>
        <w:rPr>
          <w:color w:val="auto"/>
        </w:rPr>
      </w:pPr>
    </w:p>
    <w:p w14:paraId="740301F4" w14:textId="77777777" w:rsidR="00CF4685" w:rsidRPr="00CF4685" w:rsidRDefault="00CF4685" w:rsidP="0047456A">
      <w:pPr>
        <w:pStyle w:val="Default"/>
        <w:spacing w:line="276" w:lineRule="auto"/>
        <w:rPr>
          <w:color w:val="auto"/>
        </w:rPr>
      </w:pPr>
      <w:r w:rsidRPr="00DC5AD6">
        <w:rPr>
          <w:color w:val="auto"/>
        </w:rPr>
        <w:t xml:space="preserve">Organisationen anmoder om udbetaling af tilskudsmidler i henhold til formular </w:t>
      </w:r>
      <w:r w:rsidR="00DC5AD6" w:rsidRPr="00DC5AD6">
        <w:rPr>
          <w:color w:val="auto"/>
        </w:rPr>
        <w:t xml:space="preserve">i </w:t>
      </w:r>
      <w:r w:rsidR="00CE6D0C" w:rsidRPr="00DC5AD6">
        <w:rPr>
          <w:color w:val="auto"/>
        </w:rPr>
        <w:t>anne</w:t>
      </w:r>
      <w:r w:rsidR="00B47BA6">
        <w:rPr>
          <w:color w:val="auto"/>
        </w:rPr>
        <w:t>ks</w:t>
      </w:r>
      <w:r w:rsidR="00CE6D0C" w:rsidRPr="00DC5AD6">
        <w:rPr>
          <w:color w:val="auto"/>
        </w:rPr>
        <w:t xml:space="preserve"> 7</w:t>
      </w:r>
      <w:r w:rsidR="002E636D" w:rsidRPr="00DC5AD6">
        <w:rPr>
          <w:color w:val="auto"/>
        </w:rPr>
        <w:t xml:space="preserve"> </w:t>
      </w:r>
      <w:r w:rsidRPr="00DC5AD6">
        <w:rPr>
          <w:color w:val="auto"/>
        </w:rPr>
        <w:t>og vejledning i</w:t>
      </w:r>
      <w:r w:rsidR="002E636D" w:rsidRPr="00DC5AD6">
        <w:rPr>
          <w:color w:val="auto"/>
        </w:rPr>
        <w:t xml:space="preserve"> </w:t>
      </w:r>
      <w:r w:rsidR="00CE6D0C" w:rsidRPr="00DC5AD6">
        <w:rPr>
          <w:color w:val="auto"/>
        </w:rPr>
        <w:t>anne</w:t>
      </w:r>
      <w:r w:rsidR="00B47BA6">
        <w:rPr>
          <w:color w:val="auto"/>
        </w:rPr>
        <w:t>ks</w:t>
      </w:r>
      <w:r w:rsidR="00CE6D0C" w:rsidRPr="00DC5AD6">
        <w:rPr>
          <w:color w:val="auto"/>
        </w:rPr>
        <w:t xml:space="preserve"> 8</w:t>
      </w:r>
      <w:r w:rsidR="002E636D" w:rsidRPr="00DC5AD6">
        <w:rPr>
          <w:color w:val="auto"/>
        </w:rPr>
        <w:t>.</w:t>
      </w:r>
      <w:r w:rsidRPr="00DC5AD6">
        <w:rPr>
          <w:b/>
          <w:bCs/>
          <w:color w:val="auto"/>
        </w:rPr>
        <w:t xml:space="preserve"> </w:t>
      </w:r>
      <w:r w:rsidRPr="00DC5AD6">
        <w:rPr>
          <w:color w:val="auto"/>
        </w:rPr>
        <w:t xml:space="preserve">Betalingsanmodningen udarbejdes på grundlag af det forventede forbrug, således at der ikke opbygges mere likviditet end påkrævet for aktiviteternes </w:t>
      </w:r>
      <w:r w:rsidR="001510F7" w:rsidRPr="00DC5AD6">
        <w:rPr>
          <w:color w:val="auto"/>
        </w:rPr>
        <w:t>g</w:t>
      </w:r>
      <w:r w:rsidR="00C9758E" w:rsidRPr="00DC5AD6">
        <w:rPr>
          <w:color w:val="auto"/>
        </w:rPr>
        <w:t>ennemførelse</w:t>
      </w:r>
      <w:r w:rsidR="00C33319">
        <w:rPr>
          <w:color w:val="auto"/>
        </w:rPr>
        <w:t xml:space="preserve">. </w:t>
      </w:r>
      <w:r w:rsidRPr="00CF4685">
        <w:rPr>
          <w:color w:val="auto"/>
        </w:rPr>
        <w:t xml:space="preserve">Det påhviler organisationen at sikre, at betalingsanmodninger </w:t>
      </w:r>
      <w:r w:rsidR="00CE4BE3">
        <w:rPr>
          <w:color w:val="auto"/>
        </w:rPr>
        <w:t xml:space="preserve">underskrives og </w:t>
      </w:r>
      <w:r w:rsidRPr="00CF4685">
        <w:rPr>
          <w:color w:val="auto"/>
        </w:rPr>
        <w:t xml:space="preserve">fremsendes af personer, der er bemyndigede hertil. </w:t>
      </w:r>
    </w:p>
    <w:p w14:paraId="326EDEB5" w14:textId="77777777" w:rsidR="001510F7" w:rsidRDefault="001510F7" w:rsidP="0047456A">
      <w:pPr>
        <w:pStyle w:val="Default"/>
        <w:spacing w:line="276" w:lineRule="auto"/>
        <w:rPr>
          <w:b/>
          <w:bCs/>
          <w:color w:val="auto"/>
        </w:rPr>
      </w:pPr>
    </w:p>
    <w:p w14:paraId="6262A356" w14:textId="77777777" w:rsidR="00CF4685" w:rsidRPr="00CF4685" w:rsidRDefault="00CF4685" w:rsidP="0047456A">
      <w:pPr>
        <w:pStyle w:val="Default"/>
        <w:spacing w:line="276" w:lineRule="auto"/>
        <w:rPr>
          <w:color w:val="auto"/>
        </w:rPr>
      </w:pPr>
      <w:r w:rsidRPr="00CF4685">
        <w:rPr>
          <w:b/>
          <w:bCs/>
          <w:color w:val="auto"/>
        </w:rPr>
        <w:t xml:space="preserve">Generelt for alle aktiviteter: </w:t>
      </w:r>
    </w:p>
    <w:p w14:paraId="7D21156C" w14:textId="77777777" w:rsidR="00CF4685" w:rsidRPr="00CF4685" w:rsidRDefault="00CF4685" w:rsidP="0047456A">
      <w:pPr>
        <w:pStyle w:val="Default"/>
        <w:spacing w:line="276" w:lineRule="auto"/>
        <w:rPr>
          <w:color w:val="auto"/>
        </w:rPr>
      </w:pPr>
      <w:r w:rsidRPr="00CF4685">
        <w:rPr>
          <w:color w:val="auto"/>
        </w:rPr>
        <w:t xml:space="preserve">Anviste tilskud skal hensættes på separat bankkonto i Danmark, adskilt fra organisationens egne midler. </w:t>
      </w:r>
      <w:r w:rsidR="008F3AB2">
        <w:rPr>
          <w:color w:val="auto"/>
        </w:rPr>
        <w:t>Alternativt kan adskillelse finde sted gennem organisationens økonomisystem.</w:t>
      </w:r>
      <w:r w:rsidR="002E636D">
        <w:rPr>
          <w:color w:val="auto"/>
        </w:rPr>
        <w:t xml:space="preserve"> </w:t>
      </w:r>
      <w:r w:rsidR="00C30F0A">
        <w:rPr>
          <w:color w:val="auto"/>
        </w:rPr>
        <w:t xml:space="preserve">Det </w:t>
      </w:r>
      <w:r w:rsidRPr="00CF4685">
        <w:rPr>
          <w:color w:val="auto"/>
        </w:rPr>
        <w:t xml:space="preserve">påhviler organisationen at indgå skriftlig aftale med banken om, at de på kontoen til enhver tid indestående ubrugte tilskudsmidler tilhører Udenrigsministeriet, og at banken ikke er berettiget til at modregne organisationens eventuelle gæld til banken i indeståendet eller gøre udlæg heri. </w:t>
      </w:r>
    </w:p>
    <w:p w14:paraId="793FC1BF" w14:textId="77777777" w:rsidR="00C33319" w:rsidRDefault="00C33319" w:rsidP="0047456A">
      <w:pPr>
        <w:pStyle w:val="Default"/>
        <w:spacing w:line="276" w:lineRule="auto"/>
        <w:rPr>
          <w:color w:val="auto"/>
        </w:rPr>
      </w:pPr>
    </w:p>
    <w:p w14:paraId="1DF8C3C9" w14:textId="77777777" w:rsidR="00CF4685" w:rsidRPr="00CF4685" w:rsidRDefault="00CF4685" w:rsidP="0047456A">
      <w:pPr>
        <w:pStyle w:val="Default"/>
        <w:spacing w:line="276" w:lineRule="auto"/>
        <w:rPr>
          <w:color w:val="auto"/>
        </w:rPr>
      </w:pPr>
      <w:r w:rsidRPr="00CF4685">
        <w:rPr>
          <w:color w:val="auto"/>
        </w:rPr>
        <w:t xml:space="preserve">Statslige tilskudsmidler, der anvendes til aktiviteter i udlandet, skal kunne dokumenteres overført fra organisationens konto i Danmark. Organisationens eventuelle egne beholdninger af midler i lokal valuta vil dog kunne indgå i finansieringen, såfremt disse er overført til modtagerlandet som led i organisationens egne </w:t>
      </w:r>
      <w:r w:rsidR="00C33319">
        <w:rPr>
          <w:color w:val="auto"/>
        </w:rPr>
        <w:t>udvikling</w:t>
      </w:r>
      <w:r w:rsidR="00C33319" w:rsidRPr="00CF4685">
        <w:rPr>
          <w:color w:val="auto"/>
        </w:rPr>
        <w:t>saktiviteter</w:t>
      </w:r>
      <w:r w:rsidRPr="00CF4685">
        <w:rPr>
          <w:color w:val="auto"/>
        </w:rPr>
        <w:t xml:space="preserve">. </w:t>
      </w:r>
    </w:p>
    <w:p w14:paraId="6B7BB22F" w14:textId="77777777" w:rsidR="001510F7" w:rsidRDefault="001510F7" w:rsidP="0047456A">
      <w:pPr>
        <w:pStyle w:val="Default"/>
        <w:spacing w:line="276" w:lineRule="auto"/>
        <w:rPr>
          <w:b/>
          <w:bCs/>
          <w:color w:val="auto"/>
        </w:rPr>
      </w:pPr>
    </w:p>
    <w:p w14:paraId="036FAFD0" w14:textId="77777777" w:rsidR="00CF4685" w:rsidRPr="0047456A" w:rsidRDefault="00CF4685" w:rsidP="003C6EF6">
      <w:pPr>
        <w:pStyle w:val="Overskrift1"/>
      </w:pPr>
      <w:bookmarkStart w:id="7" w:name="_Toc67665621"/>
      <w:r w:rsidRPr="0047456A">
        <w:t>7. Rapportering</w:t>
      </w:r>
      <w:bookmarkEnd w:id="7"/>
      <w:r w:rsidRPr="0047456A">
        <w:t xml:space="preserve"> </w:t>
      </w:r>
    </w:p>
    <w:p w14:paraId="6EB8600E" w14:textId="77777777" w:rsidR="00CF4685" w:rsidRDefault="00CF4685" w:rsidP="0047456A">
      <w:pPr>
        <w:pStyle w:val="Default"/>
        <w:spacing w:line="276" w:lineRule="auto"/>
        <w:rPr>
          <w:color w:val="auto"/>
        </w:rPr>
      </w:pPr>
      <w:r w:rsidRPr="00CF4685">
        <w:rPr>
          <w:color w:val="auto"/>
        </w:rPr>
        <w:t xml:space="preserve">Al korrespondance til Udenrigsministeriet skal foregå elektronisk og sendes til </w:t>
      </w:r>
      <w:r w:rsidR="006B7293">
        <w:rPr>
          <w:color w:val="auto"/>
        </w:rPr>
        <w:t xml:space="preserve">det relevante kontor i Udenrigsministeriet </w:t>
      </w:r>
      <w:r w:rsidRPr="00CF4685">
        <w:rPr>
          <w:color w:val="auto"/>
        </w:rPr>
        <w:t xml:space="preserve">med kopi til den relevante sagsbehandler. </w:t>
      </w:r>
    </w:p>
    <w:p w14:paraId="3249DA58" w14:textId="77777777" w:rsidR="001510F7" w:rsidRPr="00CF4685" w:rsidRDefault="001510F7" w:rsidP="0047456A">
      <w:pPr>
        <w:pStyle w:val="Default"/>
        <w:spacing w:line="276" w:lineRule="auto"/>
        <w:rPr>
          <w:color w:val="auto"/>
        </w:rPr>
      </w:pPr>
    </w:p>
    <w:p w14:paraId="7797D4DF" w14:textId="75ADACF8" w:rsidR="00AF3F8A" w:rsidRPr="000E32C8" w:rsidRDefault="00CF4685" w:rsidP="000E32C8">
      <w:pPr>
        <w:pStyle w:val="Default"/>
        <w:spacing w:line="276" w:lineRule="auto"/>
        <w:rPr>
          <w:color w:val="auto"/>
        </w:rPr>
      </w:pPr>
      <w:r w:rsidRPr="000E32C8">
        <w:rPr>
          <w:color w:val="auto"/>
        </w:rPr>
        <w:t xml:space="preserve">Organisationens pligt til rapportering om aktivitetens forløb omfatter følgende: </w:t>
      </w:r>
    </w:p>
    <w:p w14:paraId="16CE5A16" w14:textId="19D38167" w:rsidR="00C016E8" w:rsidRPr="00A9437C" w:rsidRDefault="00C07B11" w:rsidP="00C016E8">
      <w:pPr>
        <w:pStyle w:val="Default"/>
        <w:numPr>
          <w:ilvl w:val="0"/>
          <w:numId w:val="5"/>
        </w:numPr>
        <w:spacing w:line="276" w:lineRule="auto"/>
        <w:rPr>
          <w:color w:val="auto"/>
        </w:rPr>
      </w:pPr>
      <w:r>
        <w:rPr>
          <w:color w:val="auto"/>
        </w:rPr>
        <w:t>F</w:t>
      </w:r>
      <w:r w:rsidR="00CF4685" w:rsidRPr="000E32C8">
        <w:rPr>
          <w:color w:val="auto"/>
        </w:rPr>
        <w:t xml:space="preserve">or alle aktiviteter med en løbetid over 18 måneder indsendes </w:t>
      </w:r>
      <w:r w:rsidR="00C309C3" w:rsidRPr="000E32C8">
        <w:rPr>
          <w:b/>
          <w:color w:val="auto"/>
        </w:rPr>
        <w:t xml:space="preserve">den 1. juli hvert år </w:t>
      </w:r>
      <w:r w:rsidR="00CF4685" w:rsidRPr="000E32C8">
        <w:rPr>
          <w:b/>
          <w:color w:val="auto"/>
        </w:rPr>
        <w:t xml:space="preserve">en </w:t>
      </w:r>
      <w:r w:rsidR="000B1983" w:rsidRPr="000E32C8">
        <w:rPr>
          <w:b/>
          <w:color w:val="auto"/>
        </w:rPr>
        <w:t>narrativ</w:t>
      </w:r>
      <w:r w:rsidR="000B1983" w:rsidRPr="000E32C8">
        <w:rPr>
          <w:color w:val="auto"/>
        </w:rPr>
        <w:t xml:space="preserve"> </w:t>
      </w:r>
      <w:r w:rsidR="00CF4685" w:rsidRPr="000E32C8">
        <w:rPr>
          <w:b/>
          <w:bCs/>
          <w:color w:val="auto"/>
        </w:rPr>
        <w:t>statusrapport</w:t>
      </w:r>
      <w:r w:rsidR="00C309C3" w:rsidRPr="000E32C8">
        <w:rPr>
          <w:b/>
          <w:bCs/>
          <w:color w:val="auto"/>
        </w:rPr>
        <w:t>,</w:t>
      </w:r>
      <w:r w:rsidR="000B1983" w:rsidRPr="000E32C8">
        <w:rPr>
          <w:b/>
          <w:bCs/>
          <w:color w:val="auto"/>
        </w:rPr>
        <w:t xml:space="preserve"> finansiel statusrapport </w:t>
      </w:r>
      <w:r w:rsidR="00C309C3" w:rsidRPr="000E32C8">
        <w:rPr>
          <w:b/>
          <w:bCs/>
          <w:color w:val="auto"/>
        </w:rPr>
        <w:t>og revideret årsregnskab for organisationen (se også afsnit 8)</w:t>
      </w:r>
      <w:r w:rsidR="00C016E8" w:rsidRPr="000E32C8">
        <w:rPr>
          <w:color w:val="auto"/>
        </w:rPr>
        <w:t xml:space="preserve">, medmindre en anden dato for rapportering fremgår af </w:t>
      </w:r>
      <w:r w:rsidR="00AF3F8A" w:rsidRPr="000E32C8">
        <w:rPr>
          <w:color w:val="auto"/>
        </w:rPr>
        <w:t xml:space="preserve">Information Note for call for proposals eller </w:t>
      </w:r>
      <w:r w:rsidR="00C016E8" w:rsidRPr="000E32C8">
        <w:rPr>
          <w:color w:val="auto"/>
        </w:rPr>
        <w:t>aftalen med Udenrigsministeriet.</w:t>
      </w:r>
      <w:r w:rsidR="00AF3F8A" w:rsidRPr="000E32C8">
        <w:rPr>
          <w:color w:val="auto"/>
        </w:rPr>
        <w:t xml:space="preserve"> </w:t>
      </w:r>
      <w:r w:rsidR="00AF3F8A" w:rsidRPr="000E32C8">
        <w:rPr>
          <w:color w:val="auto"/>
        </w:rPr>
        <w:t xml:space="preserve">Rapporteringen skal følge format for henholdsvis statusrapport (anneks 1) og finansiel </w:t>
      </w:r>
      <w:r w:rsidR="00AF3F8A">
        <w:rPr>
          <w:color w:val="auto"/>
        </w:rPr>
        <w:t>statusrapport (anneks 5)</w:t>
      </w:r>
      <w:r w:rsidR="00AF3F8A" w:rsidRPr="00C016E8">
        <w:rPr>
          <w:color w:val="auto"/>
        </w:rPr>
        <w:t xml:space="preserve"> og skal dække gennemførte aktiviteter i det forgangne kalenderår</w:t>
      </w:r>
      <w:r w:rsidR="00AF3F8A">
        <w:rPr>
          <w:color w:val="auto"/>
        </w:rPr>
        <w:t>.</w:t>
      </w:r>
    </w:p>
    <w:p w14:paraId="3980B4C3" w14:textId="5FB2068D" w:rsidR="00AF3F8A" w:rsidRPr="000E32C8" w:rsidRDefault="00C07B11" w:rsidP="000E32C8">
      <w:pPr>
        <w:pStyle w:val="Default"/>
        <w:numPr>
          <w:ilvl w:val="0"/>
          <w:numId w:val="5"/>
        </w:numPr>
        <w:spacing w:line="276" w:lineRule="auto"/>
        <w:rPr>
          <w:color w:val="auto"/>
        </w:rPr>
      </w:pPr>
      <w:r>
        <w:rPr>
          <w:color w:val="auto"/>
        </w:rPr>
        <w:t>F</w:t>
      </w:r>
      <w:r w:rsidR="00AF3F8A">
        <w:rPr>
          <w:color w:val="auto"/>
        </w:rPr>
        <w:t>or aktiviteter med en løbetid på under 18 måneder er en afslutte</w:t>
      </w:r>
      <w:r w:rsidR="000E32C8">
        <w:rPr>
          <w:color w:val="auto"/>
        </w:rPr>
        <w:t>nde rapportering tilstrækkelig.</w:t>
      </w:r>
    </w:p>
    <w:p w14:paraId="238189C2" w14:textId="7DEA4F8F" w:rsidR="00310020" w:rsidRPr="00310020" w:rsidRDefault="00CF4685" w:rsidP="000E32C8">
      <w:pPr>
        <w:pStyle w:val="Default"/>
        <w:numPr>
          <w:ilvl w:val="0"/>
          <w:numId w:val="5"/>
        </w:numPr>
        <w:spacing w:line="276" w:lineRule="auto"/>
        <w:rPr>
          <w:color w:val="auto"/>
        </w:rPr>
      </w:pPr>
      <w:r w:rsidRPr="00DC5AD6">
        <w:rPr>
          <w:color w:val="auto"/>
        </w:rPr>
        <w:t xml:space="preserve">For alle aktiviteter afleveres en </w:t>
      </w:r>
      <w:r w:rsidRPr="00DC5AD6">
        <w:rPr>
          <w:b/>
          <w:bCs/>
          <w:color w:val="auto"/>
        </w:rPr>
        <w:t>afsluttende rapport</w:t>
      </w:r>
      <w:r w:rsidR="000B1983">
        <w:rPr>
          <w:b/>
          <w:bCs/>
          <w:color w:val="auto"/>
        </w:rPr>
        <w:t xml:space="preserve"> og afsluttende revideret regnskab,</w:t>
      </w:r>
      <w:r w:rsidR="000C3AFE" w:rsidRPr="00DC5AD6">
        <w:rPr>
          <w:b/>
          <w:bCs/>
          <w:color w:val="auto"/>
        </w:rPr>
        <w:t xml:space="preserve"> </w:t>
      </w:r>
      <w:r w:rsidR="00953AD6" w:rsidRPr="00B935E4">
        <w:rPr>
          <w:color w:val="auto"/>
        </w:rPr>
        <w:t>senest seks måneder efter aktivitetens afsl</w:t>
      </w:r>
      <w:r w:rsidR="00953AD6">
        <w:rPr>
          <w:color w:val="auto"/>
        </w:rPr>
        <w:t>utning</w:t>
      </w:r>
      <w:r w:rsidR="00953AD6" w:rsidRPr="00CF4685">
        <w:rPr>
          <w:color w:val="auto"/>
        </w:rPr>
        <w:t>.</w:t>
      </w:r>
      <w:r w:rsidR="00953AD6">
        <w:rPr>
          <w:color w:val="auto"/>
        </w:rPr>
        <w:t xml:space="preserve"> Rapporteringen</w:t>
      </w:r>
      <w:r w:rsidR="00953AD6" w:rsidRPr="00C016E8">
        <w:rPr>
          <w:color w:val="auto"/>
        </w:rPr>
        <w:t xml:space="preserve"> </w:t>
      </w:r>
      <w:r w:rsidR="00953AD6">
        <w:rPr>
          <w:color w:val="auto"/>
        </w:rPr>
        <w:t xml:space="preserve">skal følge format for henholdsvis </w:t>
      </w:r>
      <w:r w:rsidR="00C016E8">
        <w:rPr>
          <w:bCs/>
          <w:color w:val="auto"/>
        </w:rPr>
        <w:t>afslut</w:t>
      </w:r>
      <w:r w:rsidR="000B1983">
        <w:rPr>
          <w:bCs/>
          <w:color w:val="auto"/>
        </w:rPr>
        <w:t>t</w:t>
      </w:r>
      <w:r w:rsidR="00C016E8">
        <w:rPr>
          <w:bCs/>
          <w:color w:val="auto"/>
        </w:rPr>
        <w:t>e</w:t>
      </w:r>
      <w:r w:rsidR="000B1983">
        <w:rPr>
          <w:bCs/>
          <w:color w:val="auto"/>
        </w:rPr>
        <w:t>nde rapport (</w:t>
      </w:r>
      <w:r w:rsidR="00CE6D0C" w:rsidRPr="00C016E8">
        <w:rPr>
          <w:bCs/>
          <w:color w:val="auto"/>
        </w:rPr>
        <w:t>anne</w:t>
      </w:r>
      <w:r w:rsidR="00B47BA6" w:rsidRPr="00C016E8">
        <w:rPr>
          <w:bCs/>
          <w:color w:val="auto"/>
        </w:rPr>
        <w:t>ks</w:t>
      </w:r>
      <w:r w:rsidR="00CE6D0C" w:rsidRPr="00C016E8">
        <w:rPr>
          <w:bCs/>
          <w:color w:val="auto"/>
        </w:rPr>
        <w:t xml:space="preserve"> 2</w:t>
      </w:r>
      <w:r w:rsidR="000B1983" w:rsidRPr="00C016E8">
        <w:rPr>
          <w:bCs/>
          <w:color w:val="auto"/>
        </w:rPr>
        <w:t>)</w:t>
      </w:r>
      <w:r w:rsidRPr="000E32C8">
        <w:rPr>
          <w:bCs/>
          <w:color w:val="auto"/>
        </w:rPr>
        <w:t xml:space="preserve"> </w:t>
      </w:r>
      <w:r w:rsidR="000B1983" w:rsidRPr="000E32C8">
        <w:rPr>
          <w:bCs/>
          <w:color w:val="auto"/>
        </w:rPr>
        <w:t xml:space="preserve">og </w:t>
      </w:r>
      <w:r w:rsidR="00C016E8" w:rsidRPr="000E32C8">
        <w:rPr>
          <w:bCs/>
          <w:color w:val="auto"/>
        </w:rPr>
        <w:t>afsluttende revideret regnskab (</w:t>
      </w:r>
      <w:r w:rsidR="000B1983" w:rsidRPr="000E32C8">
        <w:rPr>
          <w:bCs/>
          <w:color w:val="auto"/>
        </w:rPr>
        <w:t>anneks 6</w:t>
      </w:r>
      <w:r w:rsidR="00C016E8" w:rsidRPr="000E32C8">
        <w:rPr>
          <w:bCs/>
          <w:color w:val="auto"/>
        </w:rPr>
        <w:t>)</w:t>
      </w:r>
      <w:r w:rsidR="00953AD6">
        <w:rPr>
          <w:bCs/>
          <w:color w:val="auto"/>
        </w:rPr>
        <w:t>.</w:t>
      </w:r>
      <w:r w:rsidR="000B1983" w:rsidRPr="000E32C8">
        <w:rPr>
          <w:bCs/>
          <w:color w:val="auto"/>
        </w:rPr>
        <w:t xml:space="preserve"> </w:t>
      </w:r>
    </w:p>
    <w:p w14:paraId="6AD0D222" w14:textId="069F151A" w:rsidR="00CF4685" w:rsidRPr="000E32C8" w:rsidRDefault="00310020" w:rsidP="000E32C8">
      <w:pPr>
        <w:pStyle w:val="Default"/>
        <w:numPr>
          <w:ilvl w:val="0"/>
          <w:numId w:val="5"/>
        </w:numPr>
        <w:spacing w:line="276" w:lineRule="auto"/>
        <w:rPr>
          <w:color w:val="auto"/>
        </w:rPr>
      </w:pPr>
      <w:r w:rsidRPr="00C016E8">
        <w:rPr>
          <w:color w:val="auto"/>
        </w:rPr>
        <w:t xml:space="preserve">Hvis rapporteringen indeholder oplysninger, der kræver specifik stillingtagen fra Udenrigsministeriet, bør dette fremgå af følgeskrivelsen. </w:t>
      </w:r>
    </w:p>
    <w:p w14:paraId="534A211D" w14:textId="77777777" w:rsidR="00CF4685" w:rsidRPr="00CE6D0C" w:rsidRDefault="00CF4685" w:rsidP="0047456A">
      <w:pPr>
        <w:pStyle w:val="Default"/>
        <w:spacing w:line="276" w:lineRule="auto"/>
        <w:rPr>
          <w:color w:val="auto"/>
        </w:rPr>
      </w:pPr>
    </w:p>
    <w:p w14:paraId="5DE536F1" w14:textId="77777777" w:rsidR="00CF4685" w:rsidRPr="00CF4685" w:rsidRDefault="00CF4685" w:rsidP="0047456A">
      <w:pPr>
        <w:pStyle w:val="Default"/>
        <w:spacing w:line="276" w:lineRule="auto"/>
        <w:rPr>
          <w:color w:val="auto"/>
        </w:rPr>
      </w:pPr>
      <w:r w:rsidRPr="00CF4685">
        <w:rPr>
          <w:color w:val="auto"/>
        </w:rPr>
        <w:lastRenderedPageBreak/>
        <w:t xml:space="preserve">Det påhviler i øvrigt organisationen straks at rapportere til Udenrigsministeriet i følgende tilfælde: </w:t>
      </w:r>
    </w:p>
    <w:p w14:paraId="3D799A7C" w14:textId="77777777" w:rsidR="00CF4685" w:rsidRPr="00CF4685" w:rsidRDefault="00CF4685" w:rsidP="0047456A">
      <w:pPr>
        <w:pStyle w:val="Default"/>
        <w:numPr>
          <w:ilvl w:val="0"/>
          <w:numId w:val="11"/>
        </w:numPr>
        <w:spacing w:line="276" w:lineRule="auto"/>
        <w:rPr>
          <w:color w:val="auto"/>
        </w:rPr>
      </w:pPr>
      <w:r w:rsidRPr="00CF4685">
        <w:rPr>
          <w:color w:val="auto"/>
        </w:rPr>
        <w:t xml:space="preserve">såfremt der opstår væsentlige vanskeligheder i gennemførelsen af aktiviteterne, herunder i forhold til at overholde det vedtagne budget, </w:t>
      </w:r>
    </w:p>
    <w:p w14:paraId="7D286634" w14:textId="77777777" w:rsidR="00CF4685" w:rsidRPr="00CF4685" w:rsidRDefault="00CF4685" w:rsidP="0047456A">
      <w:pPr>
        <w:pStyle w:val="Default"/>
        <w:numPr>
          <w:ilvl w:val="0"/>
          <w:numId w:val="11"/>
        </w:numPr>
        <w:spacing w:line="276" w:lineRule="auto"/>
        <w:rPr>
          <w:color w:val="auto"/>
        </w:rPr>
      </w:pPr>
      <w:r w:rsidRPr="00CF4685">
        <w:rPr>
          <w:color w:val="auto"/>
        </w:rPr>
        <w:t xml:space="preserve">såfremt der opstår væsentlige problemer i organisationens forhold til modtagerlandets myndigheder, partnerorganisationer eller udsendte medarbejdere, </w:t>
      </w:r>
    </w:p>
    <w:p w14:paraId="11E5CCF5" w14:textId="77777777" w:rsidR="00CF4685" w:rsidRPr="00CF4685" w:rsidRDefault="00CF4685" w:rsidP="0047456A">
      <w:pPr>
        <w:pStyle w:val="Default"/>
        <w:numPr>
          <w:ilvl w:val="0"/>
          <w:numId w:val="11"/>
        </w:numPr>
        <w:spacing w:line="276" w:lineRule="auto"/>
        <w:rPr>
          <w:color w:val="auto"/>
        </w:rPr>
      </w:pPr>
      <w:r w:rsidRPr="00CF4685">
        <w:rPr>
          <w:color w:val="auto"/>
        </w:rPr>
        <w:t xml:space="preserve">såfremt der opstår begrundet mistanke om eller konstateres tyveri, bedrageri, korruption, misbrug, støtte til terrorvirksomhed eller andre tilsvarende uregelmæssigheder i administrationen af aktiviteten. </w:t>
      </w:r>
    </w:p>
    <w:p w14:paraId="37F4946B" w14:textId="77777777" w:rsidR="00CF4685" w:rsidRPr="00CF4685" w:rsidRDefault="00CF4685" w:rsidP="0047456A">
      <w:pPr>
        <w:pStyle w:val="Default"/>
        <w:spacing w:line="276" w:lineRule="auto"/>
        <w:rPr>
          <w:color w:val="auto"/>
        </w:rPr>
      </w:pPr>
    </w:p>
    <w:p w14:paraId="3CEE964D" w14:textId="77777777" w:rsidR="00CF4685" w:rsidRDefault="00CF4685" w:rsidP="0047456A">
      <w:pPr>
        <w:pStyle w:val="Default"/>
        <w:spacing w:line="276" w:lineRule="auto"/>
        <w:rPr>
          <w:color w:val="auto"/>
        </w:rPr>
      </w:pPr>
      <w:r w:rsidRPr="00CF4685">
        <w:rPr>
          <w:color w:val="auto"/>
        </w:rPr>
        <w:t xml:space="preserve">Sådan rapportering skal ske omgående, på skrift og </w:t>
      </w:r>
      <w:r w:rsidR="009E0727">
        <w:rPr>
          <w:color w:val="auto"/>
        </w:rPr>
        <w:t xml:space="preserve">skal </w:t>
      </w:r>
      <w:r w:rsidRPr="00CF4685">
        <w:rPr>
          <w:color w:val="auto"/>
        </w:rPr>
        <w:t xml:space="preserve">oplyse, hvorledes organisationen planlægger at </w:t>
      </w:r>
      <w:r w:rsidR="009E0727" w:rsidRPr="00CF4685">
        <w:rPr>
          <w:color w:val="auto"/>
        </w:rPr>
        <w:t xml:space="preserve">følge op på </w:t>
      </w:r>
      <w:r w:rsidR="009E0727">
        <w:rPr>
          <w:color w:val="auto"/>
        </w:rPr>
        <w:t xml:space="preserve">og </w:t>
      </w:r>
      <w:r w:rsidRPr="00CF4685">
        <w:rPr>
          <w:color w:val="auto"/>
        </w:rPr>
        <w:t xml:space="preserve">løse de rapporterede vanskeligheder eller </w:t>
      </w:r>
      <w:r w:rsidR="00880597">
        <w:rPr>
          <w:color w:val="auto"/>
        </w:rPr>
        <w:t xml:space="preserve">mistænkte </w:t>
      </w:r>
      <w:r w:rsidRPr="00CF4685">
        <w:rPr>
          <w:color w:val="auto"/>
        </w:rPr>
        <w:t xml:space="preserve">uregelmæssigheder, bl.a. med henblik på Udenrigsministeriets underretningspligt over for </w:t>
      </w:r>
      <w:r w:rsidRPr="00DC5AD6">
        <w:rPr>
          <w:color w:val="auto"/>
        </w:rPr>
        <w:t xml:space="preserve">Rigsrevisionen. Underretningen til Udenrigsministeriet skal ske i ”Skema til indrapportering af sager, hvor der er mistanke om uregelmæssig håndtering af tilskudsmidler, misbrug, svindel eller korruption” som findes </w:t>
      </w:r>
      <w:r w:rsidR="00CE6D0C" w:rsidRPr="00DC5AD6">
        <w:rPr>
          <w:color w:val="auto"/>
        </w:rPr>
        <w:t>i anne</w:t>
      </w:r>
      <w:r w:rsidR="003960D0">
        <w:rPr>
          <w:color w:val="auto"/>
        </w:rPr>
        <w:t>ks</w:t>
      </w:r>
      <w:r w:rsidR="00CE6D0C" w:rsidRPr="00DC5AD6">
        <w:rPr>
          <w:color w:val="auto"/>
        </w:rPr>
        <w:t xml:space="preserve"> 10</w:t>
      </w:r>
      <w:r w:rsidR="0006332E" w:rsidRPr="00DC5AD6">
        <w:rPr>
          <w:color w:val="auto"/>
        </w:rPr>
        <w:t>.</w:t>
      </w:r>
      <w:r w:rsidRPr="00CF4685">
        <w:rPr>
          <w:color w:val="auto"/>
        </w:rPr>
        <w:t xml:space="preserve"> </w:t>
      </w:r>
    </w:p>
    <w:p w14:paraId="2808E21D" w14:textId="77777777" w:rsidR="001510F7" w:rsidRPr="00CF4685" w:rsidRDefault="001510F7" w:rsidP="0047456A">
      <w:pPr>
        <w:pStyle w:val="Default"/>
        <w:spacing w:line="276" w:lineRule="auto"/>
        <w:rPr>
          <w:color w:val="auto"/>
        </w:rPr>
      </w:pPr>
    </w:p>
    <w:p w14:paraId="77D739B7" w14:textId="77777777" w:rsidR="00CF4685" w:rsidRPr="0047456A" w:rsidRDefault="00CF4685" w:rsidP="003C6EF6">
      <w:pPr>
        <w:pStyle w:val="Overskrift1"/>
      </w:pPr>
      <w:bookmarkStart w:id="8" w:name="_Toc67665622"/>
      <w:r w:rsidRPr="0047456A">
        <w:t>8. Regnskabsaflæggelse</w:t>
      </w:r>
      <w:bookmarkEnd w:id="8"/>
      <w:r w:rsidRPr="0047456A">
        <w:t xml:space="preserve"> </w:t>
      </w:r>
    </w:p>
    <w:p w14:paraId="16CE10C0" w14:textId="77777777" w:rsidR="00CF4685" w:rsidRPr="00CF4685" w:rsidRDefault="00CF4685" w:rsidP="0047456A">
      <w:pPr>
        <w:pStyle w:val="Default"/>
        <w:spacing w:line="276" w:lineRule="auto"/>
        <w:rPr>
          <w:color w:val="auto"/>
        </w:rPr>
      </w:pPr>
      <w:r w:rsidRPr="00CF4685">
        <w:rPr>
          <w:color w:val="auto"/>
        </w:rPr>
        <w:t xml:space="preserve">Det påhviler organisationen at opretholde et sikkert og troværdigt regnskabsvæsen. Det skal påses, at de økonomiske forretningsgange er betryggende og med forsvarlige interne kontroller. Det forudsættes, at organisationens bogføring løbende ajourføres og dokumenteres med bilag, og i øvrigt sker i overensstemmelse med god bogførings- og regnskabsskik. Organisationen skal opbevare regnskabsmaterialet i overensstemmelse med bogføringslovens krav i 5 år efter aktivitetens afslutning. </w:t>
      </w:r>
    </w:p>
    <w:p w14:paraId="7A65658C" w14:textId="77777777" w:rsidR="001510F7" w:rsidRDefault="001510F7" w:rsidP="0047456A">
      <w:pPr>
        <w:pStyle w:val="Default"/>
        <w:spacing w:line="276" w:lineRule="auto"/>
        <w:rPr>
          <w:color w:val="auto"/>
        </w:rPr>
      </w:pPr>
    </w:p>
    <w:p w14:paraId="1EF596DC" w14:textId="77777777" w:rsidR="006B1369" w:rsidRPr="00DC5AD6" w:rsidRDefault="00CF4685" w:rsidP="0047456A">
      <w:pPr>
        <w:pStyle w:val="Default"/>
        <w:spacing w:line="276" w:lineRule="auto"/>
        <w:rPr>
          <w:color w:val="auto"/>
        </w:rPr>
      </w:pPr>
      <w:r w:rsidRPr="00CF4685">
        <w:rPr>
          <w:color w:val="auto"/>
        </w:rPr>
        <w:t xml:space="preserve">I tilknytning til bevilgede tilskud skal organisationen </w:t>
      </w:r>
      <w:r w:rsidR="00AA1AD0">
        <w:rPr>
          <w:color w:val="auto"/>
        </w:rPr>
        <w:t xml:space="preserve">årligt </w:t>
      </w:r>
      <w:r w:rsidRPr="00CF4685">
        <w:rPr>
          <w:color w:val="auto"/>
        </w:rPr>
        <w:t xml:space="preserve">senest den 1. juli til Udenrigsministeriet indsende organisationens reviderede samlede </w:t>
      </w:r>
      <w:r w:rsidRPr="00CF4685">
        <w:rPr>
          <w:b/>
          <w:bCs/>
          <w:color w:val="auto"/>
        </w:rPr>
        <w:t xml:space="preserve">årsregnskab </w:t>
      </w:r>
      <w:r w:rsidRPr="00CF4685">
        <w:rPr>
          <w:color w:val="auto"/>
        </w:rPr>
        <w:t>for det foregående regnskabsår, bilagt årsberetning og revisions</w:t>
      </w:r>
      <w:r w:rsidRPr="00DC5AD6">
        <w:rPr>
          <w:color w:val="auto"/>
        </w:rPr>
        <w:t>protokollat. Af årsregnskabet skal fremgå, eventuelt i en note, specifikationer vedrørende de enkelte bevillinger fra Udenrigsministeriet</w:t>
      </w:r>
      <w:r w:rsidR="00AA1AD0">
        <w:rPr>
          <w:color w:val="auto"/>
        </w:rPr>
        <w:t xml:space="preserve"> således</w:t>
      </w:r>
      <w:r w:rsidR="009E0727">
        <w:rPr>
          <w:color w:val="auto"/>
        </w:rPr>
        <w:t>,</w:t>
      </w:r>
      <w:r w:rsidR="00AA1AD0">
        <w:rPr>
          <w:color w:val="auto"/>
        </w:rPr>
        <w:t xml:space="preserve"> at det løbende forbrug revideres som en del af revisionen af organisationens samlede årsregnskab. F</w:t>
      </w:r>
      <w:r w:rsidR="0006332E" w:rsidRPr="00DC5AD6">
        <w:rPr>
          <w:color w:val="auto"/>
        </w:rPr>
        <w:t>orbrugsoversigt</w:t>
      </w:r>
      <w:r w:rsidR="009B543B">
        <w:rPr>
          <w:color w:val="auto"/>
        </w:rPr>
        <w:t>, underskrevet af ansvarlig c</w:t>
      </w:r>
      <w:r w:rsidR="003960D0">
        <w:rPr>
          <w:color w:val="auto"/>
        </w:rPr>
        <w:t>o</w:t>
      </w:r>
      <w:r w:rsidR="009B543B">
        <w:rPr>
          <w:color w:val="auto"/>
        </w:rPr>
        <w:t>ntroller og dennes chef,</w:t>
      </w:r>
      <w:r w:rsidR="0006332E" w:rsidRPr="00DC5AD6">
        <w:rPr>
          <w:color w:val="auto"/>
        </w:rPr>
        <w:t xml:space="preserve"> </w:t>
      </w:r>
      <w:r w:rsidR="00EA15A2">
        <w:rPr>
          <w:color w:val="auto"/>
        </w:rPr>
        <w:t>med</w:t>
      </w:r>
      <w:r w:rsidR="0006332E" w:rsidRPr="00DC5AD6">
        <w:rPr>
          <w:color w:val="auto"/>
        </w:rPr>
        <w:t xml:space="preserve"> </w:t>
      </w:r>
      <w:r w:rsidR="009B543B">
        <w:rPr>
          <w:color w:val="auto"/>
        </w:rPr>
        <w:t xml:space="preserve">mindst </w:t>
      </w:r>
      <w:r w:rsidR="0006332E" w:rsidRPr="00DC5AD6">
        <w:rPr>
          <w:color w:val="auto"/>
        </w:rPr>
        <w:t xml:space="preserve">samme </w:t>
      </w:r>
      <w:r w:rsidR="009B543B">
        <w:rPr>
          <w:color w:val="auto"/>
        </w:rPr>
        <w:t>detaljeringsgrad</w:t>
      </w:r>
      <w:r w:rsidR="00EA15A2">
        <w:rPr>
          <w:color w:val="auto"/>
        </w:rPr>
        <w:t xml:space="preserve"> (budgetlinje-niveau)</w:t>
      </w:r>
      <w:r w:rsidR="0006332E" w:rsidRPr="00DC5AD6">
        <w:rPr>
          <w:color w:val="auto"/>
        </w:rPr>
        <w:t xml:space="preserve"> som i budgettet</w:t>
      </w:r>
      <w:r w:rsidR="000C3AFE" w:rsidRPr="00DC5AD6">
        <w:rPr>
          <w:color w:val="auto"/>
        </w:rPr>
        <w:t xml:space="preserve"> </w:t>
      </w:r>
      <w:r w:rsidR="00AA1AD0">
        <w:rPr>
          <w:color w:val="auto"/>
        </w:rPr>
        <w:t xml:space="preserve">medsendes årsregnskabet </w:t>
      </w:r>
      <w:r w:rsidR="00B47BA6">
        <w:rPr>
          <w:color w:val="auto"/>
        </w:rPr>
        <w:t xml:space="preserve">i </w:t>
      </w:r>
      <w:r w:rsidR="00CE6D0C" w:rsidRPr="00DC5AD6">
        <w:rPr>
          <w:color w:val="auto"/>
        </w:rPr>
        <w:t>anne</w:t>
      </w:r>
      <w:r w:rsidR="00B47BA6">
        <w:rPr>
          <w:color w:val="auto"/>
        </w:rPr>
        <w:t>ks</w:t>
      </w:r>
      <w:r w:rsidR="00CE6D0C" w:rsidRPr="00DC5AD6">
        <w:rPr>
          <w:color w:val="auto"/>
        </w:rPr>
        <w:t xml:space="preserve"> 5</w:t>
      </w:r>
      <w:r w:rsidRPr="00DC5AD6">
        <w:rPr>
          <w:color w:val="auto"/>
        </w:rPr>
        <w:t xml:space="preserve">. Eventuelt administrationsbidrag for bevillingerne indtægtsføres i årsregnskabet. Årsregnskabet fremsendes elektronisk, som en pdf-fil, hvor relevante underskrifter er scannet ind. </w:t>
      </w:r>
      <w:r w:rsidR="009E0727">
        <w:rPr>
          <w:color w:val="auto"/>
        </w:rPr>
        <w:t>Det s</w:t>
      </w:r>
      <w:r w:rsidR="00B715C5" w:rsidRPr="00DC5AD6">
        <w:rPr>
          <w:color w:val="auto"/>
        </w:rPr>
        <w:t xml:space="preserve">kal sendes til relevant </w:t>
      </w:r>
      <w:r w:rsidR="0006332E" w:rsidRPr="00DC5AD6">
        <w:rPr>
          <w:color w:val="auto"/>
        </w:rPr>
        <w:t>kontor i Udenrigsministeriet og i kopi til relevant</w:t>
      </w:r>
      <w:r w:rsidR="00B715C5" w:rsidRPr="00DC5AD6">
        <w:rPr>
          <w:color w:val="auto"/>
        </w:rPr>
        <w:t xml:space="preserve"> sagsbehandler,</w:t>
      </w:r>
      <w:r w:rsidR="0006332E" w:rsidRPr="00DC5AD6">
        <w:rPr>
          <w:color w:val="auto"/>
        </w:rPr>
        <w:t xml:space="preserve"> med</w:t>
      </w:r>
      <w:r w:rsidR="00B715C5" w:rsidRPr="00DC5AD6">
        <w:rPr>
          <w:color w:val="auto"/>
        </w:rPr>
        <w:t xml:space="preserve"> specifikation af hvilket projekt</w:t>
      </w:r>
      <w:r w:rsidR="009E0727">
        <w:rPr>
          <w:color w:val="auto"/>
        </w:rPr>
        <w:t>,</w:t>
      </w:r>
      <w:r w:rsidR="00B715C5" w:rsidRPr="00DC5AD6">
        <w:rPr>
          <w:color w:val="auto"/>
        </w:rPr>
        <w:t xml:space="preserve"> det vedrører.</w:t>
      </w:r>
    </w:p>
    <w:p w14:paraId="4EA93815" w14:textId="77777777" w:rsidR="006B1369" w:rsidRPr="00DC5AD6" w:rsidRDefault="006B1369" w:rsidP="0047456A">
      <w:pPr>
        <w:pStyle w:val="Default"/>
        <w:spacing w:line="276" w:lineRule="auto"/>
        <w:rPr>
          <w:color w:val="auto"/>
        </w:rPr>
      </w:pPr>
    </w:p>
    <w:p w14:paraId="4CD96661" w14:textId="77777777" w:rsidR="00CF4685" w:rsidRDefault="00CF4685" w:rsidP="0047456A">
      <w:pPr>
        <w:pStyle w:val="Default"/>
        <w:spacing w:line="276" w:lineRule="auto"/>
        <w:rPr>
          <w:color w:val="auto"/>
        </w:rPr>
      </w:pPr>
      <w:r w:rsidRPr="00DC5AD6">
        <w:rPr>
          <w:color w:val="auto"/>
        </w:rPr>
        <w:t xml:space="preserve">Senest seks måneder efter aktivitetens afslutning aflægges et revideret </w:t>
      </w:r>
      <w:r w:rsidRPr="00DC5AD6">
        <w:rPr>
          <w:b/>
          <w:bCs/>
          <w:color w:val="auto"/>
        </w:rPr>
        <w:t>afsluttende regnskab for bevillingen</w:t>
      </w:r>
      <w:r w:rsidR="000C3AFE" w:rsidRPr="00DC5AD6">
        <w:rPr>
          <w:b/>
          <w:bCs/>
          <w:color w:val="auto"/>
        </w:rPr>
        <w:t xml:space="preserve"> </w:t>
      </w:r>
      <w:r w:rsidR="00B47BA6">
        <w:rPr>
          <w:bCs/>
          <w:color w:val="auto"/>
        </w:rPr>
        <w:t xml:space="preserve">i </w:t>
      </w:r>
      <w:r w:rsidR="00CE6D0C" w:rsidRPr="00DC5AD6">
        <w:rPr>
          <w:bCs/>
          <w:color w:val="auto"/>
        </w:rPr>
        <w:t>anne</w:t>
      </w:r>
      <w:r w:rsidR="00B47BA6">
        <w:rPr>
          <w:bCs/>
          <w:color w:val="auto"/>
        </w:rPr>
        <w:t>ks</w:t>
      </w:r>
      <w:r w:rsidR="00CE6D0C" w:rsidRPr="00DC5AD6">
        <w:rPr>
          <w:bCs/>
          <w:color w:val="auto"/>
        </w:rPr>
        <w:t xml:space="preserve"> 6</w:t>
      </w:r>
      <w:r w:rsidR="00984B1F">
        <w:rPr>
          <w:bCs/>
          <w:color w:val="auto"/>
        </w:rPr>
        <w:t xml:space="preserve"> (se</w:t>
      </w:r>
      <w:r w:rsidR="00C309C3">
        <w:rPr>
          <w:bCs/>
          <w:color w:val="auto"/>
        </w:rPr>
        <w:t xml:space="preserve"> også</w:t>
      </w:r>
      <w:r w:rsidR="00984B1F">
        <w:rPr>
          <w:bCs/>
          <w:color w:val="auto"/>
        </w:rPr>
        <w:t xml:space="preserve"> </w:t>
      </w:r>
      <w:r w:rsidR="00C309C3">
        <w:rPr>
          <w:bCs/>
          <w:color w:val="auto"/>
        </w:rPr>
        <w:t>afsnit 7)</w:t>
      </w:r>
      <w:r w:rsidR="0006332E" w:rsidRPr="00DC5AD6">
        <w:rPr>
          <w:color w:val="auto"/>
        </w:rPr>
        <w:t xml:space="preserve">. </w:t>
      </w:r>
      <w:r w:rsidRPr="00DC5AD6">
        <w:rPr>
          <w:color w:val="auto"/>
        </w:rPr>
        <w:t>Såfremt der under eller ved aktivitetens afslutning overdrages udstyr, inventar mv. til partnere eller myndigheder</w:t>
      </w:r>
      <w:r w:rsidRPr="00CF4685">
        <w:rPr>
          <w:color w:val="auto"/>
        </w:rPr>
        <w:t xml:space="preserve"> i modtagerlandet, skal det af det afsluttende regnskab fremgå, at der foreligger et underskrevet overdragelsesdokument hos organisationen. Overdragelsesdokumentet skal medtage udstyr, inventar mv. med en værdi, der overstiger den skattemæssige sats for småanskaffelser. Ubrugte tilskudsmidler skal tilbagebetales til Udenrigsministeriet sammen med indsendelsen af det afsluttede regnskab. </w:t>
      </w:r>
    </w:p>
    <w:p w14:paraId="4B396E88" w14:textId="77777777" w:rsidR="006B1369" w:rsidRPr="00CF4685" w:rsidRDefault="006B1369" w:rsidP="0047456A">
      <w:pPr>
        <w:pStyle w:val="Default"/>
        <w:spacing w:line="276" w:lineRule="auto"/>
        <w:rPr>
          <w:color w:val="auto"/>
        </w:rPr>
      </w:pPr>
    </w:p>
    <w:p w14:paraId="75522255" w14:textId="77777777" w:rsidR="00CF4685" w:rsidRPr="00CF4685" w:rsidRDefault="00CF4685" w:rsidP="0047456A">
      <w:pPr>
        <w:pStyle w:val="Default"/>
        <w:spacing w:line="276" w:lineRule="auto"/>
        <w:rPr>
          <w:color w:val="auto"/>
        </w:rPr>
      </w:pPr>
      <w:r w:rsidRPr="00CF4685">
        <w:rPr>
          <w:color w:val="auto"/>
        </w:rPr>
        <w:t xml:space="preserve">Årsregnskab og afsluttende regnskaber skal være underskrevet af organisationens ledelse og påtegnet af revisor, jf. nedenfor. </w:t>
      </w:r>
    </w:p>
    <w:p w14:paraId="6AFC094B" w14:textId="77777777" w:rsidR="001510F7" w:rsidRDefault="001510F7" w:rsidP="0047456A">
      <w:pPr>
        <w:pStyle w:val="Default"/>
        <w:spacing w:line="276" w:lineRule="auto"/>
        <w:rPr>
          <w:b/>
          <w:bCs/>
          <w:color w:val="auto"/>
        </w:rPr>
      </w:pPr>
    </w:p>
    <w:p w14:paraId="61FD6A2B" w14:textId="77777777" w:rsidR="00CF4685" w:rsidRPr="0047456A" w:rsidRDefault="00CF4685" w:rsidP="003C6EF6">
      <w:pPr>
        <w:pStyle w:val="Overskrift1"/>
      </w:pPr>
      <w:bookmarkStart w:id="9" w:name="_Toc67665623"/>
      <w:r w:rsidRPr="0047456A">
        <w:lastRenderedPageBreak/>
        <w:t>9. Revision</w:t>
      </w:r>
      <w:bookmarkEnd w:id="9"/>
      <w:r w:rsidRPr="0047456A">
        <w:t xml:space="preserve"> </w:t>
      </w:r>
    </w:p>
    <w:p w14:paraId="51DEF16D" w14:textId="77777777" w:rsidR="00CF4685" w:rsidRPr="00CF4685" w:rsidRDefault="00CF4685" w:rsidP="0047456A">
      <w:pPr>
        <w:pStyle w:val="Default"/>
        <w:spacing w:line="276" w:lineRule="auto"/>
        <w:rPr>
          <w:color w:val="auto"/>
        </w:rPr>
      </w:pPr>
      <w:r w:rsidRPr="00CF4685">
        <w:rPr>
          <w:color w:val="auto"/>
        </w:rPr>
        <w:t xml:space="preserve">Afsluttende regnskaber samt organisationens årsregnskab skal være revideret af en i Danmark statsautoriseret eller registreret revisor, der også </w:t>
      </w:r>
      <w:r w:rsidR="00CB51A2">
        <w:rPr>
          <w:color w:val="auto"/>
        </w:rPr>
        <w:t xml:space="preserve">sammen med organisationen </w:t>
      </w:r>
      <w:r w:rsidRPr="00CF4685">
        <w:rPr>
          <w:color w:val="auto"/>
        </w:rPr>
        <w:t xml:space="preserve">har det overordnede tilsyn med revisionen af aktiviteter i udlandet. Revisionen skal ske efter principperne for god offentlig revisionsskik og i øvrigt gennemføres af organisationens revisor i henhold til revisionsinstruksen. Det påhviler organisationen at sørge for, at organisationens revisor skriftligt bekræfter at </w:t>
      </w:r>
      <w:r w:rsidRPr="00DC5AD6">
        <w:rPr>
          <w:color w:val="auto"/>
        </w:rPr>
        <w:t xml:space="preserve">ville udføre sit revisionshverv i overensstemmelse med bestemmelserne i </w:t>
      </w:r>
      <w:r w:rsidRPr="00DC5AD6">
        <w:rPr>
          <w:b/>
          <w:bCs/>
          <w:color w:val="auto"/>
        </w:rPr>
        <w:t>revisionsinstruksen</w:t>
      </w:r>
      <w:r w:rsidR="0006332E" w:rsidRPr="00DC5AD6">
        <w:rPr>
          <w:b/>
          <w:bCs/>
          <w:color w:val="auto"/>
        </w:rPr>
        <w:t xml:space="preserve"> </w:t>
      </w:r>
      <w:r w:rsidR="00DC5AD6" w:rsidRPr="00DC5AD6">
        <w:rPr>
          <w:bCs/>
          <w:color w:val="auto"/>
        </w:rPr>
        <w:t xml:space="preserve">i </w:t>
      </w:r>
      <w:r w:rsidR="00CE6D0C" w:rsidRPr="00DC5AD6">
        <w:rPr>
          <w:bCs/>
          <w:color w:val="auto"/>
        </w:rPr>
        <w:t>anne</w:t>
      </w:r>
      <w:r w:rsidR="00B47BA6">
        <w:rPr>
          <w:bCs/>
          <w:color w:val="auto"/>
        </w:rPr>
        <w:t>ks</w:t>
      </w:r>
      <w:r w:rsidR="00CE6D0C" w:rsidRPr="00DC5AD6">
        <w:rPr>
          <w:bCs/>
          <w:color w:val="auto"/>
        </w:rPr>
        <w:t xml:space="preserve"> 9</w:t>
      </w:r>
      <w:r w:rsidRPr="00DC5AD6">
        <w:rPr>
          <w:bCs/>
          <w:color w:val="auto"/>
        </w:rPr>
        <w:t>.</w:t>
      </w:r>
      <w:r w:rsidRPr="007C7437">
        <w:rPr>
          <w:b/>
          <w:bCs/>
          <w:color w:val="auto"/>
        </w:rPr>
        <w:t xml:space="preserve"> </w:t>
      </w:r>
    </w:p>
    <w:p w14:paraId="70E0BB76" w14:textId="77777777" w:rsidR="001510F7" w:rsidRDefault="001510F7" w:rsidP="0047456A">
      <w:pPr>
        <w:pStyle w:val="Default"/>
        <w:spacing w:line="276" w:lineRule="auto"/>
        <w:rPr>
          <w:b/>
          <w:bCs/>
          <w:color w:val="auto"/>
        </w:rPr>
      </w:pPr>
    </w:p>
    <w:p w14:paraId="7884880A" w14:textId="77777777" w:rsidR="00CF4685" w:rsidRPr="0047456A" w:rsidRDefault="00CF4685" w:rsidP="003C6EF6">
      <w:pPr>
        <w:pStyle w:val="Overskrift1"/>
      </w:pPr>
      <w:bookmarkStart w:id="10" w:name="_Toc67665624"/>
      <w:r w:rsidRPr="0047456A">
        <w:t>10. Udenrigsministeriets tilsyn</w:t>
      </w:r>
      <w:bookmarkEnd w:id="10"/>
      <w:r w:rsidRPr="0047456A">
        <w:t xml:space="preserve"> </w:t>
      </w:r>
    </w:p>
    <w:p w14:paraId="0F63D050" w14:textId="77777777" w:rsidR="00227669" w:rsidRDefault="00CF4685" w:rsidP="0047456A">
      <w:pPr>
        <w:pStyle w:val="Default"/>
        <w:spacing w:line="276" w:lineRule="auto"/>
        <w:rPr>
          <w:color w:val="auto"/>
        </w:rPr>
      </w:pPr>
      <w:r w:rsidRPr="00CF4685">
        <w:rPr>
          <w:color w:val="auto"/>
        </w:rPr>
        <w:t xml:space="preserve">Udenrigsministeriets tilsyn med organisationernes forvaltning af tilskudsmidlerne sker først og fremmest gennem vurderingen af organisationens rapportering og regnskabsaflæggelse. Herudover kan tilsynet efter aftale med organisationen udfolde sig gennem en række andre tiltag fra Udenrigsministeriets side for at sikre indblik i og opfølgning på organisationernes forvaltning af tilskudsmidlerne. </w:t>
      </w:r>
    </w:p>
    <w:p w14:paraId="033B371A" w14:textId="77777777" w:rsidR="00227669" w:rsidRDefault="00227669" w:rsidP="0047456A">
      <w:pPr>
        <w:pStyle w:val="Default"/>
        <w:spacing w:line="276" w:lineRule="auto"/>
        <w:rPr>
          <w:color w:val="auto"/>
        </w:rPr>
      </w:pPr>
    </w:p>
    <w:p w14:paraId="11BD901A" w14:textId="77777777" w:rsidR="00CF4685" w:rsidRPr="00CF4685" w:rsidRDefault="00CF4685" w:rsidP="0047456A">
      <w:pPr>
        <w:pStyle w:val="Default"/>
        <w:spacing w:line="276" w:lineRule="auto"/>
        <w:rPr>
          <w:color w:val="auto"/>
        </w:rPr>
      </w:pPr>
      <w:r w:rsidRPr="00CF4685">
        <w:rPr>
          <w:color w:val="auto"/>
        </w:rPr>
        <w:t xml:space="preserve">Disse tiltag kan være følgende: </w:t>
      </w:r>
    </w:p>
    <w:p w14:paraId="304DFD01" w14:textId="77777777" w:rsidR="00E153F4" w:rsidRDefault="00E153F4" w:rsidP="0047456A">
      <w:pPr>
        <w:pStyle w:val="Default"/>
        <w:numPr>
          <w:ilvl w:val="0"/>
          <w:numId w:val="12"/>
        </w:numPr>
        <w:spacing w:after="51" w:line="276" w:lineRule="auto"/>
        <w:rPr>
          <w:color w:val="auto"/>
        </w:rPr>
      </w:pPr>
      <w:r>
        <w:rPr>
          <w:color w:val="auto"/>
        </w:rPr>
        <w:t>årlige konsultationer med organisationen,</w:t>
      </w:r>
    </w:p>
    <w:p w14:paraId="3AEFEBC0" w14:textId="77777777" w:rsidR="00CF4685" w:rsidRPr="00CF4685" w:rsidRDefault="00CF4685" w:rsidP="0047456A">
      <w:pPr>
        <w:pStyle w:val="Default"/>
        <w:numPr>
          <w:ilvl w:val="0"/>
          <w:numId w:val="12"/>
        </w:numPr>
        <w:spacing w:after="51" w:line="276" w:lineRule="auto"/>
        <w:rPr>
          <w:color w:val="auto"/>
        </w:rPr>
      </w:pPr>
      <w:r w:rsidRPr="00CF4685">
        <w:rPr>
          <w:color w:val="auto"/>
        </w:rPr>
        <w:t xml:space="preserve">besøg hos organisationen med henblik på at besigtige økonomifunktionens og projektstyringens virkemåde samt organisationens forretningsgange og organisatoriske forhold, </w:t>
      </w:r>
    </w:p>
    <w:p w14:paraId="2133FD2B" w14:textId="77777777" w:rsidR="00CF4685" w:rsidRPr="00CF4685" w:rsidRDefault="00CF4685" w:rsidP="0047456A">
      <w:pPr>
        <w:pStyle w:val="Default"/>
        <w:numPr>
          <w:ilvl w:val="0"/>
          <w:numId w:val="12"/>
        </w:numPr>
        <w:spacing w:after="51" w:line="276" w:lineRule="auto"/>
        <w:rPr>
          <w:color w:val="auto"/>
        </w:rPr>
      </w:pPr>
      <w:r w:rsidRPr="00CF4685">
        <w:rPr>
          <w:color w:val="auto"/>
        </w:rPr>
        <w:t xml:space="preserve">ad hoc samtaler med organisationens ledelse og dennes revisor (efter aftale med organisationen), </w:t>
      </w:r>
    </w:p>
    <w:p w14:paraId="62841AFC" w14:textId="77777777" w:rsidR="00CF4685" w:rsidRPr="00CF4685" w:rsidRDefault="00CF4685" w:rsidP="0047456A">
      <w:pPr>
        <w:pStyle w:val="Default"/>
        <w:numPr>
          <w:ilvl w:val="0"/>
          <w:numId w:val="12"/>
        </w:numPr>
        <w:spacing w:after="51" w:line="276" w:lineRule="auto"/>
        <w:rPr>
          <w:color w:val="auto"/>
        </w:rPr>
      </w:pPr>
      <w:r w:rsidRPr="00CF4685">
        <w:rPr>
          <w:color w:val="auto"/>
        </w:rPr>
        <w:t xml:space="preserve">stikprøvevis besigtigelse af organisationens aktiviteter, enten ved besøg fra Udenrigsministeriet i København eller ved ambassadernes foranstaltning, </w:t>
      </w:r>
    </w:p>
    <w:p w14:paraId="010C1084" w14:textId="77777777" w:rsidR="00CF4685" w:rsidRPr="00CF4685" w:rsidRDefault="00CF4685" w:rsidP="00DA0CBF">
      <w:pPr>
        <w:pStyle w:val="Default"/>
        <w:numPr>
          <w:ilvl w:val="0"/>
          <w:numId w:val="12"/>
        </w:numPr>
        <w:spacing w:line="276" w:lineRule="auto"/>
        <w:rPr>
          <w:color w:val="auto"/>
        </w:rPr>
      </w:pPr>
      <w:r w:rsidRPr="00CF4685">
        <w:rPr>
          <w:color w:val="auto"/>
        </w:rPr>
        <w:t>gennemførelse af kapacitetsundersøgelser af organisationen</w:t>
      </w:r>
      <w:r w:rsidR="00C4608C">
        <w:rPr>
          <w:color w:val="auto"/>
        </w:rPr>
        <w:t xml:space="preserve"> og/eller af</w:t>
      </w:r>
      <w:r w:rsidR="00DA0CBF">
        <w:rPr>
          <w:color w:val="auto"/>
        </w:rPr>
        <w:t xml:space="preserve"> </w:t>
      </w:r>
      <w:r w:rsidR="00C4608C">
        <w:rPr>
          <w:color w:val="auto"/>
        </w:rPr>
        <w:t xml:space="preserve">projektrelaterede </w:t>
      </w:r>
      <w:r w:rsidR="00DA0CBF">
        <w:rPr>
          <w:color w:val="auto"/>
        </w:rPr>
        <w:t>appraisals inden projektstart</w:t>
      </w:r>
      <w:r w:rsidR="00C4608C">
        <w:rPr>
          <w:color w:val="auto"/>
        </w:rPr>
        <w:t xml:space="preserve">, </w:t>
      </w:r>
      <w:r w:rsidR="00DA0CBF" w:rsidRPr="00DA0CBF">
        <w:rPr>
          <w:color w:val="auto"/>
        </w:rPr>
        <w:t>reviews</w:t>
      </w:r>
      <w:r w:rsidR="00DA0CBF">
        <w:rPr>
          <w:color w:val="auto"/>
        </w:rPr>
        <w:t xml:space="preserve"> undervejs,</w:t>
      </w:r>
      <w:r w:rsidR="00DA0CBF" w:rsidRPr="00DA0CBF">
        <w:rPr>
          <w:color w:val="auto"/>
        </w:rPr>
        <w:t xml:space="preserve"> </w:t>
      </w:r>
      <w:r w:rsidRPr="00CF4685">
        <w:rPr>
          <w:color w:val="auto"/>
        </w:rPr>
        <w:t>samt afsluttende vurderinger og evalueringer</w:t>
      </w:r>
      <w:r w:rsidR="00C4608C">
        <w:rPr>
          <w:color w:val="auto"/>
        </w:rPr>
        <w:t>.</w:t>
      </w:r>
      <w:r w:rsidRPr="00CF4685">
        <w:rPr>
          <w:color w:val="auto"/>
        </w:rPr>
        <w:t xml:space="preserve"> </w:t>
      </w:r>
    </w:p>
    <w:p w14:paraId="46E238B2" w14:textId="77777777" w:rsidR="00CF4685" w:rsidRPr="00CF4685" w:rsidRDefault="00CF4685" w:rsidP="0047456A">
      <w:pPr>
        <w:pStyle w:val="Default"/>
        <w:spacing w:line="276" w:lineRule="auto"/>
        <w:rPr>
          <w:color w:val="auto"/>
        </w:rPr>
      </w:pPr>
    </w:p>
    <w:p w14:paraId="6FA5ECF6" w14:textId="77777777" w:rsidR="001510F7" w:rsidRDefault="00CF4685" w:rsidP="0047456A">
      <w:pPr>
        <w:pStyle w:val="Default"/>
        <w:spacing w:line="276" w:lineRule="auto"/>
        <w:rPr>
          <w:color w:val="auto"/>
        </w:rPr>
      </w:pPr>
      <w:r w:rsidRPr="00CA3732">
        <w:rPr>
          <w:color w:val="auto"/>
        </w:rPr>
        <w:t xml:space="preserve">I tilfælde af misligholdelse af tilskudsmidler er Udenrigsministeriet berettiget til at træffe relevante foranstaltninger med sigte på at begrænse følgerne af misligholdelsen. </w:t>
      </w:r>
      <w:r w:rsidRPr="0034069A">
        <w:rPr>
          <w:color w:val="auto"/>
        </w:rPr>
        <w:t xml:space="preserve">Disse kan bestå i skriftlig </w:t>
      </w:r>
      <w:r w:rsidR="00107BD5" w:rsidRPr="0034069A">
        <w:rPr>
          <w:color w:val="auto"/>
        </w:rPr>
        <w:t>advarsel</w:t>
      </w:r>
      <w:r w:rsidRPr="0034069A">
        <w:rPr>
          <w:color w:val="auto"/>
        </w:rPr>
        <w:t xml:space="preserve">, </w:t>
      </w:r>
      <w:r w:rsidRPr="00CA3732">
        <w:rPr>
          <w:color w:val="auto"/>
        </w:rPr>
        <w:t xml:space="preserve">iværksættelse af konsulent- eller revisorundersøgelser af organisationens forvaltning, </w:t>
      </w:r>
      <w:r w:rsidR="00107BD5" w:rsidRPr="00E153F4">
        <w:rPr>
          <w:color w:val="auto"/>
        </w:rPr>
        <w:t xml:space="preserve">suspension og/eller </w:t>
      </w:r>
      <w:r w:rsidRPr="00CA3732">
        <w:rPr>
          <w:color w:val="auto"/>
        </w:rPr>
        <w:t>ophør af yderligere betalinger, udfasning eller lukning af den igangværende aktivitet, eller fuldstændig afvikling af samarbejdet. I sidstnævnte tilfælde påhviler det organisationen straks at tilbagebetale alle ubrugte tilskudsmidler til Udenrigsministeriet og at yde Udenrigsministeriet erstatnin</w:t>
      </w:r>
      <w:r w:rsidR="001510F7" w:rsidRPr="00CA3732">
        <w:rPr>
          <w:color w:val="auto"/>
        </w:rPr>
        <w:t>g i tilfælde af økonomisk</w:t>
      </w:r>
      <w:r w:rsidR="001510F7" w:rsidRPr="005E15FA">
        <w:rPr>
          <w:color w:val="auto"/>
        </w:rPr>
        <w:t xml:space="preserve"> tab.</w:t>
      </w:r>
    </w:p>
    <w:p w14:paraId="4B809F0A" w14:textId="77777777" w:rsidR="00C23D13" w:rsidRDefault="00C23D13" w:rsidP="0047456A">
      <w:pPr>
        <w:pStyle w:val="Default"/>
        <w:spacing w:line="276" w:lineRule="auto"/>
        <w:rPr>
          <w:rFonts w:cstheme="minorBidi"/>
          <w:b/>
          <w:bCs/>
          <w:color w:val="auto"/>
        </w:rPr>
      </w:pPr>
    </w:p>
    <w:p w14:paraId="20621E46" w14:textId="77777777" w:rsidR="00CF4685" w:rsidRPr="00C23D13" w:rsidRDefault="00CE6D0C" w:rsidP="003C6EF6">
      <w:pPr>
        <w:pStyle w:val="Overskrift1"/>
      </w:pPr>
      <w:bookmarkStart w:id="11" w:name="_Toc67665625"/>
      <w:r>
        <w:t>11</w:t>
      </w:r>
      <w:r w:rsidR="00CF4685" w:rsidRPr="00C23D13">
        <w:t>. Opsigelse</w:t>
      </w:r>
      <w:r w:rsidR="002845B6">
        <w:t xml:space="preserve"> </w:t>
      </w:r>
      <w:r w:rsidR="00CF4685" w:rsidRPr="00C23D13">
        <w:t>af aftaler og voldgiftsbestemmelser</w:t>
      </w:r>
      <w:bookmarkEnd w:id="11"/>
      <w:r w:rsidR="00CF4685" w:rsidRPr="00C23D13">
        <w:t xml:space="preserve"> </w:t>
      </w:r>
    </w:p>
    <w:p w14:paraId="6F301C86" w14:textId="77777777" w:rsidR="00CF4685" w:rsidRDefault="00CF4685" w:rsidP="0047456A">
      <w:pPr>
        <w:pStyle w:val="Default"/>
        <w:spacing w:line="276" w:lineRule="auto"/>
        <w:rPr>
          <w:color w:val="auto"/>
        </w:rPr>
      </w:pPr>
      <w:r w:rsidRPr="00CF4685">
        <w:rPr>
          <w:color w:val="auto"/>
        </w:rPr>
        <w:t>En aftale kan opsiges skriftligt af begge parter med tre måneders varsel. I tilfælde af væsentlig misligholdelse, er Udenrigsministeriet dog berettiget til øjeblikkeligt</w:t>
      </w:r>
      <w:r w:rsidR="008403AB">
        <w:rPr>
          <w:color w:val="auto"/>
        </w:rPr>
        <w:t xml:space="preserve"> at </w:t>
      </w:r>
      <w:r w:rsidR="002A1EB7">
        <w:rPr>
          <w:color w:val="auto"/>
        </w:rPr>
        <w:t>op</w:t>
      </w:r>
      <w:r w:rsidR="002845B6">
        <w:rPr>
          <w:color w:val="auto"/>
        </w:rPr>
        <w:t>hæve</w:t>
      </w:r>
      <w:r w:rsidR="008403AB">
        <w:rPr>
          <w:color w:val="auto"/>
        </w:rPr>
        <w:t xml:space="preserve"> aftalen</w:t>
      </w:r>
      <w:r w:rsidRPr="00CF4685">
        <w:rPr>
          <w:color w:val="auto"/>
        </w:rPr>
        <w:t xml:space="preserve">. Begge parter forpligter sig til forinden opsigelse at søge eventuelle konflikter løst </w:t>
      </w:r>
      <w:r w:rsidRPr="00297102">
        <w:rPr>
          <w:color w:val="auto"/>
        </w:rPr>
        <w:t>ad forhandlingens vej</w:t>
      </w:r>
      <w:r w:rsidRPr="00CF4685">
        <w:rPr>
          <w:color w:val="auto"/>
        </w:rPr>
        <w:t xml:space="preserve">. </w:t>
      </w:r>
      <w:r w:rsidR="00297102">
        <w:rPr>
          <w:color w:val="auto"/>
        </w:rPr>
        <w:t>Enhver uenighed mellem parterne vedrørende aftalen eller dens rette forståelse og/eller opfyldelse skal endeligt afgøres ved voldgift</w:t>
      </w:r>
      <w:r w:rsidR="00D762DE">
        <w:rPr>
          <w:color w:val="auto"/>
        </w:rPr>
        <w:t xml:space="preserve"> og kan ikke indbringes for domstolene</w:t>
      </w:r>
      <w:r w:rsidR="00297102">
        <w:rPr>
          <w:color w:val="auto"/>
        </w:rPr>
        <w:t xml:space="preserve">. </w:t>
      </w:r>
    </w:p>
    <w:p w14:paraId="23C32A41" w14:textId="77777777" w:rsidR="00E153F4" w:rsidRDefault="00E153F4" w:rsidP="0047456A">
      <w:pPr>
        <w:pStyle w:val="Default"/>
        <w:spacing w:line="276" w:lineRule="auto"/>
        <w:rPr>
          <w:color w:val="auto"/>
        </w:rPr>
      </w:pPr>
    </w:p>
    <w:p w14:paraId="1138D6E8" w14:textId="44EACEAB" w:rsidR="00CE6D0C" w:rsidRDefault="00CF4685" w:rsidP="0047456A">
      <w:pPr>
        <w:rPr>
          <w:rFonts w:ascii="Garamond" w:hAnsi="Garamond"/>
          <w:sz w:val="24"/>
          <w:szCs w:val="24"/>
        </w:rPr>
      </w:pPr>
      <w:r w:rsidRPr="00CF4685">
        <w:rPr>
          <w:rFonts w:ascii="Garamond" w:hAnsi="Garamond"/>
          <w:sz w:val="24"/>
          <w:szCs w:val="24"/>
        </w:rPr>
        <w:t>Den part, som ønsker et spørgsmål afgjort ved voldgift, skal udpege en voldgiftsmand samt ved anbefalet brev opfordre den anden part til inden 14 dage at udpege sin voldgiftsmand. Har den anden part ikke inden fristens udløb udpeget en voldgiftsmand, udpeges denne af præsidenten for Sø- og Handelsretten i København. De to voldgiftsmænd udpeger i fællesskab en opmand. I mangel af enighed herom anmoder de udpegede voldgiftsmænd i forening præsidenten for Sø- og Handelsretten i København om, at denne udpeger den opmand, der skal virke som formand for voldgiftsretten</w:t>
      </w:r>
      <w:r w:rsidR="00920B40">
        <w:rPr>
          <w:rStyle w:val="Fodnotehenvisning"/>
          <w:rFonts w:ascii="Garamond" w:hAnsi="Garamond"/>
          <w:sz w:val="24"/>
          <w:szCs w:val="24"/>
        </w:rPr>
        <w:footnoteReference w:id="1"/>
      </w:r>
      <w:r w:rsidRPr="00CF4685">
        <w:rPr>
          <w:rFonts w:ascii="Garamond" w:hAnsi="Garamond"/>
          <w:sz w:val="24"/>
          <w:szCs w:val="24"/>
        </w:rPr>
        <w:t xml:space="preserve">. Voldgiftsretten fastlægger selv </w:t>
      </w:r>
      <w:r w:rsidRPr="00CF4685">
        <w:rPr>
          <w:rFonts w:ascii="Garamond" w:hAnsi="Garamond"/>
          <w:sz w:val="24"/>
          <w:szCs w:val="24"/>
        </w:rPr>
        <w:lastRenderedPageBreak/>
        <w:t>reglerne for sin behandling af den indbragte sag i overensstemmelse med lov om voldgift og retsplejelovens lmindelige principper. Voldgiftsretten bestemmer, hvorledes omkostningerne i forbindelse med voldgiftssagens gennemførelse skal fordeles.</w:t>
      </w:r>
    </w:p>
    <w:p w14:paraId="7F07435E" w14:textId="77777777" w:rsidR="00C07B11" w:rsidRDefault="00C07B11" w:rsidP="0047456A">
      <w:pPr>
        <w:rPr>
          <w:rFonts w:ascii="Garamond" w:hAnsi="Garamond"/>
          <w:sz w:val="24"/>
          <w:szCs w:val="24"/>
        </w:rPr>
      </w:pPr>
    </w:p>
    <w:p w14:paraId="50A573F9" w14:textId="7C6259F9" w:rsidR="0049538B" w:rsidRDefault="00CE6D0C" w:rsidP="00C07B11">
      <w:pPr>
        <w:pStyle w:val="Overskrift1"/>
      </w:pPr>
      <w:bookmarkStart w:id="12" w:name="_Toc67665626"/>
      <w:r>
        <w:t>12</w:t>
      </w:r>
      <w:r w:rsidR="003C6EF6">
        <w:t>. Oversigt over anne</w:t>
      </w:r>
      <w:r w:rsidR="004B17A5">
        <w:t>ks</w:t>
      </w:r>
      <w:r w:rsidR="003C6EF6">
        <w:t>er</w:t>
      </w:r>
      <w:bookmarkEnd w:id="12"/>
    </w:p>
    <w:p w14:paraId="765EE7DA" w14:textId="77777777" w:rsidR="00D56F61" w:rsidRDefault="00D56F61" w:rsidP="00D56F61"/>
    <w:p w14:paraId="31F19294" w14:textId="77777777" w:rsidR="00D56F61" w:rsidRPr="00B47BA6" w:rsidRDefault="00D56F61" w:rsidP="00D56F61">
      <w:pPr>
        <w:rPr>
          <w:rFonts w:ascii="Garamond" w:hAnsi="Garamond"/>
          <w:sz w:val="24"/>
          <w:szCs w:val="24"/>
        </w:rPr>
      </w:pPr>
      <w:r w:rsidRPr="00B47BA6">
        <w:rPr>
          <w:rFonts w:ascii="Garamond" w:hAnsi="Garamond"/>
          <w:sz w:val="24"/>
          <w:szCs w:val="24"/>
        </w:rPr>
        <w:t>Anne</w:t>
      </w:r>
      <w:r w:rsidR="004B17A5" w:rsidRPr="00B47BA6">
        <w:rPr>
          <w:rFonts w:ascii="Garamond" w:hAnsi="Garamond"/>
          <w:sz w:val="24"/>
          <w:szCs w:val="24"/>
        </w:rPr>
        <w:t>ks</w:t>
      </w:r>
      <w:r w:rsidRPr="00B47BA6">
        <w:rPr>
          <w:rFonts w:ascii="Garamond" w:hAnsi="Garamond"/>
          <w:sz w:val="24"/>
          <w:szCs w:val="24"/>
        </w:rPr>
        <w:t xml:space="preserve"> 1 – Status </w:t>
      </w:r>
      <w:r w:rsidR="000F5A2E" w:rsidRPr="00B47BA6">
        <w:rPr>
          <w:rFonts w:ascii="Garamond" w:hAnsi="Garamond"/>
          <w:sz w:val="24"/>
          <w:szCs w:val="24"/>
        </w:rPr>
        <w:t>R</w:t>
      </w:r>
      <w:r w:rsidRPr="00B47BA6">
        <w:rPr>
          <w:rFonts w:ascii="Garamond" w:hAnsi="Garamond"/>
          <w:sz w:val="24"/>
          <w:szCs w:val="24"/>
        </w:rPr>
        <w:t>eport format</w:t>
      </w:r>
    </w:p>
    <w:p w14:paraId="1B90FF53" w14:textId="3B8F361F" w:rsidR="00D56F61" w:rsidRPr="00C07B11" w:rsidRDefault="004B17A5" w:rsidP="00D56F61">
      <w:pPr>
        <w:rPr>
          <w:rFonts w:ascii="Garamond" w:hAnsi="Garamond"/>
          <w:sz w:val="24"/>
          <w:szCs w:val="24"/>
          <w:lang w:val="en-GB"/>
        </w:rPr>
      </w:pPr>
      <w:r w:rsidRPr="00C07B11">
        <w:rPr>
          <w:rFonts w:ascii="Garamond" w:hAnsi="Garamond"/>
          <w:sz w:val="24"/>
          <w:szCs w:val="24"/>
          <w:lang w:val="en-GB"/>
        </w:rPr>
        <w:t xml:space="preserve">Anneks </w:t>
      </w:r>
      <w:r w:rsidR="00D56F61" w:rsidRPr="00C07B11">
        <w:rPr>
          <w:rFonts w:ascii="Garamond" w:hAnsi="Garamond"/>
          <w:sz w:val="24"/>
          <w:szCs w:val="24"/>
          <w:lang w:val="en-GB"/>
        </w:rPr>
        <w:t xml:space="preserve">2 – </w:t>
      </w:r>
      <w:r w:rsidR="00C07B11" w:rsidRPr="00C07B11">
        <w:rPr>
          <w:rFonts w:ascii="Garamond" w:hAnsi="Garamond"/>
          <w:sz w:val="24"/>
          <w:szCs w:val="24"/>
          <w:lang w:val="en-GB"/>
        </w:rPr>
        <w:t xml:space="preserve">Partners </w:t>
      </w:r>
      <w:r w:rsidR="000F5A2E" w:rsidRPr="00C07B11">
        <w:rPr>
          <w:rFonts w:ascii="Garamond" w:hAnsi="Garamond"/>
          <w:sz w:val="24"/>
          <w:szCs w:val="24"/>
          <w:lang w:val="en-GB"/>
        </w:rPr>
        <w:t>Final Results Report format</w:t>
      </w:r>
    </w:p>
    <w:p w14:paraId="249FD88A" w14:textId="77777777" w:rsidR="00D56F61" w:rsidRPr="00F636A2" w:rsidRDefault="004B17A5" w:rsidP="00D56F61">
      <w:pPr>
        <w:rPr>
          <w:rFonts w:ascii="Garamond" w:hAnsi="Garamond"/>
          <w:sz w:val="24"/>
          <w:szCs w:val="24"/>
        </w:rPr>
      </w:pPr>
      <w:r w:rsidRPr="00910956">
        <w:rPr>
          <w:rFonts w:ascii="Garamond" w:hAnsi="Garamond"/>
          <w:sz w:val="24"/>
          <w:szCs w:val="24"/>
        </w:rPr>
        <w:t>Anne</w:t>
      </w:r>
      <w:r>
        <w:rPr>
          <w:rFonts w:ascii="Garamond" w:hAnsi="Garamond"/>
          <w:sz w:val="24"/>
          <w:szCs w:val="24"/>
        </w:rPr>
        <w:t>ks</w:t>
      </w:r>
      <w:r w:rsidRPr="00F636A2">
        <w:rPr>
          <w:rFonts w:ascii="Garamond" w:hAnsi="Garamond"/>
          <w:sz w:val="24"/>
          <w:szCs w:val="24"/>
        </w:rPr>
        <w:t xml:space="preserve"> </w:t>
      </w:r>
      <w:r w:rsidR="00D56F61" w:rsidRPr="00F636A2">
        <w:rPr>
          <w:rFonts w:ascii="Garamond" w:hAnsi="Garamond"/>
          <w:sz w:val="24"/>
          <w:szCs w:val="24"/>
        </w:rPr>
        <w:t xml:space="preserve">3 </w:t>
      </w:r>
      <w:r w:rsidR="006C4F62" w:rsidRPr="00F636A2">
        <w:rPr>
          <w:rFonts w:ascii="Garamond" w:hAnsi="Garamond"/>
          <w:sz w:val="24"/>
          <w:szCs w:val="24"/>
        </w:rPr>
        <w:t>–</w:t>
      </w:r>
      <w:r w:rsidR="00D56F61" w:rsidRPr="00F636A2">
        <w:rPr>
          <w:rFonts w:ascii="Garamond" w:hAnsi="Garamond"/>
          <w:sz w:val="24"/>
          <w:szCs w:val="24"/>
        </w:rPr>
        <w:t xml:space="preserve"> </w:t>
      </w:r>
      <w:r w:rsidR="006C4F62" w:rsidRPr="00F636A2">
        <w:rPr>
          <w:rFonts w:ascii="Garamond" w:hAnsi="Garamond"/>
          <w:sz w:val="24"/>
          <w:szCs w:val="24"/>
        </w:rPr>
        <w:t>Budgetformat</w:t>
      </w:r>
    </w:p>
    <w:p w14:paraId="2342E141" w14:textId="77777777" w:rsidR="006C4F62" w:rsidRPr="006C4F62" w:rsidRDefault="004B17A5" w:rsidP="00D56F61">
      <w:pPr>
        <w:rPr>
          <w:rFonts w:ascii="Garamond" w:hAnsi="Garamond"/>
          <w:sz w:val="24"/>
          <w:szCs w:val="24"/>
        </w:rPr>
      </w:pPr>
      <w:r w:rsidRPr="00910956">
        <w:rPr>
          <w:rFonts w:ascii="Garamond" w:hAnsi="Garamond"/>
          <w:sz w:val="24"/>
          <w:szCs w:val="24"/>
        </w:rPr>
        <w:t>Anne</w:t>
      </w:r>
      <w:r>
        <w:rPr>
          <w:rFonts w:ascii="Garamond" w:hAnsi="Garamond"/>
          <w:sz w:val="24"/>
          <w:szCs w:val="24"/>
        </w:rPr>
        <w:t>ks</w:t>
      </w:r>
      <w:r w:rsidRPr="006C4F62">
        <w:rPr>
          <w:rFonts w:ascii="Garamond" w:hAnsi="Garamond"/>
          <w:sz w:val="24"/>
          <w:szCs w:val="24"/>
        </w:rPr>
        <w:t xml:space="preserve"> </w:t>
      </w:r>
      <w:r w:rsidR="006C4F62" w:rsidRPr="006C4F62">
        <w:rPr>
          <w:rFonts w:ascii="Garamond" w:hAnsi="Garamond"/>
          <w:sz w:val="24"/>
          <w:szCs w:val="24"/>
        </w:rPr>
        <w:t>4 – Note til udfyldelse af budget</w:t>
      </w:r>
    </w:p>
    <w:p w14:paraId="57C83A27" w14:textId="328DB4B0" w:rsidR="006C4F62" w:rsidRDefault="004B17A5" w:rsidP="00D56F61">
      <w:pPr>
        <w:rPr>
          <w:rFonts w:ascii="Garamond" w:hAnsi="Garamond"/>
          <w:sz w:val="24"/>
          <w:szCs w:val="24"/>
        </w:rPr>
      </w:pPr>
      <w:r w:rsidRPr="00910956">
        <w:rPr>
          <w:rFonts w:ascii="Garamond" w:hAnsi="Garamond"/>
          <w:sz w:val="24"/>
          <w:szCs w:val="24"/>
        </w:rPr>
        <w:t>Anne</w:t>
      </w:r>
      <w:r>
        <w:rPr>
          <w:rFonts w:ascii="Garamond" w:hAnsi="Garamond"/>
          <w:sz w:val="24"/>
          <w:szCs w:val="24"/>
        </w:rPr>
        <w:t xml:space="preserve">ks </w:t>
      </w:r>
      <w:r w:rsidR="006C4F62">
        <w:rPr>
          <w:rFonts w:ascii="Garamond" w:hAnsi="Garamond"/>
          <w:sz w:val="24"/>
          <w:szCs w:val="24"/>
        </w:rPr>
        <w:t>5 – Finansiel statusrapport</w:t>
      </w:r>
      <w:r w:rsidR="00C07B11">
        <w:rPr>
          <w:rFonts w:ascii="Garamond" w:hAnsi="Garamond"/>
          <w:sz w:val="24"/>
          <w:szCs w:val="24"/>
        </w:rPr>
        <w:t xml:space="preserve"> eksempel</w:t>
      </w:r>
    </w:p>
    <w:p w14:paraId="376BC535" w14:textId="5FF69482" w:rsidR="006C4F62" w:rsidRDefault="004B17A5" w:rsidP="00D56F61">
      <w:pPr>
        <w:rPr>
          <w:rFonts w:ascii="Garamond" w:hAnsi="Garamond"/>
          <w:sz w:val="24"/>
          <w:szCs w:val="24"/>
        </w:rPr>
      </w:pPr>
      <w:r w:rsidRPr="00910956">
        <w:rPr>
          <w:rFonts w:ascii="Garamond" w:hAnsi="Garamond"/>
          <w:sz w:val="24"/>
          <w:szCs w:val="24"/>
        </w:rPr>
        <w:t>Anne</w:t>
      </w:r>
      <w:r>
        <w:rPr>
          <w:rFonts w:ascii="Garamond" w:hAnsi="Garamond"/>
          <w:sz w:val="24"/>
          <w:szCs w:val="24"/>
        </w:rPr>
        <w:t xml:space="preserve">ks </w:t>
      </w:r>
      <w:r w:rsidR="006C4F62">
        <w:rPr>
          <w:rFonts w:ascii="Garamond" w:hAnsi="Garamond"/>
          <w:sz w:val="24"/>
          <w:szCs w:val="24"/>
        </w:rPr>
        <w:t xml:space="preserve">6 </w:t>
      </w:r>
      <w:r w:rsidR="00162DF4">
        <w:rPr>
          <w:rFonts w:ascii="Garamond" w:hAnsi="Garamond"/>
          <w:sz w:val="24"/>
          <w:szCs w:val="24"/>
        </w:rPr>
        <w:t>–</w:t>
      </w:r>
      <w:r w:rsidR="006C4F62">
        <w:rPr>
          <w:rFonts w:ascii="Garamond" w:hAnsi="Garamond"/>
          <w:sz w:val="24"/>
          <w:szCs w:val="24"/>
        </w:rPr>
        <w:t xml:space="preserve"> </w:t>
      </w:r>
      <w:r w:rsidR="00162DF4">
        <w:rPr>
          <w:rFonts w:ascii="Garamond" w:hAnsi="Garamond"/>
          <w:sz w:val="24"/>
          <w:szCs w:val="24"/>
        </w:rPr>
        <w:t xml:space="preserve">Afsluttende </w:t>
      </w:r>
      <w:r w:rsidR="00885122">
        <w:rPr>
          <w:rFonts w:ascii="Garamond" w:hAnsi="Garamond"/>
          <w:sz w:val="24"/>
          <w:szCs w:val="24"/>
        </w:rPr>
        <w:t xml:space="preserve">revideret </w:t>
      </w:r>
      <w:r w:rsidR="00162DF4">
        <w:rPr>
          <w:rFonts w:ascii="Garamond" w:hAnsi="Garamond"/>
          <w:sz w:val="24"/>
          <w:szCs w:val="24"/>
        </w:rPr>
        <w:t xml:space="preserve">regnskab </w:t>
      </w:r>
      <w:r w:rsidR="00C07B11">
        <w:rPr>
          <w:rFonts w:ascii="Garamond" w:hAnsi="Garamond"/>
          <w:sz w:val="24"/>
          <w:szCs w:val="24"/>
        </w:rPr>
        <w:t>eksempel</w:t>
      </w:r>
    </w:p>
    <w:p w14:paraId="3C795054" w14:textId="77777777" w:rsidR="00162DF4" w:rsidRDefault="004B17A5" w:rsidP="00D56F61">
      <w:pPr>
        <w:rPr>
          <w:rFonts w:ascii="Garamond" w:hAnsi="Garamond"/>
          <w:sz w:val="24"/>
          <w:szCs w:val="24"/>
        </w:rPr>
      </w:pPr>
      <w:r w:rsidRPr="00910956">
        <w:rPr>
          <w:rFonts w:ascii="Garamond" w:hAnsi="Garamond"/>
          <w:sz w:val="24"/>
          <w:szCs w:val="24"/>
        </w:rPr>
        <w:t>Anne</w:t>
      </w:r>
      <w:r>
        <w:rPr>
          <w:rFonts w:ascii="Garamond" w:hAnsi="Garamond"/>
          <w:sz w:val="24"/>
          <w:szCs w:val="24"/>
        </w:rPr>
        <w:t xml:space="preserve">ks </w:t>
      </w:r>
      <w:r w:rsidR="00162DF4">
        <w:rPr>
          <w:rFonts w:ascii="Garamond" w:hAnsi="Garamond"/>
          <w:sz w:val="24"/>
          <w:szCs w:val="24"/>
        </w:rPr>
        <w:t>7 – Udbetalingsformular</w:t>
      </w:r>
    </w:p>
    <w:p w14:paraId="150B8AB3" w14:textId="77777777" w:rsidR="00162DF4" w:rsidRDefault="004B17A5" w:rsidP="00D56F61">
      <w:pPr>
        <w:rPr>
          <w:rFonts w:ascii="Garamond" w:hAnsi="Garamond"/>
          <w:sz w:val="24"/>
          <w:szCs w:val="24"/>
        </w:rPr>
      </w:pPr>
      <w:r w:rsidRPr="00910956">
        <w:rPr>
          <w:rFonts w:ascii="Garamond" w:hAnsi="Garamond"/>
          <w:sz w:val="24"/>
          <w:szCs w:val="24"/>
        </w:rPr>
        <w:t>Anne</w:t>
      </w:r>
      <w:r>
        <w:rPr>
          <w:rFonts w:ascii="Garamond" w:hAnsi="Garamond"/>
          <w:sz w:val="24"/>
          <w:szCs w:val="24"/>
        </w:rPr>
        <w:t>ks</w:t>
      </w:r>
      <w:r w:rsidR="00162DF4">
        <w:rPr>
          <w:rFonts w:ascii="Garamond" w:hAnsi="Garamond"/>
          <w:sz w:val="24"/>
          <w:szCs w:val="24"/>
        </w:rPr>
        <w:t xml:space="preserve"> 8 – Vejledning til udbetalinger</w:t>
      </w:r>
    </w:p>
    <w:p w14:paraId="76D4A2E1" w14:textId="77777777" w:rsidR="00162DF4" w:rsidRPr="00162DF4" w:rsidRDefault="004B17A5" w:rsidP="00D56F61">
      <w:pPr>
        <w:rPr>
          <w:rFonts w:ascii="Garamond" w:hAnsi="Garamond"/>
          <w:sz w:val="24"/>
          <w:szCs w:val="24"/>
          <w:lang w:val="en-US"/>
        </w:rPr>
      </w:pPr>
      <w:r w:rsidRPr="004B17A5">
        <w:rPr>
          <w:rFonts w:ascii="Garamond" w:hAnsi="Garamond"/>
          <w:sz w:val="24"/>
          <w:szCs w:val="24"/>
          <w:lang w:val="en-US"/>
        </w:rPr>
        <w:t>Anneks</w:t>
      </w:r>
      <w:r w:rsidRPr="00162DF4">
        <w:rPr>
          <w:rFonts w:ascii="Garamond" w:hAnsi="Garamond"/>
          <w:sz w:val="24"/>
          <w:szCs w:val="24"/>
          <w:lang w:val="en-US"/>
        </w:rPr>
        <w:t xml:space="preserve"> </w:t>
      </w:r>
      <w:r w:rsidR="00162DF4" w:rsidRPr="00162DF4">
        <w:rPr>
          <w:rFonts w:ascii="Garamond" w:hAnsi="Garamond"/>
          <w:sz w:val="24"/>
          <w:szCs w:val="24"/>
          <w:lang w:val="en-US"/>
        </w:rPr>
        <w:t>9 – Revisionsinstruks</w:t>
      </w:r>
    </w:p>
    <w:p w14:paraId="5679983C" w14:textId="77777777" w:rsidR="00162DF4" w:rsidRPr="00162DF4" w:rsidRDefault="004B17A5" w:rsidP="00D56F61">
      <w:pPr>
        <w:rPr>
          <w:rFonts w:ascii="Garamond" w:hAnsi="Garamond"/>
          <w:sz w:val="24"/>
          <w:szCs w:val="24"/>
          <w:lang w:val="en-US"/>
        </w:rPr>
      </w:pPr>
      <w:r w:rsidRPr="004B17A5">
        <w:rPr>
          <w:rFonts w:ascii="Garamond" w:hAnsi="Garamond"/>
          <w:sz w:val="24"/>
          <w:szCs w:val="24"/>
          <w:lang w:val="en-US"/>
        </w:rPr>
        <w:t>Anneks</w:t>
      </w:r>
      <w:r w:rsidRPr="00162DF4">
        <w:rPr>
          <w:rFonts w:ascii="Garamond" w:hAnsi="Garamond"/>
          <w:sz w:val="24"/>
          <w:szCs w:val="24"/>
          <w:lang w:val="en-US"/>
        </w:rPr>
        <w:t xml:space="preserve"> </w:t>
      </w:r>
      <w:r w:rsidR="00162DF4" w:rsidRPr="00162DF4">
        <w:rPr>
          <w:rFonts w:ascii="Garamond" w:hAnsi="Garamond"/>
          <w:sz w:val="24"/>
          <w:szCs w:val="24"/>
          <w:lang w:val="en-US"/>
        </w:rPr>
        <w:t>10 – Form for reporting irregularities</w:t>
      </w:r>
    </w:p>
    <w:p w14:paraId="11D21170" w14:textId="77777777" w:rsidR="00162DF4" w:rsidRPr="00162DF4" w:rsidRDefault="00162DF4" w:rsidP="00D56F61">
      <w:pPr>
        <w:rPr>
          <w:rFonts w:ascii="Garamond" w:hAnsi="Garamond"/>
          <w:sz w:val="24"/>
          <w:szCs w:val="24"/>
          <w:lang w:val="en-US"/>
        </w:rPr>
      </w:pPr>
    </w:p>
    <w:sectPr w:rsidR="00162DF4" w:rsidRPr="00162DF4" w:rsidSect="00722BA3">
      <w:footerReference w:type="default" r:id="rId8"/>
      <w:pgSz w:w="11906" w:h="17340"/>
      <w:pgMar w:top="1136" w:right="810" w:bottom="594" w:left="103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56B5A" w14:textId="77777777" w:rsidR="00F21537" w:rsidRDefault="00F21537" w:rsidP="00E50D90">
      <w:pPr>
        <w:spacing w:after="0" w:line="240" w:lineRule="auto"/>
      </w:pPr>
      <w:r>
        <w:separator/>
      </w:r>
    </w:p>
  </w:endnote>
  <w:endnote w:type="continuationSeparator" w:id="0">
    <w:p w14:paraId="26B84FE5" w14:textId="77777777" w:rsidR="00F21537" w:rsidRDefault="00F21537" w:rsidP="00E50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iplomacy Office Bold">
    <w:panose1 w:val="000008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47297"/>
      <w:docPartObj>
        <w:docPartGallery w:val="Page Numbers (Bottom of Page)"/>
        <w:docPartUnique/>
      </w:docPartObj>
    </w:sdtPr>
    <w:sdtEndPr>
      <w:rPr>
        <w:rFonts w:ascii="Garamond" w:hAnsi="Garamond"/>
      </w:rPr>
    </w:sdtEndPr>
    <w:sdtContent>
      <w:p w14:paraId="639361FC" w14:textId="76AB825C" w:rsidR="00E50D90" w:rsidRPr="000C3AFE" w:rsidRDefault="00E50D90">
        <w:pPr>
          <w:pStyle w:val="Sidefod"/>
          <w:jc w:val="right"/>
          <w:rPr>
            <w:rFonts w:ascii="Garamond" w:hAnsi="Garamond"/>
          </w:rPr>
        </w:pPr>
        <w:r w:rsidRPr="000C3AFE">
          <w:rPr>
            <w:rFonts w:ascii="Garamond" w:hAnsi="Garamond"/>
          </w:rPr>
          <w:fldChar w:fldCharType="begin"/>
        </w:r>
        <w:r w:rsidRPr="000C3AFE">
          <w:rPr>
            <w:rFonts w:ascii="Garamond" w:hAnsi="Garamond"/>
          </w:rPr>
          <w:instrText>PAGE   \* MERGEFORMAT</w:instrText>
        </w:r>
        <w:r w:rsidRPr="000C3AFE">
          <w:rPr>
            <w:rFonts w:ascii="Garamond" w:hAnsi="Garamond"/>
          </w:rPr>
          <w:fldChar w:fldCharType="separate"/>
        </w:r>
        <w:r w:rsidR="00D84A0A">
          <w:rPr>
            <w:rFonts w:ascii="Garamond" w:hAnsi="Garamond"/>
            <w:noProof/>
          </w:rPr>
          <w:t>8</w:t>
        </w:r>
        <w:r w:rsidRPr="000C3AFE">
          <w:rPr>
            <w:rFonts w:ascii="Garamond" w:hAnsi="Garamond"/>
          </w:rPr>
          <w:fldChar w:fldCharType="end"/>
        </w:r>
      </w:p>
    </w:sdtContent>
  </w:sdt>
  <w:p w14:paraId="2822EAF2" w14:textId="77777777" w:rsidR="00E50D90" w:rsidRDefault="00E50D9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0A778" w14:textId="77777777" w:rsidR="00F21537" w:rsidRDefault="00F21537" w:rsidP="00E50D90">
      <w:pPr>
        <w:spacing w:after="0" w:line="240" w:lineRule="auto"/>
      </w:pPr>
      <w:r>
        <w:separator/>
      </w:r>
    </w:p>
  </w:footnote>
  <w:footnote w:type="continuationSeparator" w:id="0">
    <w:p w14:paraId="451D1334" w14:textId="77777777" w:rsidR="00F21537" w:rsidRDefault="00F21537" w:rsidP="00E50D90">
      <w:pPr>
        <w:spacing w:after="0" w:line="240" w:lineRule="auto"/>
      </w:pPr>
      <w:r>
        <w:continuationSeparator/>
      </w:r>
    </w:p>
  </w:footnote>
  <w:footnote w:id="1">
    <w:p w14:paraId="55F31458" w14:textId="77777777" w:rsidR="00920B40" w:rsidRPr="00F636A2" w:rsidRDefault="00920B40">
      <w:pPr>
        <w:pStyle w:val="Fodnotetekst"/>
        <w:rPr>
          <w:rFonts w:ascii="Garamond" w:hAnsi="Garamond"/>
        </w:rPr>
      </w:pPr>
      <w:r w:rsidRPr="00F636A2">
        <w:rPr>
          <w:rStyle w:val="Fodnotehenvisning"/>
          <w:rFonts w:ascii="Garamond" w:hAnsi="Garamond"/>
        </w:rPr>
        <w:footnoteRef/>
      </w:r>
      <w:r w:rsidR="00F636A2">
        <w:rPr>
          <w:rFonts w:ascii="Garamond" w:hAnsi="Garamond"/>
        </w:rPr>
        <w:t xml:space="preserve"> </w:t>
      </w:r>
      <w:r w:rsidR="00F636A2" w:rsidRPr="0034069A">
        <w:rPr>
          <w:rFonts w:ascii="Garamond" w:hAnsi="Garamond"/>
          <w:sz w:val="18"/>
          <w:szCs w:val="18"/>
        </w:rPr>
        <w:t>Danske voldgiftsinstituts regler kan findes her:</w:t>
      </w:r>
      <w:r w:rsidRPr="0034069A">
        <w:rPr>
          <w:rFonts w:ascii="Garamond" w:hAnsi="Garamond"/>
          <w:sz w:val="18"/>
          <w:szCs w:val="18"/>
        </w:rPr>
        <w:t xml:space="preserve"> </w:t>
      </w:r>
      <w:hyperlink r:id="rId1" w:history="1">
        <w:r w:rsidRPr="0034069A">
          <w:rPr>
            <w:rStyle w:val="Hyperlink"/>
            <w:rFonts w:ascii="Garamond" w:hAnsi="Garamond"/>
            <w:sz w:val="18"/>
            <w:szCs w:val="18"/>
          </w:rPr>
          <w:t>https://voldgiftsinstituttet.dk/wp-content/uploads/2014/12/dk_voldgiftsbrochure.pdf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631"/>
    <w:multiLevelType w:val="hybridMultilevel"/>
    <w:tmpl w:val="455685DC"/>
    <w:lvl w:ilvl="0" w:tplc="2D1AA136">
      <w:start w:val="1"/>
      <w:numFmt w:val="bullet"/>
      <w:lvlText w:val="□"/>
      <w:lvlJc w:val="left"/>
      <w:pPr>
        <w:ind w:left="720" w:hanging="360"/>
      </w:pPr>
      <w:rPr>
        <w:rFonts w:ascii="Courier New" w:hAnsi="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B6934E4"/>
    <w:multiLevelType w:val="hybridMultilevel"/>
    <w:tmpl w:val="8584B2B6"/>
    <w:lvl w:ilvl="0" w:tplc="2D1AA136">
      <w:start w:val="1"/>
      <w:numFmt w:val="bullet"/>
      <w:lvlText w:val="□"/>
      <w:lvlJc w:val="left"/>
      <w:pPr>
        <w:ind w:left="720" w:hanging="360"/>
      </w:pPr>
      <w:rPr>
        <w:rFonts w:ascii="Courier New" w:hAnsi="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8B15EE"/>
    <w:multiLevelType w:val="hybridMultilevel"/>
    <w:tmpl w:val="06B0D782"/>
    <w:lvl w:ilvl="0" w:tplc="2D1AA136">
      <w:start w:val="1"/>
      <w:numFmt w:val="bullet"/>
      <w:lvlText w:val="□"/>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41577F5"/>
    <w:multiLevelType w:val="hybridMultilevel"/>
    <w:tmpl w:val="A328AA3E"/>
    <w:lvl w:ilvl="0" w:tplc="2D1AA136">
      <w:start w:val="1"/>
      <w:numFmt w:val="bullet"/>
      <w:lvlText w:val="□"/>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AB53BBE"/>
    <w:multiLevelType w:val="hybridMultilevel"/>
    <w:tmpl w:val="52EC8568"/>
    <w:lvl w:ilvl="0" w:tplc="04060017">
      <w:start w:val="1"/>
      <w:numFmt w:val="lowerLetter"/>
      <w:lvlText w:val="%1)"/>
      <w:lvlJc w:val="left"/>
      <w:pPr>
        <w:ind w:left="1080" w:hanging="360"/>
      </w:pPr>
      <w:rPr>
        <w:rFonts w:hint="default"/>
      </w:rPr>
    </w:lvl>
    <w:lvl w:ilvl="1" w:tplc="54D613CA">
      <w:start w:val="5"/>
      <w:numFmt w:val="bullet"/>
      <w:lvlText w:val=""/>
      <w:lvlJc w:val="left"/>
      <w:pPr>
        <w:ind w:left="1800" w:hanging="360"/>
      </w:pPr>
      <w:rPr>
        <w:rFonts w:ascii="Garamond" w:eastAsiaTheme="minorHAnsi" w:hAnsi="Garamond" w:cs="Garamond"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4D41005E"/>
    <w:multiLevelType w:val="hybridMultilevel"/>
    <w:tmpl w:val="DA8E0C44"/>
    <w:lvl w:ilvl="0" w:tplc="E5F462D4">
      <w:numFmt w:val="bullet"/>
      <w:lvlText w:val=""/>
      <w:lvlJc w:val="left"/>
      <w:pPr>
        <w:ind w:left="720" w:hanging="360"/>
      </w:pPr>
      <w:rPr>
        <w:rFonts w:ascii="Garamond" w:eastAsiaTheme="minorHAnsi" w:hAnsi="Garamond" w:cs="Garamond" w:hint="default"/>
      </w:rPr>
    </w:lvl>
    <w:lvl w:ilvl="1" w:tplc="E23A4CE4">
      <w:numFmt w:val="bullet"/>
      <w:lvlText w:val="-"/>
      <w:lvlJc w:val="left"/>
      <w:pPr>
        <w:ind w:left="1440" w:hanging="360"/>
      </w:pPr>
      <w:rPr>
        <w:rFonts w:ascii="Garamond" w:eastAsiaTheme="minorHAnsi" w:hAnsi="Garamond" w:cs="Garamond"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E2C2E2B"/>
    <w:multiLevelType w:val="hybridMultilevel"/>
    <w:tmpl w:val="0C6273C2"/>
    <w:lvl w:ilvl="0" w:tplc="5EAA12D6">
      <w:numFmt w:val="bullet"/>
      <w:lvlText w:val=""/>
      <w:lvlJc w:val="left"/>
      <w:pPr>
        <w:ind w:left="720" w:hanging="360"/>
      </w:pPr>
      <w:rPr>
        <w:rFonts w:ascii="Garamond" w:eastAsiaTheme="minorHAnsi" w:hAnsi="Garamond"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E35073E"/>
    <w:multiLevelType w:val="hybridMultilevel"/>
    <w:tmpl w:val="260A9ADA"/>
    <w:lvl w:ilvl="0" w:tplc="2D1AA136">
      <w:start w:val="1"/>
      <w:numFmt w:val="bullet"/>
      <w:lvlText w:val="□"/>
      <w:lvlJc w:val="left"/>
      <w:pPr>
        <w:ind w:left="1440" w:hanging="360"/>
      </w:pPr>
      <w:rPr>
        <w:rFonts w:ascii="Courier New" w:hAnsi="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552A634A"/>
    <w:multiLevelType w:val="hybridMultilevel"/>
    <w:tmpl w:val="7300635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6763A47"/>
    <w:multiLevelType w:val="hybridMultilevel"/>
    <w:tmpl w:val="DD3CD28E"/>
    <w:lvl w:ilvl="0" w:tplc="2D1AA136">
      <w:start w:val="1"/>
      <w:numFmt w:val="bullet"/>
      <w:lvlText w:val="□"/>
      <w:lvlJc w:val="left"/>
      <w:pPr>
        <w:ind w:left="720" w:hanging="360"/>
      </w:pPr>
      <w:rPr>
        <w:rFonts w:ascii="Courier New" w:hAnsi="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9271A79"/>
    <w:multiLevelType w:val="hybridMultilevel"/>
    <w:tmpl w:val="775EC974"/>
    <w:lvl w:ilvl="0" w:tplc="2D1AA136">
      <w:start w:val="1"/>
      <w:numFmt w:val="bullet"/>
      <w:lvlText w:val="□"/>
      <w:lvlJc w:val="left"/>
      <w:pPr>
        <w:ind w:left="720" w:hanging="360"/>
      </w:pPr>
      <w:rPr>
        <w:rFonts w:ascii="Courier New" w:hAnsi="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C23305F"/>
    <w:multiLevelType w:val="hybridMultilevel"/>
    <w:tmpl w:val="897607D6"/>
    <w:lvl w:ilvl="0" w:tplc="77FC709C">
      <w:start w:val="20"/>
      <w:numFmt w:val="bullet"/>
      <w:lvlText w:val="-"/>
      <w:lvlJc w:val="left"/>
      <w:pPr>
        <w:ind w:left="720" w:hanging="360"/>
      </w:pPr>
      <w:rPr>
        <w:rFonts w:ascii="Verdana" w:eastAsia="Calibri"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7D4F03A2"/>
    <w:multiLevelType w:val="hybridMultilevel"/>
    <w:tmpl w:val="A50EA274"/>
    <w:lvl w:ilvl="0" w:tplc="54663918">
      <w:numFmt w:val="bullet"/>
      <w:lvlText w:val=""/>
      <w:lvlJc w:val="left"/>
      <w:pPr>
        <w:ind w:left="720" w:hanging="360"/>
      </w:pPr>
      <w:rPr>
        <w:rFonts w:ascii="Garamond" w:eastAsiaTheme="minorHAnsi" w:hAnsi="Garamond"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12"/>
  </w:num>
  <w:num w:numId="7">
    <w:abstractNumId w:val="7"/>
  </w:num>
  <w:num w:numId="8">
    <w:abstractNumId w:val="8"/>
  </w:num>
  <w:num w:numId="9">
    <w:abstractNumId w:val="4"/>
  </w:num>
  <w:num w:numId="10">
    <w:abstractNumId w:val="0"/>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85"/>
    <w:rsid w:val="00005BF5"/>
    <w:rsid w:val="00025178"/>
    <w:rsid w:val="000317E3"/>
    <w:rsid w:val="000414B0"/>
    <w:rsid w:val="0006332E"/>
    <w:rsid w:val="00073809"/>
    <w:rsid w:val="00077DD8"/>
    <w:rsid w:val="000B1983"/>
    <w:rsid w:val="000C3AFE"/>
    <w:rsid w:val="000E32C8"/>
    <w:rsid w:val="000E66A0"/>
    <w:rsid w:val="000F324A"/>
    <w:rsid w:val="000F5518"/>
    <w:rsid w:val="000F5A2E"/>
    <w:rsid w:val="00107BD5"/>
    <w:rsid w:val="001510F7"/>
    <w:rsid w:val="00162DF4"/>
    <w:rsid w:val="00173CC3"/>
    <w:rsid w:val="001A373F"/>
    <w:rsid w:val="001D0F30"/>
    <w:rsid w:val="002031E7"/>
    <w:rsid w:val="00227669"/>
    <w:rsid w:val="002551D8"/>
    <w:rsid w:val="002845B6"/>
    <w:rsid w:val="00297102"/>
    <w:rsid w:val="002A1EB7"/>
    <w:rsid w:val="002A347D"/>
    <w:rsid w:val="002E636D"/>
    <w:rsid w:val="00310020"/>
    <w:rsid w:val="00340375"/>
    <w:rsid w:val="0034069A"/>
    <w:rsid w:val="00353815"/>
    <w:rsid w:val="003960D0"/>
    <w:rsid w:val="003C6EF6"/>
    <w:rsid w:val="003D6555"/>
    <w:rsid w:val="003E51B1"/>
    <w:rsid w:val="004057D1"/>
    <w:rsid w:val="00413BBC"/>
    <w:rsid w:val="00443E60"/>
    <w:rsid w:val="0044688C"/>
    <w:rsid w:val="00465016"/>
    <w:rsid w:val="0047456A"/>
    <w:rsid w:val="0049538B"/>
    <w:rsid w:val="004A06E8"/>
    <w:rsid w:val="004B17A5"/>
    <w:rsid w:val="004E104B"/>
    <w:rsid w:val="004E4F57"/>
    <w:rsid w:val="00567A1B"/>
    <w:rsid w:val="00576461"/>
    <w:rsid w:val="005E15FA"/>
    <w:rsid w:val="005F0313"/>
    <w:rsid w:val="00617F22"/>
    <w:rsid w:val="00676E53"/>
    <w:rsid w:val="00684D13"/>
    <w:rsid w:val="006B1369"/>
    <w:rsid w:val="006B7293"/>
    <w:rsid w:val="006C146B"/>
    <w:rsid w:val="006C4F62"/>
    <w:rsid w:val="007056A7"/>
    <w:rsid w:val="00716833"/>
    <w:rsid w:val="00745DA3"/>
    <w:rsid w:val="0076096D"/>
    <w:rsid w:val="00763EB6"/>
    <w:rsid w:val="00780FE2"/>
    <w:rsid w:val="007A4A4A"/>
    <w:rsid w:val="007C7437"/>
    <w:rsid w:val="007D2987"/>
    <w:rsid w:val="008141B1"/>
    <w:rsid w:val="00814BF1"/>
    <w:rsid w:val="008403AB"/>
    <w:rsid w:val="00852F23"/>
    <w:rsid w:val="00857BB7"/>
    <w:rsid w:val="00873174"/>
    <w:rsid w:val="00877AB7"/>
    <w:rsid w:val="00880597"/>
    <w:rsid w:val="00885122"/>
    <w:rsid w:val="008939EC"/>
    <w:rsid w:val="008A505E"/>
    <w:rsid w:val="008C4474"/>
    <w:rsid w:val="008E2734"/>
    <w:rsid w:val="008E534B"/>
    <w:rsid w:val="008F3AB2"/>
    <w:rsid w:val="00910956"/>
    <w:rsid w:val="00912756"/>
    <w:rsid w:val="00920B40"/>
    <w:rsid w:val="0092113B"/>
    <w:rsid w:val="00936199"/>
    <w:rsid w:val="00943E0B"/>
    <w:rsid w:val="00953AD6"/>
    <w:rsid w:val="00973664"/>
    <w:rsid w:val="00984B1F"/>
    <w:rsid w:val="00995D9F"/>
    <w:rsid w:val="009A3E25"/>
    <w:rsid w:val="009B543B"/>
    <w:rsid w:val="009D5A99"/>
    <w:rsid w:val="009D6496"/>
    <w:rsid w:val="009E0727"/>
    <w:rsid w:val="00A566A7"/>
    <w:rsid w:val="00A6146A"/>
    <w:rsid w:val="00A6393B"/>
    <w:rsid w:val="00A81CDA"/>
    <w:rsid w:val="00A867E3"/>
    <w:rsid w:val="00A9437C"/>
    <w:rsid w:val="00AA1AD0"/>
    <w:rsid w:val="00AC392B"/>
    <w:rsid w:val="00AD0536"/>
    <w:rsid w:val="00AD0AF0"/>
    <w:rsid w:val="00AF3F8A"/>
    <w:rsid w:val="00B27760"/>
    <w:rsid w:val="00B4785A"/>
    <w:rsid w:val="00B47BA6"/>
    <w:rsid w:val="00B6618A"/>
    <w:rsid w:val="00B715C5"/>
    <w:rsid w:val="00BA19DB"/>
    <w:rsid w:val="00BB6B58"/>
    <w:rsid w:val="00BE43E3"/>
    <w:rsid w:val="00BF367A"/>
    <w:rsid w:val="00C016E8"/>
    <w:rsid w:val="00C07B11"/>
    <w:rsid w:val="00C23D13"/>
    <w:rsid w:val="00C309C3"/>
    <w:rsid w:val="00C30F0A"/>
    <w:rsid w:val="00C31E93"/>
    <w:rsid w:val="00C33319"/>
    <w:rsid w:val="00C43735"/>
    <w:rsid w:val="00C43F40"/>
    <w:rsid w:val="00C4608C"/>
    <w:rsid w:val="00C51BBE"/>
    <w:rsid w:val="00C628C0"/>
    <w:rsid w:val="00C72431"/>
    <w:rsid w:val="00C766EB"/>
    <w:rsid w:val="00C8568E"/>
    <w:rsid w:val="00C937E5"/>
    <w:rsid w:val="00C9665E"/>
    <w:rsid w:val="00C9758E"/>
    <w:rsid w:val="00CA3732"/>
    <w:rsid w:val="00CA6ED4"/>
    <w:rsid w:val="00CB3685"/>
    <w:rsid w:val="00CB51A2"/>
    <w:rsid w:val="00CE4BE3"/>
    <w:rsid w:val="00CE568F"/>
    <w:rsid w:val="00CE6D0C"/>
    <w:rsid w:val="00CF4685"/>
    <w:rsid w:val="00D0202B"/>
    <w:rsid w:val="00D039DD"/>
    <w:rsid w:val="00D07D6B"/>
    <w:rsid w:val="00D16FC1"/>
    <w:rsid w:val="00D32A15"/>
    <w:rsid w:val="00D56F61"/>
    <w:rsid w:val="00D762DE"/>
    <w:rsid w:val="00D84A0A"/>
    <w:rsid w:val="00DA0CBF"/>
    <w:rsid w:val="00DB6D1A"/>
    <w:rsid w:val="00DC5AD6"/>
    <w:rsid w:val="00E153F4"/>
    <w:rsid w:val="00E4271F"/>
    <w:rsid w:val="00E50D90"/>
    <w:rsid w:val="00E5126C"/>
    <w:rsid w:val="00E52154"/>
    <w:rsid w:val="00E528A0"/>
    <w:rsid w:val="00E57770"/>
    <w:rsid w:val="00E673F6"/>
    <w:rsid w:val="00E67ECC"/>
    <w:rsid w:val="00E72E26"/>
    <w:rsid w:val="00EA058B"/>
    <w:rsid w:val="00EA15A2"/>
    <w:rsid w:val="00EB6BBE"/>
    <w:rsid w:val="00EE0DCB"/>
    <w:rsid w:val="00EE5195"/>
    <w:rsid w:val="00EF1119"/>
    <w:rsid w:val="00F17BE8"/>
    <w:rsid w:val="00F21537"/>
    <w:rsid w:val="00F279DF"/>
    <w:rsid w:val="00F314A2"/>
    <w:rsid w:val="00F367D9"/>
    <w:rsid w:val="00F37D92"/>
    <w:rsid w:val="00F45D5E"/>
    <w:rsid w:val="00F636A2"/>
    <w:rsid w:val="00FD2EDB"/>
    <w:rsid w:val="00FF6C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AE0D"/>
  <w15:chartTrackingRefBased/>
  <w15:docId w15:val="{B3503152-9F72-4434-842A-5FD8B282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C6EF6"/>
    <w:pPr>
      <w:keepNext/>
      <w:keepLines/>
      <w:spacing w:before="240" w:after="0"/>
      <w:outlineLvl w:val="0"/>
    </w:pPr>
    <w:rPr>
      <w:rFonts w:ascii="Diplomacy Office Bold" w:eastAsiaTheme="majorEastAsia" w:hAnsi="Diplomacy Office Bold" w:cstheme="majorBidi"/>
      <w:sz w:val="24"/>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CF4685"/>
    <w:pPr>
      <w:autoSpaceDE w:val="0"/>
      <w:autoSpaceDN w:val="0"/>
      <w:adjustRightInd w:val="0"/>
      <w:spacing w:after="0" w:line="240" w:lineRule="auto"/>
    </w:pPr>
    <w:rPr>
      <w:rFonts w:ascii="Garamond" w:hAnsi="Garamond" w:cs="Garamond"/>
      <w:color w:val="000000"/>
      <w:sz w:val="24"/>
      <w:szCs w:val="24"/>
    </w:rPr>
  </w:style>
  <w:style w:type="character" w:styleId="Kommentarhenvisning">
    <w:name w:val="annotation reference"/>
    <w:basedOn w:val="Standardskrifttypeiafsnit"/>
    <w:uiPriority w:val="99"/>
    <w:semiHidden/>
    <w:unhideWhenUsed/>
    <w:rsid w:val="00C937E5"/>
    <w:rPr>
      <w:sz w:val="16"/>
      <w:szCs w:val="16"/>
    </w:rPr>
  </w:style>
  <w:style w:type="paragraph" w:styleId="Kommentartekst">
    <w:name w:val="annotation text"/>
    <w:basedOn w:val="Normal"/>
    <w:link w:val="KommentartekstTegn"/>
    <w:uiPriority w:val="99"/>
    <w:semiHidden/>
    <w:unhideWhenUsed/>
    <w:rsid w:val="00C937E5"/>
    <w:pPr>
      <w:spacing w:line="240" w:lineRule="auto"/>
    </w:pPr>
  </w:style>
  <w:style w:type="character" w:customStyle="1" w:styleId="KommentartekstTegn">
    <w:name w:val="Kommentartekst Tegn"/>
    <w:basedOn w:val="Standardskrifttypeiafsnit"/>
    <w:link w:val="Kommentartekst"/>
    <w:uiPriority w:val="99"/>
    <w:semiHidden/>
    <w:rsid w:val="00C937E5"/>
  </w:style>
  <w:style w:type="paragraph" w:styleId="Kommentaremne">
    <w:name w:val="annotation subject"/>
    <w:basedOn w:val="Kommentartekst"/>
    <w:next w:val="Kommentartekst"/>
    <w:link w:val="KommentaremneTegn"/>
    <w:uiPriority w:val="99"/>
    <w:semiHidden/>
    <w:unhideWhenUsed/>
    <w:rsid w:val="00C937E5"/>
    <w:rPr>
      <w:b/>
      <w:bCs/>
    </w:rPr>
  </w:style>
  <w:style w:type="character" w:customStyle="1" w:styleId="KommentaremneTegn">
    <w:name w:val="Kommentaremne Tegn"/>
    <w:basedOn w:val="KommentartekstTegn"/>
    <w:link w:val="Kommentaremne"/>
    <w:uiPriority w:val="99"/>
    <w:semiHidden/>
    <w:rsid w:val="00C937E5"/>
    <w:rPr>
      <w:b/>
      <w:bCs/>
    </w:rPr>
  </w:style>
  <w:style w:type="paragraph" w:styleId="Markeringsbobletekst">
    <w:name w:val="Balloon Text"/>
    <w:basedOn w:val="Normal"/>
    <w:link w:val="MarkeringsbobletekstTegn"/>
    <w:uiPriority w:val="99"/>
    <w:semiHidden/>
    <w:unhideWhenUsed/>
    <w:rsid w:val="00C937E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937E5"/>
    <w:rPr>
      <w:rFonts w:ascii="Segoe UI" w:hAnsi="Segoe UI" w:cs="Segoe UI"/>
      <w:sz w:val="18"/>
      <w:szCs w:val="18"/>
    </w:rPr>
  </w:style>
  <w:style w:type="paragraph" w:styleId="Sidehoved">
    <w:name w:val="header"/>
    <w:basedOn w:val="Normal"/>
    <w:link w:val="SidehovedTegn"/>
    <w:uiPriority w:val="99"/>
    <w:unhideWhenUsed/>
    <w:rsid w:val="00E50D9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0D90"/>
  </w:style>
  <w:style w:type="paragraph" w:styleId="Sidefod">
    <w:name w:val="footer"/>
    <w:basedOn w:val="Normal"/>
    <w:link w:val="SidefodTegn"/>
    <w:uiPriority w:val="99"/>
    <w:unhideWhenUsed/>
    <w:rsid w:val="00E50D9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0D90"/>
  </w:style>
  <w:style w:type="paragraph" w:styleId="Listeafsnit">
    <w:name w:val="List Paragraph"/>
    <w:basedOn w:val="Normal"/>
    <w:uiPriority w:val="34"/>
    <w:qFormat/>
    <w:rsid w:val="008A505E"/>
    <w:pPr>
      <w:ind w:left="720"/>
      <w:contextualSpacing/>
    </w:pPr>
  </w:style>
  <w:style w:type="character" w:customStyle="1" w:styleId="Overskrift1Tegn">
    <w:name w:val="Overskrift 1 Tegn"/>
    <w:basedOn w:val="Standardskrifttypeiafsnit"/>
    <w:link w:val="Overskrift1"/>
    <w:uiPriority w:val="9"/>
    <w:rsid w:val="003C6EF6"/>
    <w:rPr>
      <w:rFonts w:ascii="Diplomacy Office Bold" w:eastAsiaTheme="majorEastAsia" w:hAnsi="Diplomacy Office Bold" w:cstheme="majorBidi"/>
      <w:sz w:val="24"/>
      <w:szCs w:val="32"/>
    </w:rPr>
  </w:style>
  <w:style w:type="paragraph" w:styleId="Overskrift">
    <w:name w:val="TOC Heading"/>
    <w:basedOn w:val="Overskrift1"/>
    <w:next w:val="Normal"/>
    <w:uiPriority w:val="39"/>
    <w:unhideWhenUsed/>
    <w:qFormat/>
    <w:rsid w:val="003C6EF6"/>
    <w:pPr>
      <w:spacing w:line="259" w:lineRule="auto"/>
      <w:outlineLvl w:val="9"/>
    </w:pPr>
    <w:rPr>
      <w:lang w:eastAsia="da-DK"/>
    </w:rPr>
  </w:style>
  <w:style w:type="paragraph" w:styleId="Indholdsfortegnelse1">
    <w:name w:val="toc 1"/>
    <w:basedOn w:val="Normal"/>
    <w:next w:val="Normal"/>
    <w:autoRedefine/>
    <w:uiPriority w:val="39"/>
    <w:unhideWhenUsed/>
    <w:rsid w:val="00353815"/>
    <w:pPr>
      <w:spacing w:after="100"/>
    </w:pPr>
  </w:style>
  <w:style w:type="character" w:styleId="Hyperlink">
    <w:name w:val="Hyperlink"/>
    <w:basedOn w:val="Standardskrifttypeiafsnit"/>
    <w:uiPriority w:val="99"/>
    <w:unhideWhenUsed/>
    <w:rsid w:val="00353815"/>
    <w:rPr>
      <w:color w:val="0000FF" w:themeColor="hyperlink"/>
      <w:u w:val="single"/>
    </w:rPr>
  </w:style>
  <w:style w:type="character" w:styleId="BesgtLink">
    <w:name w:val="FollowedHyperlink"/>
    <w:basedOn w:val="Standardskrifttypeiafsnit"/>
    <w:uiPriority w:val="99"/>
    <w:semiHidden/>
    <w:unhideWhenUsed/>
    <w:rsid w:val="003960D0"/>
    <w:rPr>
      <w:color w:val="800080" w:themeColor="followedHyperlink"/>
      <w:u w:val="single"/>
    </w:rPr>
  </w:style>
  <w:style w:type="paragraph" w:styleId="Slutnotetekst">
    <w:name w:val="endnote text"/>
    <w:basedOn w:val="Normal"/>
    <w:link w:val="SlutnotetekstTegn"/>
    <w:uiPriority w:val="99"/>
    <w:semiHidden/>
    <w:unhideWhenUsed/>
    <w:rsid w:val="00920B40"/>
    <w:pPr>
      <w:spacing w:after="0" w:line="240" w:lineRule="auto"/>
    </w:pPr>
  </w:style>
  <w:style w:type="character" w:customStyle="1" w:styleId="SlutnotetekstTegn">
    <w:name w:val="Slutnotetekst Tegn"/>
    <w:basedOn w:val="Standardskrifttypeiafsnit"/>
    <w:link w:val="Slutnotetekst"/>
    <w:uiPriority w:val="99"/>
    <w:semiHidden/>
    <w:rsid w:val="00920B40"/>
  </w:style>
  <w:style w:type="character" w:styleId="Slutnotehenvisning">
    <w:name w:val="endnote reference"/>
    <w:basedOn w:val="Standardskrifttypeiafsnit"/>
    <w:uiPriority w:val="99"/>
    <w:semiHidden/>
    <w:unhideWhenUsed/>
    <w:rsid w:val="00920B40"/>
    <w:rPr>
      <w:vertAlign w:val="superscript"/>
    </w:rPr>
  </w:style>
  <w:style w:type="paragraph" w:styleId="Fodnotetekst">
    <w:name w:val="footnote text"/>
    <w:basedOn w:val="Normal"/>
    <w:link w:val="FodnotetekstTegn"/>
    <w:uiPriority w:val="99"/>
    <w:semiHidden/>
    <w:unhideWhenUsed/>
    <w:rsid w:val="00920B40"/>
    <w:pPr>
      <w:spacing w:after="0" w:line="240" w:lineRule="auto"/>
    </w:pPr>
  </w:style>
  <w:style w:type="character" w:customStyle="1" w:styleId="FodnotetekstTegn">
    <w:name w:val="Fodnotetekst Tegn"/>
    <w:basedOn w:val="Standardskrifttypeiafsnit"/>
    <w:link w:val="Fodnotetekst"/>
    <w:uiPriority w:val="99"/>
    <w:semiHidden/>
    <w:rsid w:val="00920B40"/>
  </w:style>
  <w:style w:type="character" w:styleId="Fodnotehenvisning">
    <w:name w:val="footnote reference"/>
    <w:basedOn w:val="Standardskrifttypeiafsnit"/>
    <w:uiPriority w:val="99"/>
    <w:semiHidden/>
    <w:unhideWhenUsed/>
    <w:rsid w:val="00920B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65745">
      <w:bodyDiv w:val="1"/>
      <w:marLeft w:val="0"/>
      <w:marRight w:val="0"/>
      <w:marTop w:val="0"/>
      <w:marBottom w:val="0"/>
      <w:divBdr>
        <w:top w:val="none" w:sz="0" w:space="0" w:color="auto"/>
        <w:left w:val="none" w:sz="0" w:space="0" w:color="auto"/>
        <w:bottom w:val="none" w:sz="0" w:space="0" w:color="auto"/>
        <w:right w:val="none" w:sz="0" w:space="0" w:color="auto"/>
      </w:divBdr>
    </w:div>
    <w:div w:id="398020378">
      <w:bodyDiv w:val="1"/>
      <w:marLeft w:val="0"/>
      <w:marRight w:val="0"/>
      <w:marTop w:val="0"/>
      <w:marBottom w:val="0"/>
      <w:divBdr>
        <w:top w:val="none" w:sz="0" w:space="0" w:color="auto"/>
        <w:left w:val="none" w:sz="0" w:space="0" w:color="auto"/>
        <w:bottom w:val="none" w:sz="0" w:space="0" w:color="auto"/>
        <w:right w:val="none" w:sz="0" w:space="0" w:color="auto"/>
      </w:divBdr>
    </w:div>
    <w:div w:id="494734568">
      <w:bodyDiv w:val="1"/>
      <w:marLeft w:val="0"/>
      <w:marRight w:val="0"/>
      <w:marTop w:val="0"/>
      <w:marBottom w:val="0"/>
      <w:divBdr>
        <w:top w:val="none" w:sz="0" w:space="0" w:color="auto"/>
        <w:left w:val="none" w:sz="0" w:space="0" w:color="auto"/>
        <w:bottom w:val="none" w:sz="0" w:space="0" w:color="auto"/>
        <w:right w:val="none" w:sz="0" w:space="0" w:color="auto"/>
      </w:divBdr>
    </w:div>
    <w:div w:id="729426147">
      <w:bodyDiv w:val="1"/>
      <w:marLeft w:val="0"/>
      <w:marRight w:val="0"/>
      <w:marTop w:val="0"/>
      <w:marBottom w:val="0"/>
      <w:divBdr>
        <w:top w:val="none" w:sz="0" w:space="0" w:color="auto"/>
        <w:left w:val="none" w:sz="0" w:space="0" w:color="auto"/>
        <w:bottom w:val="none" w:sz="0" w:space="0" w:color="auto"/>
        <w:right w:val="none" w:sz="0" w:space="0" w:color="auto"/>
      </w:divBdr>
    </w:div>
    <w:div w:id="1071584479">
      <w:bodyDiv w:val="1"/>
      <w:marLeft w:val="0"/>
      <w:marRight w:val="0"/>
      <w:marTop w:val="0"/>
      <w:marBottom w:val="0"/>
      <w:divBdr>
        <w:top w:val="none" w:sz="0" w:space="0" w:color="auto"/>
        <w:left w:val="none" w:sz="0" w:space="0" w:color="auto"/>
        <w:bottom w:val="none" w:sz="0" w:space="0" w:color="auto"/>
        <w:right w:val="none" w:sz="0" w:space="0" w:color="auto"/>
      </w:divBdr>
    </w:div>
    <w:div w:id="1135636663">
      <w:bodyDiv w:val="1"/>
      <w:marLeft w:val="0"/>
      <w:marRight w:val="0"/>
      <w:marTop w:val="0"/>
      <w:marBottom w:val="0"/>
      <w:divBdr>
        <w:top w:val="none" w:sz="0" w:space="0" w:color="auto"/>
        <w:left w:val="none" w:sz="0" w:space="0" w:color="auto"/>
        <w:bottom w:val="none" w:sz="0" w:space="0" w:color="auto"/>
        <w:right w:val="none" w:sz="0" w:space="0" w:color="auto"/>
      </w:divBdr>
    </w:div>
    <w:div w:id="1386366406">
      <w:bodyDiv w:val="1"/>
      <w:marLeft w:val="0"/>
      <w:marRight w:val="0"/>
      <w:marTop w:val="0"/>
      <w:marBottom w:val="0"/>
      <w:divBdr>
        <w:top w:val="none" w:sz="0" w:space="0" w:color="auto"/>
        <w:left w:val="none" w:sz="0" w:space="0" w:color="auto"/>
        <w:bottom w:val="none" w:sz="0" w:space="0" w:color="auto"/>
        <w:right w:val="none" w:sz="0" w:space="0" w:color="auto"/>
      </w:divBdr>
    </w:div>
    <w:div w:id="175481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voldgiftsinstituttet.dk/wp-content/uploads/2014/12/dk_voldgiftsbrochure.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E8FA6-8D62-4DE3-A4D7-C2E07DA6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2703</Words>
  <Characters>15409</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Kronborg Sørensen</dc:creator>
  <cp:keywords/>
  <dc:description/>
  <cp:lastModifiedBy>Louise Kronborg Sørensen</cp:lastModifiedBy>
  <cp:revision>6</cp:revision>
  <cp:lastPrinted>2020-09-29T12:03:00Z</cp:lastPrinted>
  <dcterms:created xsi:type="dcterms:W3CDTF">2021-03-26T13:28:00Z</dcterms:created>
  <dcterms:modified xsi:type="dcterms:W3CDTF">2021-03-26T14:44:00Z</dcterms:modified>
</cp:coreProperties>
</file>