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4B" w:rsidRPr="00816FC2" w:rsidRDefault="008D374B" w:rsidP="0080400C">
      <w:bookmarkStart w:id="0" w:name="_GoBack"/>
      <w:bookmarkEnd w:id="0"/>
    </w:p>
    <w:p w:rsidR="009767E8" w:rsidRPr="00816FC2" w:rsidRDefault="009767E8" w:rsidP="0080400C">
      <w:r w:rsidRPr="00816FC2">
        <w:t xml:space="preserve">Danish Ministry of Foreign Affairs </w:t>
      </w:r>
    </w:p>
    <w:p w:rsidR="009767E8" w:rsidRPr="00816FC2" w:rsidRDefault="009767E8" w:rsidP="0080400C">
      <w:pPr>
        <w:rPr>
          <w:sz w:val="32"/>
          <w:szCs w:val="32"/>
        </w:rPr>
      </w:pPr>
      <w:r w:rsidRPr="00816FC2">
        <w:rPr>
          <w:noProof/>
          <w:lang w:val="da-DK" w:eastAsia="da-DK"/>
        </w:rPr>
        <w:drawing>
          <wp:anchor distT="0" distB="0" distL="114300" distR="114300" simplePos="0" relativeHeight="251659264" behindDoc="1" locked="0" layoutInCell="1" allowOverlap="1" wp14:anchorId="78647793" wp14:editId="414C3AE3">
            <wp:simplePos x="0" y="0"/>
            <wp:positionH relativeFrom="page">
              <wp:posOffset>-2804</wp:posOffset>
            </wp:positionH>
            <wp:positionV relativeFrom="page">
              <wp:posOffset>1613535</wp:posOffset>
            </wp:positionV>
            <wp:extent cx="7573010" cy="1530985"/>
            <wp:effectExtent l="0" t="0" r="8890" b="0"/>
            <wp:wrapNone/>
            <wp:docPr id="29" name="Billede 4" descr="Logo_B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r_CMYK"/>
                    <pic:cNvPicPr>
                      <a:picLocks noChangeAspect="1" noChangeArrowheads="1"/>
                    </pic:cNvPicPr>
                  </pic:nvPicPr>
                  <pic:blipFill>
                    <a:blip r:embed="rId8" cstate="print">
                      <a:extLst>
                        <a:ext uri="{28A0092B-C50C-407E-A947-70E740481C1C}">
                          <a14:useLocalDpi xmlns:a14="http://schemas.microsoft.com/office/drawing/2010/main" val="0"/>
                        </a:ext>
                      </a:extLst>
                    </a:blip>
                    <a:srcRect l="1921"/>
                    <a:stretch>
                      <a:fillRect/>
                    </a:stretch>
                  </pic:blipFill>
                  <pic:spPr bwMode="auto">
                    <a:xfrm>
                      <a:off x="0" y="0"/>
                      <a:ext cx="7573010" cy="1530985"/>
                    </a:xfrm>
                    <a:prstGeom prst="rect">
                      <a:avLst/>
                    </a:prstGeom>
                    <a:noFill/>
                    <a:ln>
                      <a:noFill/>
                    </a:ln>
                  </pic:spPr>
                </pic:pic>
              </a:graphicData>
            </a:graphic>
          </wp:anchor>
        </w:drawing>
      </w:r>
    </w:p>
    <w:p w:rsidR="009767E8" w:rsidRPr="00816FC2" w:rsidRDefault="009767E8" w:rsidP="0080400C"/>
    <w:p w:rsidR="002414A8" w:rsidRPr="00816FC2" w:rsidRDefault="00C80E85" w:rsidP="0080400C">
      <w:r w:rsidRPr="00816FC2">
        <w:t>Programme Document</w:t>
      </w:r>
      <w:r w:rsidR="002414A8" w:rsidRPr="00816FC2">
        <w:t xml:space="preserve"> </w:t>
      </w:r>
    </w:p>
    <w:p w:rsidR="00686FD4" w:rsidRPr="00816FC2" w:rsidRDefault="00686FD4" w:rsidP="0080400C"/>
    <w:p w:rsidR="00C329E0" w:rsidRPr="00816FC2" w:rsidRDefault="00C329E0" w:rsidP="0080400C"/>
    <w:p w:rsidR="009767E8" w:rsidRDefault="009767E8" w:rsidP="0080400C">
      <w:r w:rsidRPr="00816FC2">
        <w:t xml:space="preserve">Syria </w:t>
      </w:r>
      <w:r w:rsidR="00041040" w:rsidRPr="00816FC2">
        <w:t>–</w:t>
      </w:r>
      <w:r w:rsidR="00C329E0" w:rsidRPr="00816FC2">
        <w:t xml:space="preserve"> Iraq </w:t>
      </w:r>
      <w:r w:rsidR="008A3576">
        <w:t xml:space="preserve">Regional </w:t>
      </w:r>
      <w:r w:rsidR="00C329E0" w:rsidRPr="00816FC2">
        <w:t xml:space="preserve">Stabilisation Programme </w:t>
      </w:r>
      <w:r w:rsidR="009F4DCB" w:rsidRPr="00816FC2">
        <w:t>(</w:t>
      </w:r>
      <w:r w:rsidR="00C329E0" w:rsidRPr="00816FC2">
        <w:t>2016-2018</w:t>
      </w:r>
      <w:r w:rsidR="009F4DCB" w:rsidRPr="00816FC2">
        <w:t>)</w:t>
      </w:r>
    </w:p>
    <w:p w:rsidR="008A3576" w:rsidRPr="00816FC2" w:rsidRDefault="008A3576" w:rsidP="0080400C">
      <w:r>
        <w:t>Supporting ISIL-liberated areas in Iraq and opposition-controlled areas in Syria</w:t>
      </w:r>
    </w:p>
    <w:p w:rsidR="00041040" w:rsidRPr="00816FC2" w:rsidRDefault="00041040"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9436F" w:rsidRPr="00816FC2" w:rsidRDefault="0009436F" w:rsidP="0080400C"/>
    <w:p w:rsidR="000305DB" w:rsidRPr="00816FC2" w:rsidRDefault="0009436F" w:rsidP="0080400C">
      <w:r w:rsidRPr="00816FC2">
        <w:t xml:space="preserve">Version: </w:t>
      </w:r>
      <w:r w:rsidR="00785A6C">
        <w:t xml:space="preserve">30 </w:t>
      </w:r>
      <w:r w:rsidR="002008C8">
        <w:t xml:space="preserve">August </w:t>
      </w:r>
      <w:r w:rsidR="00C329E0" w:rsidRPr="00816FC2">
        <w:t>2016</w:t>
      </w:r>
      <w:r w:rsidR="000305DB" w:rsidRPr="00816FC2">
        <w:br w:type="page"/>
      </w:r>
    </w:p>
    <w:p w:rsidR="00731931" w:rsidRPr="00816FC2" w:rsidRDefault="00731931" w:rsidP="0080400C">
      <w:pPr>
        <w:rPr>
          <w:b/>
          <w:color w:val="auto"/>
        </w:rPr>
      </w:pPr>
      <w:r w:rsidRPr="00816FC2">
        <w:rPr>
          <w:b/>
          <w:color w:val="auto"/>
        </w:rPr>
        <w:lastRenderedPageBreak/>
        <w:t>Programme overview</w:t>
      </w:r>
    </w:p>
    <w:p w:rsidR="00731931" w:rsidRPr="00816FC2" w:rsidRDefault="00731931" w:rsidP="0080400C"/>
    <w:tbl>
      <w:tblPr>
        <w:tblStyle w:val="Tabel-Gitter"/>
        <w:tblW w:w="0" w:type="auto"/>
        <w:tblInd w:w="108" w:type="dxa"/>
        <w:tblBorders>
          <w:top w:val="single" w:sz="4" w:space="0" w:color="3E2C42"/>
          <w:left w:val="single" w:sz="4" w:space="0" w:color="3E2C42"/>
          <w:bottom w:val="single" w:sz="4" w:space="0" w:color="3E2C42"/>
          <w:right w:val="single" w:sz="4" w:space="0" w:color="3E2C42"/>
          <w:insideH w:val="none" w:sz="0" w:space="0" w:color="auto"/>
          <w:insideV w:val="none" w:sz="0" w:space="0" w:color="auto"/>
        </w:tblBorders>
        <w:tblLook w:val="04A0" w:firstRow="1" w:lastRow="0" w:firstColumn="1" w:lastColumn="0" w:noHBand="0" w:noVBand="1"/>
      </w:tblPr>
      <w:tblGrid>
        <w:gridCol w:w="2802"/>
        <w:gridCol w:w="5845"/>
      </w:tblGrid>
      <w:tr w:rsidR="00731931" w:rsidRPr="00816FC2" w:rsidTr="0044040A">
        <w:tc>
          <w:tcPr>
            <w:tcW w:w="8647" w:type="dxa"/>
            <w:gridSpan w:val="2"/>
            <w:shd w:val="clear" w:color="auto" w:fill="3E2C42"/>
          </w:tcPr>
          <w:p w:rsidR="00731931" w:rsidRPr="00816FC2" w:rsidRDefault="00731931" w:rsidP="0080400C">
            <w:pPr>
              <w:rPr>
                <w:color w:val="FFFFFF" w:themeColor="background1"/>
              </w:rPr>
            </w:pPr>
            <w:r w:rsidRPr="00816FC2">
              <w:rPr>
                <w:color w:val="FFFFFF" w:themeColor="background1"/>
              </w:rPr>
              <w:t>P</w:t>
            </w:r>
            <w:r w:rsidR="00912428" w:rsidRPr="00816FC2">
              <w:rPr>
                <w:color w:val="FFFFFF" w:themeColor="background1"/>
              </w:rPr>
              <w:t>rogramme details</w:t>
            </w:r>
          </w:p>
        </w:tc>
      </w:tr>
      <w:tr w:rsidR="000305DB" w:rsidRPr="00816FC2" w:rsidTr="0044040A">
        <w:tc>
          <w:tcPr>
            <w:tcW w:w="2802" w:type="dxa"/>
            <w:shd w:val="clear" w:color="auto" w:fill="EBD9E2"/>
          </w:tcPr>
          <w:p w:rsidR="000305DB" w:rsidRPr="00816FC2" w:rsidRDefault="000305DB" w:rsidP="0080400C">
            <w:r w:rsidRPr="00816FC2">
              <w:t>Department</w:t>
            </w:r>
          </w:p>
        </w:tc>
        <w:tc>
          <w:tcPr>
            <w:tcW w:w="5845" w:type="dxa"/>
          </w:tcPr>
          <w:p w:rsidR="000305DB" w:rsidRPr="00816FC2" w:rsidRDefault="00E13AB1" w:rsidP="0080400C">
            <w:r>
              <w:t>MENA</w:t>
            </w:r>
          </w:p>
        </w:tc>
      </w:tr>
      <w:tr w:rsidR="000305DB" w:rsidRPr="00816FC2" w:rsidTr="0044040A">
        <w:tc>
          <w:tcPr>
            <w:tcW w:w="2802" w:type="dxa"/>
            <w:shd w:val="clear" w:color="auto" w:fill="EBD9E2"/>
          </w:tcPr>
          <w:p w:rsidR="000305DB" w:rsidRPr="00816FC2" w:rsidRDefault="000305DB" w:rsidP="0080400C">
            <w:r w:rsidRPr="00816FC2">
              <w:t>File number</w:t>
            </w:r>
          </w:p>
        </w:tc>
        <w:tc>
          <w:tcPr>
            <w:tcW w:w="5845" w:type="dxa"/>
          </w:tcPr>
          <w:p w:rsidR="000305DB" w:rsidRPr="008227BE" w:rsidRDefault="00E13AB1" w:rsidP="0080400C">
            <w:pPr>
              <w:rPr>
                <w:sz w:val="26"/>
              </w:rPr>
            </w:pPr>
            <w:r w:rsidRPr="008227BE">
              <w:rPr>
                <w:b/>
                <w:sz w:val="26"/>
              </w:rPr>
              <w:t>2015-46352</w:t>
            </w:r>
          </w:p>
        </w:tc>
      </w:tr>
      <w:tr w:rsidR="000305DB" w:rsidRPr="00816FC2" w:rsidTr="0044040A">
        <w:tc>
          <w:tcPr>
            <w:tcW w:w="2802" w:type="dxa"/>
            <w:shd w:val="clear" w:color="auto" w:fill="EBD9E2"/>
          </w:tcPr>
          <w:p w:rsidR="000305DB" w:rsidRPr="00816FC2" w:rsidRDefault="000305DB" w:rsidP="0080400C">
            <w:r w:rsidRPr="00816FC2">
              <w:t>Country</w:t>
            </w:r>
          </w:p>
        </w:tc>
        <w:tc>
          <w:tcPr>
            <w:tcW w:w="5845" w:type="dxa"/>
          </w:tcPr>
          <w:p w:rsidR="000305DB" w:rsidRPr="00816FC2" w:rsidRDefault="006923F0" w:rsidP="0080400C">
            <w:r w:rsidRPr="00816FC2">
              <w:t>Syria and Iraq</w:t>
            </w:r>
          </w:p>
        </w:tc>
      </w:tr>
      <w:tr w:rsidR="000305DB" w:rsidRPr="00816FC2" w:rsidTr="0044040A">
        <w:tc>
          <w:tcPr>
            <w:tcW w:w="2802" w:type="dxa"/>
            <w:shd w:val="clear" w:color="auto" w:fill="EBD9E2"/>
          </w:tcPr>
          <w:p w:rsidR="000305DB" w:rsidRPr="00816FC2" w:rsidRDefault="000305DB" w:rsidP="0080400C">
            <w:r w:rsidRPr="00816FC2">
              <w:t>Date</w:t>
            </w:r>
          </w:p>
        </w:tc>
        <w:tc>
          <w:tcPr>
            <w:tcW w:w="5845" w:type="dxa"/>
          </w:tcPr>
          <w:p w:rsidR="000305DB" w:rsidRPr="00816FC2" w:rsidRDefault="00791C16" w:rsidP="002008C8">
            <w:r>
              <w:t>30</w:t>
            </w:r>
            <w:r w:rsidR="002008C8">
              <w:t xml:space="preserve"> August </w:t>
            </w:r>
            <w:r w:rsidR="00E13AB1">
              <w:t>2016</w:t>
            </w:r>
          </w:p>
        </w:tc>
      </w:tr>
      <w:tr w:rsidR="00A11D04" w:rsidRPr="00816FC2" w:rsidTr="0044040A">
        <w:tc>
          <w:tcPr>
            <w:tcW w:w="2802" w:type="dxa"/>
            <w:shd w:val="clear" w:color="auto" w:fill="EBD9E2"/>
          </w:tcPr>
          <w:p w:rsidR="00A11D04" w:rsidRPr="00816FC2" w:rsidRDefault="00A11D04" w:rsidP="0080400C">
            <w:r w:rsidRPr="00816FC2">
              <w:t>Implementation period</w:t>
            </w:r>
          </w:p>
        </w:tc>
        <w:tc>
          <w:tcPr>
            <w:tcW w:w="5845" w:type="dxa"/>
          </w:tcPr>
          <w:p w:rsidR="00A11D04" w:rsidRPr="00816FC2" w:rsidRDefault="006923F0" w:rsidP="00785A6C">
            <w:r w:rsidRPr="00816FC2">
              <w:t xml:space="preserve">01 </w:t>
            </w:r>
            <w:r w:rsidR="00785A6C">
              <w:t xml:space="preserve">October </w:t>
            </w:r>
            <w:r w:rsidRPr="00816FC2">
              <w:t>2016 – 31 December 2018</w:t>
            </w:r>
          </w:p>
        </w:tc>
      </w:tr>
    </w:tbl>
    <w:p w:rsidR="000305DB" w:rsidRPr="00816FC2" w:rsidRDefault="000305DB" w:rsidP="0080400C"/>
    <w:tbl>
      <w:tblPr>
        <w:tblStyle w:val="Tabel-Gitter"/>
        <w:tblW w:w="0" w:type="auto"/>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8647"/>
      </w:tblGrid>
      <w:tr w:rsidR="00912428" w:rsidRPr="00816FC2" w:rsidTr="0044040A">
        <w:tc>
          <w:tcPr>
            <w:tcW w:w="8647" w:type="dxa"/>
            <w:shd w:val="clear" w:color="auto" w:fill="3E2C42"/>
          </w:tcPr>
          <w:p w:rsidR="00912428" w:rsidRPr="00816FC2" w:rsidRDefault="00912428" w:rsidP="0080400C">
            <w:pPr>
              <w:rPr>
                <w:color w:val="FFFFFF" w:themeColor="background1"/>
              </w:rPr>
            </w:pPr>
            <w:r w:rsidRPr="00816FC2">
              <w:rPr>
                <w:color w:val="FFFFFF" w:themeColor="background1"/>
              </w:rPr>
              <w:t>Strategic objective</w:t>
            </w:r>
          </w:p>
        </w:tc>
      </w:tr>
      <w:tr w:rsidR="00912428" w:rsidRPr="00816FC2" w:rsidTr="0044040A">
        <w:tc>
          <w:tcPr>
            <w:tcW w:w="8647" w:type="dxa"/>
          </w:tcPr>
          <w:p w:rsidR="00C329E0" w:rsidRPr="00816FC2" w:rsidRDefault="006923F0" w:rsidP="00E13AB1">
            <w:pPr>
              <w:pStyle w:val="Tabeltekst"/>
              <w:rPr>
                <w:highlight w:val="yellow"/>
              </w:rPr>
            </w:pPr>
            <w:r w:rsidRPr="00816FC2">
              <w:rPr>
                <w:i/>
              </w:rPr>
              <w:t>To promote an inclusive political resolution to the conflict in Syria and a more stable and inclusive Iraq through countering Da’esh, contributing to meeting immediate stabilisation needs in both countries and offering support to moderate actors that provide an alternative to extremism, in order to build more stable, democratic</w:t>
            </w:r>
            <w:r w:rsidR="00E13AB1">
              <w:rPr>
                <w:i/>
              </w:rPr>
              <w:t xml:space="preserve"> and</w:t>
            </w:r>
            <w:r w:rsidR="00E13AB1" w:rsidRPr="00816FC2">
              <w:rPr>
                <w:i/>
              </w:rPr>
              <w:t xml:space="preserve"> </w:t>
            </w:r>
            <w:r w:rsidRPr="00816FC2">
              <w:rPr>
                <w:i/>
              </w:rPr>
              <w:t>inclusive societies</w:t>
            </w:r>
            <w:r w:rsidRPr="00816FC2">
              <w:t>.</w:t>
            </w:r>
          </w:p>
        </w:tc>
      </w:tr>
    </w:tbl>
    <w:p w:rsidR="00912428" w:rsidRPr="00816FC2" w:rsidRDefault="00912428" w:rsidP="0080400C"/>
    <w:tbl>
      <w:tblPr>
        <w:tblStyle w:val="Tabel-Gitter"/>
        <w:tblW w:w="0" w:type="auto"/>
        <w:tblInd w:w="108" w:type="dxa"/>
        <w:tblBorders>
          <w:top w:val="single" w:sz="4" w:space="0" w:color="3E2C42"/>
          <w:left w:val="single" w:sz="4" w:space="0" w:color="3E2C42"/>
          <w:bottom w:val="single" w:sz="4" w:space="0" w:color="3E2C42"/>
          <w:right w:val="single" w:sz="4" w:space="0" w:color="3E2C42"/>
          <w:insideH w:val="none" w:sz="0" w:space="0" w:color="auto"/>
          <w:insideV w:val="none" w:sz="0" w:space="0" w:color="auto"/>
        </w:tblBorders>
        <w:tblLook w:val="04A0" w:firstRow="1" w:lastRow="0" w:firstColumn="1" w:lastColumn="0" w:noHBand="0" w:noVBand="1"/>
      </w:tblPr>
      <w:tblGrid>
        <w:gridCol w:w="6946"/>
        <w:gridCol w:w="1701"/>
      </w:tblGrid>
      <w:tr w:rsidR="00912428" w:rsidRPr="00816FC2" w:rsidTr="0044040A">
        <w:tc>
          <w:tcPr>
            <w:tcW w:w="6946" w:type="dxa"/>
            <w:shd w:val="clear" w:color="auto" w:fill="3E2C42"/>
          </w:tcPr>
          <w:p w:rsidR="00912428" w:rsidRPr="00816FC2" w:rsidRDefault="00912428" w:rsidP="0080400C">
            <w:pPr>
              <w:rPr>
                <w:color w:val="FFFFFF" w:themeColor="background1"/>
              </w:rPr>
            </w:pPr>
            <w:r w:rsidRPr="00816FC2">
              <w:rPr>
                <w:color w:val="FFFFFF" w:themeColor="background1"/>
              </w:rPr>
              <w:t>Budget</w:t>
            </w:r>
          </w:p>
        </w:tc>
        <w:tc>
          <w:tcPr>
            <w:tcW w:w="1701" w:type="dxa"/>
            <w:shd w:val="clear" w:color="auto" w:fill="3E2C42"/>
          </w:tcPr>
          <w:p w:rsidR="00912428" w:rsidRPr="00816FC2" w:rsidRDefault="00912428" w:rsidP="0080400C">
            <w:pPr>
              <w:rPr>
                <w:color w:val="FFFFFF" w:themeColor="background1"/>
              </w:rPr>
            </w:pPr>
            <w:r w:rsidRPr="00816FC2">
              <w:t xml:space="preserve"> </w:t>
            </w:r>
            <w:r w:rsidRPr="00816FC2">
              <w:rPr>
                <w:color w:val="FFFFFF" w:themeColor="background1"/>
              </w:rPr>
              <w:t>Million DKK</w:t>
            </w:r>
          </w:p>
        </w:tc>
      </w:tr>
      <w:tr w:rsidR="00912428" w:rsidRPr="00816FC2" w:rsidTr="0044040A">
        <w:tc>
          <w:tcPr>
            <w:tcW w:w="6946" w:type="dxa"/>
          </w:tcPr>
          <w:p w:rsidR="00912428" w:rsidRPr="00816FC2" w:rsidRDefault="00912428" w:rsidP="00F87A21">
            <w:r w:rsidRPr="00816FC2">
              <w:t xml:space="preserve">Thematic </w:t>
            </w:r>
            <w:r w:rsidR="00276709" w:rsidRPr="00816FC2">
              <w:t>P</w:t>
            </w:r>
            <w:r w:rsidR="00F87A21" w:rsidRPr="00816FC2">
              <w:t xml:space="preserve">rogramme </w:t>
            </w:r>
            <w:r w:rsidRPr="00816FC2">
              <w:t xml:space="preserve">1: </w:t>
            </w:r>
            <w:r w:rsidR="005E17D1" w:rsidRPr="00816FC2">
              <w:t xml:space="preserve"> </w:t>
            </w:r>
            <w:r w:rsidR="006923F0" w:rsidRPr="00816FC2">
              <w:t>Political Dialogue and Peacebuilding</w:t>
            </w:r>
          </w:p>
        </w:tc>
        <w:tc>
          <w:tcPr>
            <w:tcW w:w="1701" w:type="dxa"/>
          </w:tcPr>
          <w:p w:rsidR="00912428" w:rsidRPr="00816FC2" w:rsidRDefault="00912428" w:rsidP="0080400C">
            <w:pPr>
              <w:rPr>
                <w:highlight w:val="yellow"/>
              </w:rPr>
            </w:pPr>
          </w:p>
        </w:tc>
      </w:tr>
      <w:tr w:rsidR="00912428" w:rsidRPr="00816FC2" w:rsidTr="0044040A">
        <w:tc>
          <w:tcPr>
            <w:tcW w:w="6946" w:type="dxa"/>
          </w:tcPr>
          <w:p w:rsidR="00912428" w:rsidRPr="00816FC2" w:rsidRDefault="00912428" w:rsidP="005A2E41">
            <w:r w:rsidRPr="00816FC2">
              <w:t xml:space="preserve">Thematic </w:t>
            </w:r>
            <w:r w:rsidR="00276709" w:rsidRPr="00816FC2">
              <w:t>P</w:t>
            </w:r>
            <w:r w:rsidR="00F87A21" w:rsidRPr="00816FC2">
              <w:t>rogramme</w:t>
            </w:r>
            <w:r w:rsidRPr="00816FC2">
              <w:t xml:space="preserve"> </w:t>
            </w:r>
            <w:r w:rsidR="00A11D04" w:rsidRPr="00816FC2">
              <w:t>2</w:t>
            </w:r>
            <w:r w:rsidRPr="00816FC2">
              <w:t>:</w:t>
            </w:r>
            <w:r w:rsidR="00A11D04" w:rsidRPr="00816FC2">
              <w:t xml:space="preserve"> </w:t>
            </w:r>
            <w:r w:rsidR="0048279B" w:rsidRPr="00816FC2">
              <w:t xml:space="preserve"> </w:t>
            </w:r>
            <w:r w:rsidR="006923F0" w:rsidRPr="00816FC2">
              <w:t>Resilience</w:t>
            </w:r>
            <w:r w:rsidR="0048279B" w:rsidRPr="00816FC2">
              <w:t xml:space="preserve"> and </w:t>
            </w:r>
            <w:r w:rsidR="00BA2432">
              <w:t>Recovery</w:t>
            </w:r>
          </w:p>
        </w:tc>
        <w:tc>
          <w:tcPr>
            <w:tcW w:w="1701" w:type="dxa"/>
            <w:shd w:val="clear" w:color="auto" w:fill="auto"/>
          </w:tcPr>
          <w:p w:rsidR="00912428" w:rsidRPr="00816FC2" w:rsidRDefault="00912428" w:rsidP="0080400C">
            <w:pPr>
              <w:rPr>
                <w:highlight w:val="yellow"/>
              </w:rPr>
            </w:pPr>
          </w:p>
        </w:tc>
      </w:tr>
      <w:tr w:rsidR="00912428" w:rsidRPr="00816FC2" w:rsidTr="0044040A">
        <w:tc>
          <w:tcPr>
            <w:tcW w:w="6946" w:type="dxa"/>
          </w:tcPr>
          <w:p w:rsidR="00912428" w:rsidRPr="00816FC2" w:rsidRDefault="00912428" w:rsidP="0048279B">
            <w:r w:rsidRPr="00816FC2">
              <w:t xml:space="preserve">Thematic </w:t>
            </w:r>
            <w:r w:rsidR="00276709" w:rsidRPr="00816FC2">
              <w:t>P</w:t>
            </w:r>
            <w:r w:rsidR="00F87A21" w:rsidRPr="00816FC2">
              <w:t>rogramme</w:t>
            </w:r>
            <w:r w:rsidRPr="00816FC2">
              <w:t xml:space="preserve"> </w:t>
            </w:r>
            <w:r w:rsidR="00A11D04" w:rsidRPr="00816FC2">
              <w:t>3</w:t>
            </w:r>
            <w:r w:rsidRPr="00816FC2">
              <w:t>:</w:t>
            </w:r>
            <w:r w:rsidR="00A11D04" w:rsidRPr="00816FC2">
              <w:t xml:space="preserve"> </w:t>
            </w:r>
            <w:r w:rsidR="005E17D1" w:rsidRPr="00816FC2">
              <w:t xml:space="preserve"> </w:t>
            </w:r>
            <w:r w:rsidR="006923F0" w:rsidRPr="00816FC2">
              <w:t>Community S</w:t>
            </w:r>
            <w:r w:rsidR="0048279B" w:rsidRPr="00816FC2">
              <w:t xml:space="preserve">ecurity </w:t>
            </w:r>
            <w:r w:rsidR="006923F0" w:rsidRPr="00816FC2">
              <w:t xml:space="preserve">and </w:t>
            </w:r>
            <w:r w:rsidR="007D39E9" w:rsidRPr="00816FC2">
              <w:t>Governance</w:t>
            </w:r>
          </w:p>
        </w:tc>
        <w:tc>
          <w:tcPr>
            <w:tcW w:w="1701" w:type="dxa"/>
          </w:tcPr>
          <w:p w:rsidR="00912428" w:rsidRPr="00816FC2" w:rsidRDefault="00912428" w:rsidP="0080400C">
            <w:pPr>
              <w:rPr>
                <w:highlight w:val="yellow"/>
              </w:rPr>
            </w:pPr>
          </w:p>
        </w:tc>
      </w:tr>
      <w:tr w:rsidR="00186818" w:rsidRPr="00816FC2" w:rsidTr="0044040A">
        <w:tc>
          <w:tcPr>
            <w:tcW w:w="6946" w:type="dxa"/>
          </w:tcPr>
          <w:p w:rsidR="00186818" w:rsidRPr="00816FC2" w:rsidRDefault="00186818" w:rsidP="0080400C">
            <w:r w:rsidRPr="00816FC2">
              <w:t>Stabilisation Advisors</w:t>
            </w:r>
          </w:p>
        </w:tc>
        <w:tc>
          <w:tcPr>
            <w:tcW w:w="1701" w:type="dxa"/>
          </w:tcPr>
          <w:p w:rsidR="00186818" w:rsidRPr="00816FC2" w:rsidRDefault="00186818" w:rsidP="0080400C">
            <w:pPr>
              <w:rPr>
                <w:highlight w:val="yellow"/>
              </w:rPr>
            </w:pPr>
          </w:p>
        </w:tc>
      </w:tr>
      <w:tr w:rsidR="00912428" w:rsidRPr="00816FC2" w:rsidTr="0044040A">
        <w:tc>
          <w:tcPr>
            <w:tcW w:w="6946" w:type="dxa"/>
          </w:tcPr>
          <w:p w:rsidR="00912428" w:rsidRPr="00816FC2" w:rsidRDefault="00BA335C" w:rsidP="00BA335C">
            <w:r w:rsidRPr="00816FC2">
              <w:t>TA,</w:t>
            </w:r>
            <w:r w:rsidR="005B7278" w:rsidRPr="00816FC2">
              <w:t xml:space="preserve"> review</w:t>
            </w:r>
          </w:p>
        </w:tc>
        <w:tc>
          <w:tcPr>
            <w:tcW w:w="1701" w:type="dxa"/>
          </w:tcPr>
          <w:p w:rsidR="00912428" w:rsidRPr="00816FC2" w:rsidRDefault="00912428" w:rsidP="0080400C">
            <w:pPr>
              <w:rPr>
                <w:highlight w:val="yellow"/>
              </w:rPr>
            </w:pPr>
          </w:p>
        </w:tc>
      </w:tr>
      <w:tr w:rsidR="00912428" w:rsidRPr="00816FC2" w:rsidTr="0044040A">
        <w:tc>
          <w:tcPr>
            <w:tcW w:w="6946" w:type="dxa"/>
            <w:shd w:val="clear" w:color="auto" w:fill="EBD9E2"/>
            <w:vAlign w:val="center"/>
          </w:tcPr>
          <w:p w:rsidR="00912428" w:rsidRPr="00816FC2" w:rsidRDefault="00A11D04" w:rsidP="0044040A">
            <w:pPr>
              <w:jc w:val="left"/>
            </w:pPr>
            <w:r w:rsidRPr="00816FC2">
              <w:t>Total</w:t>
            </w:r>
          </w:p>
        </w:tc>
        <w:tc>
          <w:tcPr>
            <w:tcW w:w="1701" w:type="dxa"/>
            <w:shd w:val="clear" w:color="auto" w:fill="EBD9E2"/>
          </w:tcPr>
          <w:p w:rsidR="00912428" w:rsidRPr="00816FC2" w:rsidRDefault="00912428" w:rsidP="0080400C">
            <w:pPr>
              <w:rPr>
                <w:highlight w:val="yellow"/>
              </w:rPr>
            </w:pPr>
          </w:p>
        </w:tc>
      </w:tr>
    </w:tbl>
    <w:p w:rsidR="00276709" w:rsidRPr="00816FC2" w:rsidRDefault="00276709" w:rsidP="0080400C"/>
    <w:tbl>
      <w:tblPr>
        <w:tblStyle w:val="Tabel-Gitter"/>
        <w:tblW w:w="0" w:type="auto"/>
        <w:tblInd w:w="108" w:type="dxa"/>
        <w:tblBorders>
          <w:top w:val="single" w:sz="4" w:space="0" w:color="3E2C42"/>
          <w:left w:val="single" w:sz="4" w:space="0" w:color="3E2C42"/>
          <w:bottom w:val="single" w:sz="4" w:space="0" w:color="3E2C42"/>
          <w:right w:val="single" w:sz="4" w:space="0" w:color="3E2C42"/>
          <w:insideH w:val="none" w:sz="0" w:space="0" w:color="auto"/>
          <w:insideV w:val="none" w:sz="0" w:space="0" w:color="auto"/>
        </w:tblBorders>
        <w:tblLook w:val="04A0" w:firstRow="1" w:lastRow="0" w:firstColumn="1" w:lastColumn="0" w:noHBand="0" w:noVBand="1"/>
      </w:tblPr>
      <w:tblGrid>
        <w:gridCol w:w="6946"/>
        <w:gridCol w:w="1701"/>
      </w:tblGrid>
      <w:tr w:rsidR="0010187A" w:rsidRPr="00816FC2" w:rsidTr="0044040A">
        <w:tc>
          <w:tcPr>
            <w:tcW w:w="6946" w:type="dxa"/>
            <w:shd w:val="clear" w:color="auto" w:fill="3E2C42"/>
          </w:tcPr>
          <w:p w:rsidR="0010187A" w:rsidRPr="00816FC2" w:rsidRDefault="0010187A" w:rsidP="0080400C">
            <w:pPr>
              <w:rPr>
                <w:color w:val="FFFFFF" w:themeColor="background1"/>
              </w:rPr>
            </w:pPr>
            <w:r w:rsidRPr="00816FC2">
              <w:rPr>
                <w:color w:val="FFFFFF" w:themeColor="background1"/>
              </w:rPr>
              <w:t>Source of funding</w:t>
            </w:r>
          </w:p>
        </w:tc>
        <w:tc>
          <w:tcPr>
            <w:tcW w:w="1701" w:type="dxa"/>
            <w:shd w:val="clear" w:color="auto" w:fill="3E2C42"/>
          </w:tcPr>
          <w:p w:rsidR="0010187A" w:rsidRPr="00816FC2" w:rsidRDefault="0010187A" w:rsidP="0080400C">
            <w:pPr>
              <w:rPr>
                <w:color w:val="FFFFFF" w:themeColor="background1"/>
              </w:rPr>
            </w:pPr>
            <w:r w:rsidRPr="00816FC2">
              <w:rPr>
                <w:color w:val="FFFFFF" w:themeColor="background1"/>
              </w:rPr>
              <w:t xml:space="preserve"> Million DKK</w:t>
            </w:r>
          </w:p>
        </w:tc>
      </w:tr>
      <w:tr w:rsidR="0010187A" w:rsidRPr="00816FC2" w:rsidTr="0044040A">
        <w:tc>
          <w:tcPr>
            <w:tcW w:w="6946" w:type="dxa"/>
          </w:tcPr>
          <w:p w:rsidR="0010187A" w:rsidRPr="00816FC2" w:rsidRDefault="0010187A" w:rsidP="0080400C">
            <w:r w:rsidRPr="00816FC2">
              <w:t>Peace and Stabilisation Fund (DAC)</w:t>
            </w:r>
          </w:p>
        </w:tc>
        <w:tc>
          <w:tcPr>
            <w:tcW w:w="1701" w:type="dxa"/>
          </w:tcPr>
          <w:p w:rsidR="0010187A" w:rsidRPr="00816FC2" w:rsidRDefault="00FB4074" w:rsidP="0080400C">
            <w:r w:rsidRPr="00816FC2">
              <w:t>302,5</w:t>
            </w:r>
          </w:p>
        </w:tc>
      </w:tr>
      <w:tr w:rsidR="0010187A" w:rsidRPr="00816FC2" w:rsidTr="0044040A">
        <w:tc>
          <w:tcPr>
            <w:tcW w:w="6946" w:type="dxa"/>
          </w:tcPr>
          <w:p w:rsidR="00E13AB1" w:rsidRDefault="00E13AB1" w:rsidP="00C44091">
            <w:r>
              <w:t>Peace and Stabilisation Fund (non-DAC)</w:t>
            </w:r>
          </w:p>
          <w:p w:rsidR="0010187A" w:rsidRPr="00816FC2" w:rsidRDefault="0010187A" w:rsidP="008227BE">
            <w:pPr>
              <w:jc w:val="left"/>
            </w:pPr>
            <w:r w:rsidRPr="00816FC2">
              <w:t xml:space="preserve">Danish Arab Partnership Programme </w:t>
            </w:r>
            <w:r w:rsidR="00C329E0" w:rsidRPr="00816FC2">
              <w:t xml:space="preserve">(until </w:t>
            </w:r>
            <w:r w:rsidR="00C44091" w:rsidRPr="00816FC2">
              <w:t>end 2016</w:t>
            </w:r>
            <w:r w:rsidR="00C329E0" w:rsidRPr="00816FC2">
              <w:t>)</w:t>
            </w:r>
            <w:r w:rsidR="00E13AB1">
              <w:t xml:space="preserve">                                                                                                                                    </w:t>
            </w:r>
          </w:p>
        </w:tc>
        <w:tc>
          <w:tcPr>
            <w:tcW w:w="1701" w:type="dxa"/>
          </w:tcPr>
          <w:p w:rsidR="00E13AB1" w:rsidRDefault="00C03DDE" w:rsidP="0080400C">
            <w:r>
              <w:t>10</w:t>
            </w:r>
          </w:p>
          <w:p w:rsidR="0010187A" w:rsidRPr="00E13AB1" w:rsidRDefault="00E13AB1" w:rsidP="00E13AB1">
            <w:r>
              <w:t xml:space="preserve">20  </w:t>
            </w:r>
          </w:p>
        </w:tc>
      </w:tr>
    </w:tbl>
    <w:p w:rsidR="00912428" w:rsidRPr="00816FC2" w:rsidRDefault="00912428" w:rsidP="0080400C">
      <w:r w:rsidRPr="00816FC2">
        <w:br w:type="page"/>
      </w:r>
    </w:p>
    <w:sdt>
      <w:sdtPr>
        <w:rPr>
          <w:rFonts w:asciiTheme="minorHAnsi" w:eastAsiaTheme="minorHAnsi" w:hAnsiTheme="minorHAnsi" w:cs="Garamond"/>
          <w:b/>
          <w:bCs/>
          <w:color w:val="000000"/>
          <w:spacing w:val="0"/>
          <w:kern w:val="0"/>
          <w:sz w:val="40"/>
          <w:szCs w:val="40"/>
        </w:rPr>
        <w:id w:val="-1764832296"/>
        <w:docPartObj>
          <w:docPartGallery w:val="Table of Contents"/>
          <w:docPartUnique/>
        </w:docPartObj>
      </w:sdtPr>
      <w:sdtEndPr>
        <w:rPr>
          <w:rFonts w:ascii="Garamond" w:hAnsi="Garamond"/>
          <w:b w:val="0"/>
          <w:bCs w:val="0"/>
          <w:sz w:val="24"/>
          <w:szCs w:val="26"/>
        </w:rPr>
      </w:sdtEndPr>
      <w:sdtContent>
        <w:p w:rsidR="00FE52E5" w:rsidRPr="00816FC2" w:rsidRDefault="009767E8" w:rsidP="006923F0">
          <w:pPr>
            <w:pStyle w:val="Titel"/>
            <w:rPr>
              <w:rFonts w:asciiTheme="minorHAnsi" w:hAnsiTheme="minorHAnsi"/>
              <w:sz w:val="40"/>
              <w:szCs w:val="40"/>
            </w:rPr>
          </w:pPr>
          <w:r w:rsidRPr="00816FC2">
            <w:rPr>
              <w:rFonts w:asciiTheme="minorHAnsi" w:hAnsiTheme="minorHAnsi"/>
              <w:sz w:val="40"/>
              <w:szCs w:val="40"/>
            </w:rPr>
            <w:t>Content</w:t>
          </w:r>
          <w:r w:rsidR="00CD1534" w:rsidRPr="00816FC2">
            <w:rPr>
              <w:rFonts w:asciiTheme="minorHAnsi" w:hAnsiTheme="minorHAnsi"/>
              <w:sz w:val="40"/>
              <w:szCs w:val="40"/>
            </w:rPr>
            <w:t>s</w:t>
          </w:r>
        </w:p>
        <w:p w:rsidR="00A8731B" w:rsidRDefault="00963E7E">
          <w:pPr>
            <w:pStyle w:val="Indholdsfortegnelse1"/>
            <w:rPr>
              <w:rFonts w:eastAsiaTheme="minorEastAsia" w:cstheme="minorBidi"/>
              <w:b w:val="0"/>
              <w:caps w:val="0"/>
              <w:noProof/>
              <w:color w:val="auto"/>
              <w:sz w:val="24"/>
              <w:szCs w:val="24"/>
              <w:lang w:val="en-US" w:eastAsia="ja-JP"/>
            </w:rPr>
          </w:pPr>
          <w:r w:rsidRPr="00816FC2">
            <w:fldChar w:fldCharType="begin"/>
          </w:r>
          <w:r w:rsidR="00BB0A1F" w:rsidRPr="00816FC2">
            <w:instrText xml:space="preserve"> TOC \o "1-2" </w:instrText>
          </w:r>
          <w:r w:rsidRPr="00816FC2">
            <w:fldChar w:fldCharType="separate"/>
          </w:r>
          <w:r w:rsidR="00A8731B">
            <w:rPr>
              <w:noProof/>
            </w:rPr>
            <w:t>1</w:t>
          </w:r>
          <w:r w:rsidR="00A8731B">
            <w:rPr>
              <w:rFonts w:eastAsiaTheme="minorEastAsia" w:cstheme="minorBidi"/>
              <w:b w:val="0"/>
              <w:caps w:val="0"/>
              <w:noProof/>
              <w:color w:val="auto"/>
              <w:sz w:val="24"/>
              <w:szCs w:val="24"/>
              <w:lang w:val="en-US" w:eastAsia="ja-JP"/>
            </w:rPr>
            <w:tab/>
          </w:r>
          <w:r w:rsidR="00A8731B">
            <w:rPr>
              <w:noProof/>
            </w:rPr>
            <w:t>Introduction</w:t>
          </w:r>
          <w:r w:rsidR="00A8731B">
            <w:rPr>
              <w:noProof/>
            </w:rPr>
            <w:tab/>
          </w:r>
          <w:r w:rsidR="00A8731B">
            <w:rPr>
              <w:noProof/>
            </w:rPr>
            <w:fldChar w:fldCharType="begin"/>
          </w:r>
          <w:r w:rsidR="00A8731B">
            <w:rPr>
              <w:noProof/>
            </w:rPr>
            <w:instrText xml:space="preserve"> PAGEREF _Toc332370501 \h </w:instrText>
          </w:r>
          <w:r w:rsidR="00A8731B">
            <w:rPr>
              <w:noProof/>
            </w:rPr>
          </w:r>
          <w:r w:rsidR="00A8731B">
            <w:rPr>
              <w:noProof/>
            </w:rPr>
            <w:fldChar w:fldCharType="separate"/>
          </w:r>
          <w:r w:rsidR="00427656">
            <w:rPr>
              <w:noProof/>
            </w:rPr>
            <w:t>1</w:t>
          </w:r>
          <w:r w:rsidR="00A8731B">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2</w:t>
          </w:r>
          <w:r>
            <w:rPr>
              <w:rFonts w:eastAsiaTheme="minorEastAsia" w:cstheme="minorBidi"/>
              <w:b w:val="0"/>
              <w:caps w:val="0"/>
              <w:noProof/>
              <w:color w:val="auto"/>
              <w:sz w:val="24"/>
              <w:szCs w:val="24"/>
              <w:lang w:val="en-US" w:eastAsia="ja-JP"/>
            </w:rPr>
            <w:tab/>
          </w:r>
          <w:r>
            <w:rPr>
              <w:noProof/>
            </w:rPr>
            <w:t>Context analysis</w:t>
          </w:r>
          <w:r>
            <w:rPr>
              <w:noProof/>
            </w:rPr>
            <w:tab/>
          </w:r>
          <w:r>
            <w:rPr>
              <w:noProof/>
            </w:rPr>
            <w:fldChar w:fldCharType="begin"/>
          </w:r>
          <w:r>
            <w:rPr>
              <w:noProof/>
            </w:rPr>
            <w:instrText xml:space="preserve"> PAGEREF _Toc332370502 \h </w:instrText>
          </w:r>
          <w:r>
            <w:rPr>
              <w:noProof/>
            </w:rPr>
          </w:r>
          <w:r>
            <w:rPr>
              <w:noProof/>
            </w:rPr>
            <w:fldChar w:fldCharType="separate"/>
          </w:r>
          <w:r w:rsidR="00427656">
            <w:rPr>
              <w:noProof/>
            </w:rPr>
            <w:t>3</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2.1</w:t>
          </w:r>
          <w:r>
            <w:rPr>
              <w:rFonts w:eastAsiaTheme="minorEastAsia" w:cstheme="minorBidi"/>
              <w:smallCaps w:val="0"/>
              <w:noProof/>
              <w:color w:val="auto"/>
              <w:sz w:val="24"/>
              <w:szCs w:val="24"/>
              <w:lang w:val="en-US" w:eastAsia="ja-JP"/>
            </w:rPr>
            <w:tab/>
          </w:r>
          <w:r>
            <w:rPr>
              <w:noProof/>
            </w:rPr>
            <w:t>Syria – Stabilisation amid on-going conflict</w:t>
          </w:r>
          <w:r>
            <w:rPr>
              <w:noProof/>
            </w:rPr>
            <w:tab/>
          </w:r>
          <w:r>
            <w:rPr>
              <w:noProof/>
            </w:rPr>
            <w:fldChar w:fldCharType="begin"/>
          </w:r>
          <w:r>
            <w:rPr>
              <w:noProof/>
            </w:rPr>
            <w:instrText xml:space="preserve"> PAGEREF _Toc332370503 \h </w:instrText>
          </w:r>
          <w:r>
            <w:rPr>
              <w:noProof/>
            </w:rPr>
          </w:r>
          <w:r>
            <w:rPr>
              <w:noProof/>
            </w:rPr>
            <w:fldChar w:fldCharType="separate"/>
          </w:r>
          <w:r w:rsidR="00427656">
            <w:rPr>
              <w:noProof/>
            </w:rPr>
            <w:t>3</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2.2</w:t>
          </w:r>
          <w:r>
            <w:rPr>
              <w:rFonts w:eastAsiaTheme="minorEastAsia" w:cstheme="minorBidi"/>
              <w:smallCaps w:val="0"/>
              <w:noProof/>
              <w:color w:val="auto"/>
              <w:sz w:val="24"/>
              <w:szCs w:val="24"/>
              <w:lang w:val="en-US" w:eastAsia="ja-JP"/>
            </w:rPr>
            <w:tab/>
          </w:r>
          <w:r>
            <w:rPr>
              <w:noProof/>
            </w:rPr>
            <w:t>Iraq – Stabilising a disintegrating State</w:t>
          </w:r>
          <w:r>
            <w:rPr>
              <w:noProof/>
            </w:rPr>
            <w:tab/>
          </w:r>
          <w:r>
            <w:rPr>
              <w:noProof/>
            </w:rPr>
            <w:fldChar w:fldCharType="begin"/>
          </w:r>
          <w:r>
            <w:rPr>
              <w:noProof/>
            </w:rPr>
            <w:instrText xml:space="preserve"> PAGEREF _Toc332370504 \h </w:instrText>
          </w:r>
          <w:r>
            <w:rPr>
              <w:noProof/>
            </w:rPr>
          </w:r>
          <w:r>
            <w:rPr>
              <w:noProof/>
            </w:rPr>
            <w:fldChar w:fldCharType="separate"/>
          </w:r>
          <w:r w:rsidR="00427656">
            <w:rPr>
              <w:noProof/>
            </w:rPr>
            <w:t>4</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2.3</w:t>
          </w:r>
          <w:r>
            <w:rPr>
              <w:rFonts w:eastAsiaTheme="minorEastAsia" w:cstheme="minorBidi"/>
              <w:smallCaps w:val="0"/>
              <w:noProof/>
              <w:color w:val="auto"/>
              <w:sz w:val="24"/>
              <w:szCs w:val="24"/>
              <w:lang w:val="en-US" w:eastAsia="ja-JP"/>
            </w:rPr>
            <w:tab/>
          </w:r>
          <w:r>
            <w:rPr>
              <w:noProof/>
            </w:rPr>
            <w:t xml:space="preserve">Scenarios </w:t>
          </w:r>
          <w:r>
            <w:rPr>
              <w:noProof/>
            </w:rPr>
            <w:tab/>
          </w:r>
          <w:r>
            <w:rPr>
              <w:noProof/>
            </w:rPr>
            <w:fldChar w:fldCharType="begin"/>
          </w:r>
          <w:r>
            <w:rPr>
              <w:noProof/>
            </w:rPr>
            <w:instrText xml:space="preserve"> PAGEREF _Toc332370505 \h </w:instrText>
          </w:r>
          <w:r>
            <w:rPr>
              <w:noProof/>
            </w:rPr>
          </w:r>
          <w:r>
            <w:rPr>
              <w:noProof/>
            </w:rPr>
            <w:fldChar w:fldCharType="separate"/>
          </w:r>
          <w:r w:rsidR="00427656">
            <w:rPr>
              <w:noProof/>
            </w:rPr>
            <w:t>7</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3</w:t>
          </w:r>
          <w:r>
            <w:rPr>
              <w:rFonts w:eastAsiaTheme="minorEastAsia" w:cstheme="minorBidi"/>
              <w:b w:val="0"/>
              <w:caps w:val="0"/>
              <w:noProof/>
              <w:color w:val="auto"/>
              <w:sz w:val="24"/>
              <w:szCs w:val="24"/>
              <w:lang w:val="en-US" w:eastAsia="ja-JP"/>
            </w:rPr>
            <w:tab/>
          </w:r>
          <w:r>
            <w:rPr>
              <w:noProof/>
            </w:rPr>
            <w:t>Previous Danish support, experience and lessons</w:t>
          </w:r>
          <w:r>
            <w:rPr>
              <w:noProof/>
            </w:rPr>
            <w:tab/>
          </w:r>
          <w:r>
            <w:rPr>
              <w:noProof/>
            </w:rPr>
            <w:fldChar w:fldCharType="begin"/>
          </w:r>
          <w:r>
            <w:rPr>
              <w:noProof/>
            </w:rPr>
            <w:instrText xml:space="preserve"> PAGEREF _Toc332370506 \h </w:instrText>
          </w:r>
          <w:r>
            <w:rPr>
              <w:noProof/>
            </w:rPr>
          </w:r>
          <w:r>
            <w:rPr>
              <w:noProof/>
            </w:rPr>
            <w:fldChar w:fldCharType="separate"/>
          </w:r>
          <w:r w:rsidR="00427656">
            <w:rPr>
              <w:noProof/>
            </w:rPr>
            <w:t>10</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3.1</w:t>
          </w:r>
          <w:r>
            <w:rPr>
              <w:rFonts w:eastAsiaTheme="minorEastAsia" w:cstheme="minorBidi"/>
              <w:smallCaps w:val="0"/>
              <w:noProof/>
              <w:color w:val="auto"/>
              <w:sz w:val="24"/>
              <w:szCs w:val="24"/>
              <w:lang w:val="en-US" w:eastAsia="ja-JP"/>
            </w:rPr>
            <w:tab/>
          </w:r>
          <w:r>
            <w:rPr>
              <w:noProof/>
            </w:rPr>
            <w:t>Policy Context</w:t>
          </w:r>
          <w:r>
            <w:rPr>
              <w:noProof/>
            </w:rPr>
            <w:tab/>
          </w:r>
          <w:r>
            <w:rPr>
              <w:noProof/>
            </w:rPr>
            <w:fldChar w:fldCharType="begin"/>
          </w:r>
          <w:r>
            <w:rPr>
              <w:noProof/>
            </w:rPr>
            <w:instrText xml:space="preserve"> PAGEREF _Toc332370507 \h </w:instrText>
          </w:r>
          <w:r>
            <w:rPr>
              <w:noProof/>
            </w:rPr>
          </w:r>
          <w:r>
            <w:rPr>
              <w:noProof/>
            </w:rPr>
            <w:fldChar w:fldCharType="separate"/>
          </w:r>
          <w:r w:rsidR="00427656">
            <w:rPr>
              <w:noProof/>
            </w:rPr>
            <w:t>10</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3.2</w:t>
          </w:r>
          <w:r>
            <w:rPr>
              <w:rFonts w:eastAsiaTheme="minorEastAsia" w:cstheme="minorBidi"/>
              <w:smallCaps w:val="0"/>
              <w:noProof/>
              <w:color w:val="auto"/>
              <w:sz w:val="24"/>
              <w:szCs w:val="24"/>
              <w:lang w:val="en-US" w:eastAsia="ja-JP"/>
            </w:rPr>
            <w:tab/>
          </w:r>
          <w:r>
            <w:rPr>
              <w:noProof/>
            </w:rPr>
            <w:t>Previous Danish Stabilisation Support</w:t>
          </w:r>
          <w:r>
            <w:rPr>
              <w:noProof/>
            </w:rPr>
            <w:tab/>
          </w:r>
          <w:r>
            <w:rPr>
              <w:noProof/>
            </w:rPr>
            <w:fldChar w:fldCharType="begin"/>
          </w:r>
          <w:r>
            <w:rPr>
              <w:noProof/>
            </w:rPr>
            <w:instrText xml:space="preserve"> PAGEREF _Toc332370508 \h </w:instrText>
          </w:r>
          <w:r>
            <w:rPr>
              <w:noProof/>
            </w:rPr>
          </w:r>
          <w:r>
            <w:rPr>
              <w:noProof/>
            </w:rPr>
            <w:fldChar w:fldCharType="separate"/>
          </w:r>
          <w:r w:rsidR="00427656">
            <w:rPr>
              <w:noProof/>
            </w:rPr>
            <w:t>11</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3.3</w:t>
          </w:r>
          <w:r>
            <w:rPr>
              <w:rFonts w:eastAsiaTheme="minorEastAsia" w:cstheme="minorBidi"/>
              <w:smallCaps w:val="0"/>
              <w:noProof/>
              <w:color w:val="auto"/>
              <w:sz w:val="24"/>
              <w:szCs w:val="24"/>
              <w:lang w:val="en-US" w:eastAsia="ja-JP"/>
            </w:rPr>
            <w:tab/>
          </w:r>
          <w:r>
            <w:rPr>
              <w:noProof/>
            </w:rPr>
            <w:t>Guiding principles used in programme design</w:t>
          </w:r>
          <w:r>
            <w:rPr>
              <w:noProof/>
            </w:rPr>
            <w:tab/>
          </w:r>
          <w:r>
            <w:rPr>
              <w:noProof/>
            </w:rPr>
            <w:fldChar w:fldCharType="begin"/>
          </w:r>
          <w:r>
            <w:rPr>
              <w:noProof/>
            </w:rPr>
            <w:instrText xml:space="preserve"> PAGEREF _Toc332370509 \h </w:instrText>
          </w:r>
          <w:r>
            <w:rPr>
              <w:noProof/>
            </w:rPr>
          </w:r>
          <w:r>
            <w:rPr>
              <w:noProof/>
            </w:rPr>
            <w:fldChar w:fldCharType="separate"/>
          </w:r>
          <w:r w:rsidR="00427656">
            <w:rPr>
              <w:noProof/>
            </w:rPr>
            <w:t>12</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4</w:t>
          </w:r>
          <w:r>
            <w:rPr>
              <w:rFonts w:eastAsiaTheme="minorEastAsia" w:cstheme="minorBidi"/>
              <w:b w:val="0"/>
              <w:caps w:val="0"/>
              <w:noProof/>
              <w:color w:val="auto"/>
              <w:sz w:val="24"/>
              <w:szCs w:val="24"/>
              <w:lang w:val="en-US" w:eastAsia="ja-JP"/>
            </w:rPr>
            <w:tab/>
          </w:r>
          <w:r>
            <w:rPr>
              <w:noProof/>
            </w:rPr>
            <w:t>Presentation of the Programme</w:t>
          </w:r>
          <w:r>
            <w:rPr>
              <w:noProof/>
            </w:rPr>
            <w:tab/>
          </w:r>
          <w:r>
            <w:rPr>
              <w:noProof/>
            </w:rPr>
            <w:fldChar w:fldCharType="begin"/>
          </w:r>
          <w:r>
            <w:rPr>
              <w:noProof/>
            </w:rPr>
            <w:instrText xml:space="preserve"> PAGEREF _Toc332370510 \h </w:instrText>
          </w:r>
          <w:r>
            <w:rPr>
              <w:noProof/>
            </w:rPr>
          </w:r>
          <w:r>
            <w:rPr>
              <w:noProof/>
            </w:rPr>
            <w:fldChar w:fldCharType="separate"/>
          </w:r>
          <w:r w:rsidR="00427656">
            <w:rPr>
              <w:noProof/>
            </w:rPr>
            <w:t>14</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4.1</w:t>
          </w:r>
          <w:r>
            <w:rPr>
              <w:rFonts w:eastAsiaTheme="minorEastAsia" w:cstheme="minorBidi"/>
              <w:smallCaps w:val="0"/>
              <w:noProof/>
              <w:color w:val="auto"/>
              <w:sz w:val="24"/>
              <w:szCs w:val="24"/>
              <w:lang w:val="en-US" w:eastAsia="ja-JP"/>
            </w:rPr>
            <w:tab/>
          </w:r>
          <w:r>
            <w:rPr>
              <w:noProof/>
            </w:rPr>
            <w:t>Overview</w:t>
          </w:r>
          <w:r>
            <w:rPr>
              <w:noProof/>
            </w:rPr>
            <w:tab/>
          </w:r>
          <w:r>
            <w:rPr>
              <w:noProof/>
            </w:rPr>
            <w:fldChar w:fldCharType="begin"/>
          </w:r>
          <w:r>
            <w:rPr>
              <w:noProof/>
            </w:rPr>
            <w:instrText xml:space="preserve"> PAGEREF _Toc332370511 \h </w:instrText>
          </w:r>
          <w:r>
            <w:rPr>
              <w:noProof/>
            </w:rPr>
          </w:r>
          <w:r>
            <w:rPr>
              <w:noProof/>
            </w:rPr>
            <w:fldChar w:fldCharType="separate"/>
          </w:r>
          <w:r w:rsidR="00427656">
            <w:rPr>
              <w:noProof/>
            </w:rPr>
            <w:t>14</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4.2</w:t>
          </w:r>
          <w:r>
            <w:rPr>
              <w:rFonts w:eastAsiaTheme="minorEastAsia" w:cstheme="minorBidi"/>
              <w:smallCaps w:val="0"/>
              <w:noProof/>
              <w:color w:val="auto"/>
              <w:sz w:val="24"/>
              <w:szCs w:val="24"/>
              <w:lang w:val="en-US" w:eastAsia="ja-JP"/>
            </w:rPr>
            <w:tab/>
          </w:r>
          <w:r>
            <w:rPr>
              <w:noProof/>
            </w:rPr>
            <w:t>Theory of Change</w:t>
          </w:r>
          <w:r>
            <w:rPr>
              <w:noProof/>
            </w:rPr>
            <w:tab/>
          </w:r>
          <w:r>
            <w:rPr>
              <w:noProof/>
            </w:rPr>
            <w:fldChar w:fldCharType="begin"/>
          </w:r>
          <w:r>
            <w:rPr>
              <w:noProof/>
            </w:rPr>
            <w:instrText xml:space="preserve"> PAGEREF _Toc332370512 \h </w:instrText>
          </w:r>
          <w:r>
            <w:rPr>
              <w:noProof/>
            </w:rPr>
          </w:r>
          <w:r>
            <w:rPr>
              <w:noProof/>
            </w:rPr>
            <w:fldChar w:fldCharType="separate"/>
          </w:r>
          <w:r w:rsidR="00427656">
            <w:rPr>
              <w:noProof/>
            </w:rPr>
            <w:t>14</w:t>
          </w:r>
          <w:r>
            <w:rPr>
              <w:noProof/>
            </w:rPr>
            <w:fldChar w:fldCharType="end"/>
          </w:r>
        </w:p>
        <w:p w:rsidR="00A8731B" w:rsidRDefault="00A8731B">
          <w:pPr>
            <w:pStyle w:val="Indholdsfortegnelse2"/>
            <w:tabs>
              <w:tab w:val="left" w:pos="500"/>
              <w:tab w:val="right" w:leader="dot" w:pos="9622"/>
            </w:tabs>
            <w:rPr>
              <w:rFonts w:eastAsiaTheme="minorEastAsia" w:cstheme="minorBidi"/>
              <w:smallCaps w:val="0"/>
              <w:noProof/>
              <w:color w:val="auto"/>
              <w:sz w:val="24"/>
              <w:szCs w:val="24"/>
              <w:lang w:val="en-US" w:eastAsia="ja-JP"/>
            </w:rPr>
          </w:pPr>
          <w:r>
            <w:rPr>
              <w:rFonts w:eastAsiaTheme="minorEastAsia" w:cstheme="minorBidi"/>
              <w:smallCaps w:val="0"/>
              <w:noProof/>
              <w:color w:val="auto"/>
              <w:sz w:val="24"/>
              <w:szCs w:val="24"/>
              <w:lang w:val="en-US" w:eastAsia="ja-JP"/>
            </w:rPr>
            <w:tab/>
          </w:r>
          <w:r>
            <w:rPr>
              <w:noProof/>
            </w:rPr>
            <w:t>Programme Summary</w:t>
          </w:r>
          <w:r>
            <w:rPr>
              <w:noProof/>
            </w:rPr>
            <w:tab/>
          </w:r>
          <w:r>
            <w:rPr>
              <w:noProof/>
            </w:rPr>
            <w:fldChar w:fldCharType="begin"/>
          </w:r>
          <w:r>
            <w:rPr>
              <w:noProof/>
            </w:rPr>
            <w:instrText xml:space="preserve"> PAGEREF _Toc332370513 \h </w:instrText>
          </w:r>
          <w:r>
            <w:rPr>
              <w:noProof/>
            </w:rPr>
          </w:r>
          <w:r>
            <w:rPr>
              <w:noProof/>
            </w:rPr>
            <w:fldChar w:fldCharType="separate"/>
          </w:r>
          <w:r w:rsidR="00427656">
            <w:rPr>
              <w:noProof/>
            </w:rPr>
            <w:t>15</w:t>
          </w:r>
          <w:r>
            <w:rPr>
              <w:noProof/>
            </w:rPr>
            <w:fldChar w:fldCharType="end"/>
          </w:r>
        </w:p>
        <w:p w:rsidR="00A8731B" w:rsidRDefault="00A8731B">
          <w:pPr>
            <w:pStyle w:val="Indholdsfortegnelse2"/>
            <w:tabs>
              <w:tab w:val="right" w:leader="dot" w:pos="9622"/>
            </w:tabs>
            <w:rPr>
              <w:rFonts w:eastAsiaTheme="minorEastAsia" w:cstheme="minorBidi"/>
              <w:smallCaps w:val="0"/>
              <w:noProof/>
              <w:color w:val="auto"/>
              <w:sz w:val="24"/>
              <w:szCs w:val="24"/>
              <w:lang w:val="en-US" w:eastAsia="ja-JP"/>
            </w:rPr>
          </w:pPr>
          <w:r>
            <w:rPr>
              <w:noProof/>
            </w:rPr>
            <w:t>4.3</w:t>
          </w:r>
          <w:r>
            <w:rPr>
              <w:noProof/>
            </w:rPr>
            <w:tab/>
          </w:r>
          <w:r>
            <w:rPr>
              <w:noProof/>
            </w:rPr>
            <w:fldChar w:fldCharType="begin"/>
          </w:r>
          <w:r>
            <w:rPr>
              <w:noProof/>
            </w:rPr>
            <w:instrText xml:space="preserve"> PAGEREF _Toc332370514 \h </w:instrText>
          </w:r>
          <w:r>
            <w:rPr>
              <w:noProof/>
            </w:rPr>
          </w:r>
          <w:r>
            <w:rPr>
              <w:noProof/>
            </w:rPr>
            <w:fldChar w:fldCharType="separate"/>
          </w:r>
          <w:r w:rsidR="00427656">
            <w:rPr>
              <w:noProof/>
            </w:rPr>
            <w:t>15</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4.4</w:t>
          </w:r>
          <w:r>
            <w:rPr>
              <w:rFonts w:eastAsiaTheme="minorEastAsia" w:cstheme="minorBidi"/>
              <w:smallCaps w:val="0"/>
              <w:noProof/>
              <w:color w:val="auto"/>
              <w:sz w:val="24"/>
              <w:szCs w:val="24"/>
              <w:lang w:val="en-US" w:eastAsia="ja-JP"/>
            </w:rPr>
            <w:tab/>
          </w:r>
          <w:r>
            <w:rPr>
              <w:noProof/>
            </w:rPr>
            <w:t>Continuity with previous programmes</w:t>
          </w:r>
          <w:r>
            <w:rPr>
              <w:noProof/>
            </w:rPr>
            <w:tab/>
          </w:r>
          <w:r>
            <w:rPr>
              <w:noProof/>
            </w:rPr>
            <w:fldChar w:fldCharType="begin"/>
          </w:r>
          <w:r>
            <w:rPr>
              <w:noProof/>
            </w:rPr>
            <w:instrText xml:space="preserve"> PAGEREF _Toc332370515 \h </w:instrText>
          </w:r>
          <w:r>
            <w:rPr>
              <w:noProof/>
            </w:rPr>
          </w:r>
          <w:r>
            <w:rPr>
              <w:noProof/>
            </w:rPr>
            <w:fldChar w:fldCharType="separate"/>
          </w:r>
          <w:r w:rsidR="00427656">
            <w:rPr>
              <w:noProof/>
            </w:rPr>
            <w:t>17</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4.5</w:t>
          </w:r>
          <w:r>
            <w:rPr>
              <w:rFonts w:eastAsiaTheme="minorEastAsia" w:cstheme="minorBidi"/>
              <w:smallCaps w:val="0"/>
              <w:noProof/>
              <w:color w:val="auto"/>
              <w:sz w:val="24"/>
              <w:szCs w:val="24"/>
              <w:lang w:val="en-US" w:eastAsia="ja-JP"/>
            </w:rPr>
            <w:tab/>
          </w:r>
          <w:r>
            <w:rPr>
              <w:noProof/>
            </w:rPr>
            <w:t>Justification for continued support</w:t>
          </w:r>
          <w:r>
            <w:rPr>
              <w:noProof/>
            </w:rPr>
            <w:tab/>
          </w:r>
          <w:r>
            <w:rPr>
              <w:noProof/>
            </w:rPr>
            <w:fldChar w:fldCharType="begin"/>
          </w:r>
          <w:r>
            <w:rPr>
              <w:noProof/>
            </w:rPr>
            <w:instrText xml:space="preserve"> PAGEREF _Toc332370516 \h </w:instrText>
          </w:r>
          <w:r>
            <w:rPr>
              <w:noProof/>
            </w:rPr>
          </w:r>
          <w:r>
            <w:rPr>
              <w:noProof/>
            </w:rPr>
            <w:fldChar w:fldCharType="separate"/>
          </w:r>
          <w:r w:rsidR="00427656">
            <w:rPr>
              <w:noProof/>
            </w:rPr>
            <w:t>18</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5</w:t>
          </w:r>
          <w:r>
            <w:rPr>
              <w:rFonts w:eastAsiaTheme="minorEastAsia" w:cstheme="minorBidi"/>
              <w:b w:val="0"/>
              <w:caps w:val="0"/>
              <w:noProof/>
              <w:color w:val="auto"/>
              <w:sz w:val="24"/>
              <w:szCs w:val="24"/>
              <w:lang w:val="en-US" w:eastAsia="ja-JP"/>
            </w:rPr>
            <w:tab/>
          </w:r>
          <w:r>
            <w:rPr>
              <w:noProof/>
            </w:rPr>
            <w:t>Summary of Thematic Programmes</w:t>
          </w:r>
          <w:r>
            <w:rPr>
              <w:noProof/>
            </w:rPr>
            <w:tab/>
          </w:r>
          <w:r>
            <w:rPr>
              <w:noProof/>
            </w:rPr>
            <w:fldChar w:fldCharType="begin"/>
          </w:r>
          <w:r>
            <w:rPr>
              <w:noProof/>
            </w:rPr>
            <w:instrText xml:space="preserve"> PAGEREF _Toc332370517 \h </w:instrText>
          </w:r>
          <w:r>
            <w:rPr>
              <w:noProof/>
            </w:rPr>
          </w:r>
          <w:r>
            <w:rPr>
              <w:noProof/>
            </w:rPr>
            <w:fldChar w:fldCharType="separate"/>
          </w:r>
          <w:r w:rsidR="00427656">
            <w:rPr>
              <w:noProof/>
            </w:rPr>
            <w:t>20</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5.1</w:t>
          </w:r>
          <w:r>
            <w:rPr>
              <w:rFonts w:eastAsiaTheme="minorEastAsia" w:cstheme="minorBidi"/>
              <w:smallCaps w:val="0"/>
              <w:noProof/>
              <w:color w:val="auto"/>
              <w:sz w:val="24"/>
              <w:szCs w:val="24"/>
              <w:lang w:val="en-US" w:eastAsia="ja-JP"/>
            </w:rPr>
            <w:tab/>
          </w:r>
          <w:r>
            <w:rPr>
              <w:noProof/>
            </w:rPr>
            <w:t>TP1: Political Dialogue and Peacebuilding</w:t>
          </w:r>
          <w:r>
            <w:rPr>
              <w:noProof/>
            </w:rPr>
            <w:tab/>
          </w:r>
          <w:r>
            <w:rPr>
              <w:noProof/>
            </w:rPr>
            <w:fldChar w:fldCharType="begin"/>
          </w:r>
          <w:r>
            <w:rPr>
              <w:noProof/>
            </w:rPr>
            <w:instrText xml:space="preserve"> PAGEREF _Toc332370518 \h </w:instrText>
          </w:r>
          <w:r>
            <w:rPr>
              <w:noProof/>
            </w:rPr>
          </w:r>
          <w:r>
            <w:rPr>
              <w:noProof/>
            </w:rPr>
            <w:fldChar w:fldCharType="separate"/>
          </w:r>
          <w:r w:rsidR="00427656">
            <w:rPr>
              <w:noProof/>
            </w:rPr>
            <w:t>20</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5.2</w:t>
          </w:r>
          <w:r>
            <w:rPr>
              <w:rFonts w:eastAsiaTheme="minorEastAsia" w:cstheme="minorBidi"/>
              <w:smallCaps w:val="0"/>
              <w:noProof/>
              <w:color w:val="auto"/>
              <w:sz w:val="24"/>
              <w:szCs w:val="24"/>
              <w:lang w:val="en-US" w:eastAsia="ja-JP"/>
            </w:rPr>
            <w:tab/>
          </w:r>
          <w:r>
            <w:rPr>
              <w:noProof/>
            </w:rPr>
            <w:t>TP2: Resilience and Rapid Response</w:t>
          </w:r>
          <w:r>
            <w:rPr>
              <w:noProof/>
            </w:rPr>
            <w:tab/>
          </w:r>
          <w:r>
            <w:rPr>
              <w:noProof/>
            </w:rPr>
            <w:fldChar w:fldCharType="begin"/>
          </w:r>
          <w:r>
            <w:rPr>
              <w:noProof/>
            </w:rPr>
            <w:instrText xml:space="preserve"> PAGEREF _Toc332370519 \h </w:instrText>
          </w:r>
          <w:r>
            <w:rPr>
              <w:noProof/>
            </w:rPr>
          </w:r>
          <w:r>
            <w:rPr>
              <w:noProof/>
            </w:rPr>
            <w:fldChar w:fldCharType="separate"/>
          </w:r>
          <w:r w:rsidR="00427656">
            <w:rPr>
              <w:noProof/>
            </w:rPr>
            <w:t>23</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5.3</w:t>
          </w:r>
          <w:r>
            <w:rPr>
              <w:rFonts w:eastAsiaTheme="minorEastAsia" w:cstheme="minorBidi"/>
              <w:smallCaps w:val="0"/>
              <w:noProof/>
              <w:color w:val="auto"/>
              <w:sz w:val="24"/>
              <w:szCs w:val="24"/>
              <w:lang w:val="en-US" w:eastAsia="ja-JP"/>
            </w:rPr>
            <w:tab/>
          </w:r>
          <w:r>
            <w:rPr>
              <w:noProof/>
            </w:rPr>
            <w:t>TP3: Community Security and Governance</w:t>
          </w:r>
          <w:r>
            <w:rPr>
              <w:noProof/>
            </w:rPr>
            <w:tab/>
          </w:r>
          <w:r>
            <w:rPr>
              <w:noProof/>
            </w:rPr>
            <w:fldChar w:fldCharType="begin"/>
          </w:r>
          <w:r>
            <w:rPr>
              <w:noProof/>
            </w:rPr>
            <w:instrText xml:space="preserve"> PAGEREF _Toc332370520 \h </w:instrText>
          </w:r>
          <w:r>
            <w:rPr>
              <w:noProof/>
            </w:rPr>
          </w:r>
          <w:r>
            <w:rPr>
              <w:noProof/>
            </w:rPr>
            <w:fldChar w:fldCharType="separate"/>
          </w:r>
          <w:r w:rsidR="00427656">
            <w:rPr>
              <w:noProof/>
            </w:rPr>
            <w:t>28</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6</w:t>
          </w:r>
          <w:r>
            <w:rPr>
              <w:rFonts w:eastAsiaTheme="minorEastAsia" w:cstheme="minorBidi"/>
              <w:b w:val="0"/>
              <w:caps w:val="0"/>
              <w:noProof/>
              <w:color w:val="auto"/>
              <w:sz w:val="24"/>
              <w:szCs w:val="24"/>
              <w:lang w:val="en-US" w:eastAsia="ja-JP"/>
            </w:rPr>
            <w:tab/>
          </w:r>
          <w:r>
            <w:rPr>
              <w:noProof/>
            </w:rPr>
            <w:t>Overview of management set up</w:t>
          </w:r>
          <w:r>
            <w:rPr>
              <w:noProof/>
            </w:rPr>
            <w:tab/>
          </w:r>
          <w:r>
            <w:rPr>
              <w:noProof/>
            </w:rPr>
            <w:fldChar w:fldCharType="begin"/>
          </w:r>
          <w:r>
            <w:rPr>
              <w:noProof/>
            </w:rPr>
            <w:instrText xml:space="preserve"> PAGEREF _Toc332370521 \h </w:instrText>
          </w:r>
          <w:r>
            <w:rPr>
              <w:noProof/>
            </w:rPr>
          </w:r>
          <w:r>
            <w:rPr>
              <w:noProof/>
            </w:rPr>
            <w:fldChar w:fldCharType="separate"/>
          </w:r>
          <w:r w:rsidR="00427656">
            <w:rPr>
              <w:noProof/>
            </w:rPr>
            <w:t>32</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6.1</w:t>
          </w:r>
          <w:r>
            <w:rPr>
              <w:rFonts w:eastAsiaTheme="minorEastAsia" w:cstheme="minorBidi"/>
              <w:smallCaps w:val="0"/>
              <w:noProof/>
              <w:color w:val="auto"/>
              <w:sz w:val="24"/>
              <w:szCs w:val="24"/>
              <w:lang w:val="en-US" w:eastAsia="ja-JP"/>
            </w:rPr>
            <w:tab/>
          </w:r>
          <w:r>
            <w:rPr>
              <w:noProof/>
            </w:rPr>
            <w:t>Programme oversight</w:t>
          </w:r>
          <w:r>
            <w:rPr>
              <w:noProof/>
            </w:rPr>
            <w:tab/>
          </w:r>
          <w:r>
            <w:rPr>
              <w:noProof/>
            </w:rPr>
            <w:fldChar w:fldCharType="begin"/>
          </w:r>
          <w:r>
            <w:rPr>
              <w:noProof/>
            </w:rPr>
            <w:instrText xml:space="preserve"> PAGEREF _Toc332370522 \h </w:instrText>
          </w:r>
          <w:r>
            <w:rPr>
              <w:noProof/>
            </w:rPr>
          </w:r>
          <w:r>
            <w:rPr>
              <w:noProof/>
            </w:rPr>
            <w:fldChar w:fldCharType="separate"/>
          </w:r>
          <w:r w:rsidR="00427656">
            <w:rPr>
              <w:noProof/>
            </w:rPr>
            <w:t>32</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6.2</w:t>
          </w:r>
          <w:r>
            <w:rPr>
              <w:rFonts w:eastAsiaTheme="minorEastAsia" w:cstheme="minorBidi"/>
              <w:smallCaps w:val="0"/>
              <w:noProof/>
              <w:color w:val="auto"/>
              <w:sz w:val="24"/>
              <w:szCs w:val="24"/>
              <w:lang w:val="en-US" w:eastAsia="ja-JP"/>
            </w:rPr>
            <w:tab/>
          </w:r>
          <w:r>
            <w:rPr>
              <w:noProof/>
            </w:rPr>
            <w:t>Implementation arrangements</w:t>
          </w:r>
          <w:r>
            <w:rPr>
              <w:noProof/>
            </w:rPr>
            <w:tab/>
          </w:r>
          <w:r>
            <w:rPr>
              <w:noProof/>
            </w:rPr>
            <w:fldChar w:fldCharType="begin"/>
          </w:r>
          <w:r>
            <w:rPr>
              <w:noProof/>
            </w:rPr>
            <w:instrText xml:space="preserve"> PAGEREF _Toc332370523 \h </w:instrText>
          </w:r>
          <w:r>
            <w:rPr>
              <w:noProof/>
            </w:rPr>
          </w:r>
          <w:r>
            <w:rPr>
              <w:noProof/>
            </w:rPr>
            <w:fldChar w:fldCharType="separate"/>
          </w:r>
          <w:r w:rsidR="00427656">
            <w:rPr>
              <w:noProof/>
            </w:rPr>
            <w:t>33</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6.3</w:t>
          </w:r>
          <w:r>
            <w:rPr>
              <w:rFonts w:eastAsiaTheme="minorEastAsia" w:cstheme="minorBidi"/>
              <w:smallCaps w:val="0"/>
              <w:noProof/>
              <w:color w:val="auto"/>
              <w:sz w:val="24"/>
              <w:szCs w:val="24"/>
              <w:lang w:val="en-US" w:eastAsia="ja-JP"/>
            </w:rPr>
            <w:tab/>
          </w:r>
          <w:r>
            <w:rPr>
              <w:noProof/>
            </w:rPr>
            <w:t>Monitoring mechanisms</w:t>
          </w:r>
          <w:r>
            <w:rPr>
              <w:noProof/>
            </w:rPr>
            <w:tab/>
          </w:r>
          <w:r>
            <w:rPr>
              <w:noProof/>
            </w:rPr>
            <w:fldChar w:fldCharType="begin"/>
          </w:r>
          <w:r>
            <w:rPr>
              <w:noProof/>
            </w:rPr>
            <w:instrText xml:space="preserve"> PAGEREF _Toc332370524 \h </w:instrText>
          </w:r>
          <w:r>
            <w:rPr>
              <w:noProof/>
            </w:rPr>
          </w:r>
          <w:r>
            <w:rPr>
              <w:noProof/>
            </w:rPr>
            <w:fldChar w:fldCharType="separate"/>
          </w:r>
          <w:r w:rsidR="00427656">
            <w:rPr>
              <w:noProof/>
            </w:rPr>
            <w:t>34</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7</w:t>
          </w:r>
          <w:r>
            <w:rPr>
              <w:rFonts w:eastAsiaTheme="minorEastAsia" w:cstheme="minorBidi"/>
              <w:b w:val="0"/>
              <w:caps w:val="0"/>
              <w:noProof/>
              <w:color w:val="auto"/>
              <w:sz w:val="24"/>
              <w:szCs w:val="24"/>
              <w:lang w:val="en-US" w:eastAsia="ja-JP"/>
            </w:rPr>
            <w:tab/>
          </w:r>
          <w:r>
            <w:rPr>
              <w:noProof/>
            </w:rPr>
            <w:t>Budget</w:t>
          </w:r>
          <w:r>
            <w:rPr>
              <w:noProof/>
            </w:rPr>
            <w:tab/>
          </w:r>
          <w:r>
            <w:rPr>
              <w:noProof/>
            </w:rPr>
            <w:fldChar w:fldCharType="begin"/>
          </w:r>
          <w:r>
            <w:rPr>
              <w:noProof/>
            </w:rPr>
            <w:instrText xml:space="preserve"> PAGEREF _Toc332370525 \h </w:instrText>
          </w:r>
          <w:r>
            <w:rPr>
              <w:noProof/>
            </w:rPr>
          </w:r>
          <w:r>
            <w:rPr>
              <w:noProof/>
            </w:rPr>
            <w:fldChar w:fldCharType="separate"/>
          </w:r>
          <w:r w:rsidR="00427656">
            <w:rPr>
              <w:noProof/>
            </w:rPr>
            <w:t>35</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8</w:t>
          </w:r>
          <w:r>
            <w:rPr>
              <w:rFonts w:eastAsiaTheme="minorEastAsia" w:cstheme="minorBidi"/>
              <w:b w:val="0"/>
              <w:caps w:val="0"/>
              <w:noProof/>
              <w:color w:val="auto"/>
              <w:sz w:val="24"/>
              <w:szCs w:val="24"/>
              <w:lang w:val="en-US" w:eastAsia="ja-JP"/>
            </w:rPr>
            <w:tab/>
          </w:r>
          <w:r>
            <w:rPr>
              <w:noProof/>
            </w:rPr>
            <w:t>Risks and risk mitigation</w:t>
          </w:r>
          <w:r>
            <w:rPr>
              <w:noProof/>
            </w:rPr>
            <w:tab/>
          </w:r>
          <w:r>
            <w:rPr>
              <w:noProof/>
            </w:rPr>
            <w:fldChar w:fldCharType="begin"/>
          </w:r>
          <w:r>
            <w:rPr>
              <w:noProof/>
            </w:rPr>
            <w:instrText xml:space="preserve"> PAGEREF _Toc332370526 \h </w:instrText>
          </w:r>
          <w:r>
            <w:rPr>
              <w:noProof/>
            </w:rPr>
          </w:r>
          <w:r>
            <w:rPr>
              <w:noProof/>
            </w:rPr>
            <w:fldChar w:fldCharType="separate"/>
          </w:r>
          <w:r w:rsidR="00427656">
            <w:rPr>
              <w:noProof/>
            </w:rPr>
            <w:t>36</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8.1</w:t>
          </w:r>
          <w:r>
            <w:rPr>
              <w:rFonts w:eastAsiaTheme="minorEastAsia" w:cstheme="minorBidi"/>
              <w:smallCaps w:val="0"/>
              <w:noProof/>
              <w:color w:val="auto"/>
              <w:sz w:val="24"/>
              <w:szCs w:val="24"/>
              <w:lang w:val="en-US" w:eastAsia="ja-JP"/>
            </w:rPr>
            <w:tab/>
          </w:r>
          <w:r>
            <w:rPr>
              <w:noProof/>
            </w:rPr>
            <w:t>Risk management methodology</w:t>
          </w:r>
          <w:r>
            <w:rPr>
              <w:noProof/>
            </w:rPr>
            <w:tab/>
          </w:r>
          <w:r>
            <w:rPr>
              <w:noProof/>
            </w:rPr>
            <w:fldChar w:fldCharType="begin"/>
          </w:r>
          <w:r>
            <w:rPr>
              <w:noProof/>
            </w:rPr>
            <w:instrText xml:space="preserve"> PAGEREF _Toc332370527 \h </w:instrText>
          </w:r>
          <w:r>
            <w:rPr>
              <w:noProof/>
            </w:rPr>
          </w:r>
          <w:r>
            <w:rPr>
              <w:noProof/>
            </w:rPr>
            <w:fldChar w:fldCharType="separate"/>
          </w:r>
          <w:r w:rsidR="00427656">
            <w:rPr>
              <w:noProof/>
            </w:rPr>
            <w:t>36</w:t>
          </w:r>
          <w:r>
            <w:rPr>
              <w:noProof/>
            </w:rPr>
            <w:fldChar w:fldCharType="end"/>
          </w:r>
        </w:p>
        <w:p w:rsidR="00A8731B" w:rsidRDefault="00A8731B">
          <w:pPr>
            <w:pStyle w:val="Indholdsfortegnelse2"/>
            <w:tabs>
              <w:tab w:val="left" w:pos="789"/>
              <w:tab w:val="right" w:leader="dot" w:pos="9622"/>
            </w:tabs>
            <w:rPr>
              <w:rFonts w:eastAsiaTheme="minorEastAsia" w:cstheme="minorBidi"/>
              <w:smallCaps w:val="0"/>
              <w:noProof/>
              <w:color w:val="auto"/>
              <w:sz w:val="24"/>
              <w:szCs w:val="24"/>
              <w:lang w:val="en-US" w:eastAsia="ja-JP"/>
            </w:rPr>
          </w:pPr>
          <w:r>
            <w:rPr>
              <w:noProof/>
            </w:rPr>
            <w:t>8.2</w:t>
          </w:r>
          <w:r>
            <w:rPr>
              <w:rFonts w:eastAsiaTheme="minorEastAsia" w:cstheme="minorBidi"/>
              <w:smallCaps w:val="0"/>
              <w:noProof/>
              <w:color w:val="auto"/>
              <w:sz w:val="24"/>
              <w:szCs w:val="24"/>
              <w:lang w:val="en-US" w:eastAsia="ja-JP"/>
            </w:rPr>
            <w:tab/>
          </w:r>
          <w:r>
            <w:rPr>
              <w:noProof/>
            </w:rPr>
            <w:t>Programme sustainability, adaptability, and exit</w:t>
          </w:r>
          <w:r>
            <w:rPr>
              <w:noProof/>
            </w:rPr>
            <w:tab/>
          </w:r>
          <w:r>
            <w:rPr>
              <w:noProof/>
            </w:rPr>
            <w:fldChar w:fldCharType="begin"/>
          </w:r>
          <w:r>
            <w:rPr>
              <w:noProof/>
            </w:rPr>
            <w:instrText xml:space="preserve"> PAGEREF _Toc332370528 \h </w:instrText>
          </w:r>
          <w:r>
            <w:rPr>
              <w:noProof/>
            </w:rPr>
          </w:r>
          <w:r>
            <w:rPr>
              <w:noProof/>
            </w:rPr>
            <w:fldChar w:fldCharType="separate"/>
          </w:r>
          <w:r w:rsidR="00427656">
            <w:rPr>
              <w:noProof/>
            </w:rPr>
            <w:t>36</w:t>
          </w:r>
          <w:r>
            <w:rPr>
              <w:noProof/>
            </w:rPr>
            <w:fldChar w:fldCharType="end"/>
          </w:r>
        </w:p>
        <w:p w:rsidR="00A8731B" w:rsidRDefault="00A8731B">
          <w:pPr>
            <w:pStyle w:val="Indholdsfortegnelse1"/>
            <w:rPr>
              <w:rFonts w:eastAsiaTheme="minorEastAsia" w:cstheme="minorBidi"/>
              <w:b w:val="0"/>
              <w:caps w:val="0"/>
              <w:noProof/>
              <w:color w:val="auto"/>
              <w:sz w:val="24"/>
              <w:szCs w:val="24"/>
              <w:lang w:val="en-US" w:eastAsia="ja-JP"/>
            </w:rPr>
          </w:pPr>
          <w:r>
            <w:rPr>
              <w:noProof/>
            </w:rPr>
            <w:t>Annex A – Denmark’s contribution to Syria and Iraq</w:t>
          </w:r>
          <w:r>
            <w:rPr>
              <w:noProof/>
            </w:rPr>
            <w:tab/>
          </w:r>
          <w:r>
            <w:rPr>
              <w:noProof/>
            </w:rPr>
            <w:fldChar w:fldCharType="begin"/>
          </w:r>
          <w:r>
            <w:rPr>
              <w:noProof/>
            </w:rPr>
            <w:instrText xml:space="preserve"> PAGEREF _Toc332370529 \h </w:instrText>
          </w:r>
          <w:r>
            <w:rPr>
              <w:noProof/>
            </w:rPr>
          </w:r>
          <w:r>
            <w:rPr>
              <w:noProof/>
            </w:rPr>
            <w:fldChar w:fldCharType="separate"/>
          </w:r>
          <w:r w:rsidR="00427656">
            <w:rPr>
              <w:noProof/>
            </w:rPr>
            <w:t>40</w:t>
          </w:r>
          <w:r>
            <w:rPr>
              <w:noProof/>
            </w:rPr>
            <w:fldChar w:fldCharType="end"/>
          </w:r>
        </w:p>
        <w:p w:rsidR="00FE52E5" w:rsidRPr="00816FC2" w:rsidRDefault="00963E7E" w:rsidP="0080400C">
          <w:r w:rsidRPr="00816FC2">
            <w:rPr>
              <w:rFonts w:asciiTheme="minorHAnsi" w:hAnsiTheme="minorHAnsi"/>
              <w:b/>
              <w:caps/>
              <w:sz w:val="22"/>
              <w:szCs w:val="22"/>
            </w:rPr>
            <w:fldChar w:fldCharType="end"/>
          </w:r>
        </w:p>
      </w:sdtContent>
    </w:sdt>
    <w:p w:rsidR="00615AC9" w:rsidRPr="00816FC2" w:rsidRDefault="00615AC9" w:rsidP="0080400C"/>
    <w:p w:rsidR="00615AC9" w:rsidRPr="00816FC2" w:rsidRDefault="00615AC9" w:rsidP="0080400C"/>
    <w:p w:rsidR="0042632A" w:rsidRPr="00816FC2" w:rsidRDefault="0042632A" w:rsidP="0080400C"/>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C44091" w:rsidRPr="00816FC2" w:rsidRDefault="00C44091" w:rsidP="00C44091">
      <w:pPr>
        <w:rPr>
          <w:b/>
          <w:color w:val="auto"/>
          <w:sz w:val="28"/>
          <w:szCs w:val="28"/>
        </w:rPr>
      </w:pPr>
    </w:p>
    <w:p w:rsidR="00E823D8" w:rsidRPr="00816FC2" w:rsidRDefault="00E823D8" w:rsidP="00C44091">
      <w:pPr>
        <w:rPr>
          <w:b/>
          <w:color w:val="auto"/>
          <w:sz w:val="28"/>
          <w:szCs w:val="28"/>
        </w:rPr>
      </w:pPr>
    </w:p>
    <w:p w:rsidR="00E823D8" w:rsidRPr="00816FC2" w:rsidRDefault="00E823D8" w:rsidP="00C44091">
      <w:pPr>
        <w:rPr>
          <w:b/>
          <w:color w:val="auto"/>
          <w:sz w:val="28"/>
          <w:szCs w:val="28"/>
        </w:rPr>
      </w:pPr>
    </w:p>
    <w:p w:rsidR="0078244A" w:rsidRPr="00816FC2" w:rsidRDefault="0078244A" w:rsidP="00C44091">
      <w:pPr>
        <w:rPr>
          <w:b/>
          <w:color w:val="auto"/>
          <w:sz w:val="28"/>
          <w:szCs w:val="28"/>
        </w:rPr>
      </w:pPr>
      <w:r w:rsidRPr="00816FC2">
        <w:rPr>
          <w:b/>
          <w:color w:val="auto"/>
          <w:sz w:val="28"/>
          <w:szCs w:val="28"/>
        </w:rPr>
        <w:t>Abbreviations</w:t>
      </w:r>
    </w:p>
    <w:p w:rsidR="0078244A" w:rsidRPr="00816FC2" w:rsidRDefault="0078244A" w:rsidP="0080400C"/>
    <w:p w:rsidR="00AA5017" w:rsidRPr="00816FC2" w:rsidRDefault="00AA5017" w:rsidP="0080400C">
      <w:r w:rsidRPr="00816FC2">
        <w:t>ACU</w:t>
      </w:r>
      <w:r w:rsidRPr="00816FC2">
        <w:tab/>
        <w:t>Assistance Coordination Unit</w:t>
      </w:r>
    </w:p>
    <w:p w:rsidR="002F760F" w:rsidRPr="00816FC2" w:rsidRDefault="002F760F" w:rsidP="0080400C">
      <w:r w:rsidRPr="00816FC2">
        <w:t>AJACS</w:t>
      </w:r>
      <w:r w:rsidRPr="00816FC2">
        <w:tab/>
        <w:t>Access to Justice and Community Security</w:t>
      </w:r>
    </w:p>
    <w:p w:rsidR="00720A03" w:rsidRPr="00816FC2" w:rsidRDefault="002F1168" w:rsidP="0080400C">
      <w:r w:rsidRPr="00816FC2">
        <w:t>ASI</w:t>
      </w:r>
      <w:r w:rsidRPr="00816FC2">
        <w:tab/>
        <w:t>Adam Smith International</w:t>
      </w:r>
      <w:r w:rsidR="00421A47" w:rsidRPr="00816FC2">
        <w:t xml:space="preserve"> </w:t>
      </w:r>
    </w:p>
    <w:p w:rsidR="00AA5017" w:rsidRPr="00816FC2" w:rsidRDefault="00AA5017" w:rsidP="0080400C">
      <w:r w:rsidRPr="00816FC2">
        <w:t>CSO</w:t>
      </w:r>
      <w:r w:rsidRPr="00816FC2">
        <w:tab/>
        <w:t>Civil Society Organisation</w:t>
      </w:r>
    </w:p>
    <w:p w:rsidR="002D214F" w:rsidRPr="00816FC2" w:rsidRDefault="002D214F" w:rsidP="0080400C">
      <w:r w:rsidRPr="00816FC2">
        <w:t>DAC</w:t>
      </w:r>
      <w:r w:rsidRPr="00816FC2">
        <w:tab/>
        <w:t>Development Assistance Committee (of the OECD)</w:t>
      </w:r>
    </w:p>
    <w:p w:rsidR="002D214F" w:rsidRPr="00816FC2" w:rsidRDefault="002D214F" w:rsidP="0080400C">
      <w:r w:rsidRPr="00816FC2">
        <w:t>DAPP</w:t>
      </w:r>
      <w:r w:rsidRPr="00816FC2">
        <w:tab/>
        <w:t>Danish Arab Partnership Programme</w:t>
      </w:r>
    </w:p>
    <w:p w:rsidR="00AC1714" w:rsidRPr="00816FC2" w:rsidRDefault="00AC1714" w:rsidP="0080400C">
      <w:r w:rsidRPr="00816FC2">
        <w:t>FFIS</w:t>
      </w:r>
      <w:r w:rsidRPr="00816FC2">
        <w:tab/>
        <w:t>Funding Facility for Immediate Stabilisation</w:t>
      </w:r>
    </w:p>
    <w:p w:rsidR="00AA5017" w:rsidRPr="00816FC2" w:rsidRDefault="00AA5017" w:rsidP="0080400C">
      <w:r w:rsidRPr="00816FC2">
        <w:t>FSA</w:t>
      </w:r>
      <w:r w:rsidRPr="00816FC2">
        <w:tab/>
        <w:t>Free Syrian Army</w:t>
      </w:r>
    </w:p>
    <w:p w:rsidR="00BB211B" w:rsidRPr="00816FC2" w:rsidRDefault="00BB211B" w:rsidP="0080400C">
      <w:r w:rsidRPr="00816FC2">
        <w:t>FSP</w:t>
      </w:r>
      <w:r w:rsidRPr="00816FC2">
        <w:tab/>
        <w:t>Free Syria Police</w:t>
      </w:r>
    </w:p>
    <w:p w:rsidR="00AA5017" w:rsidRPr="00816FC2" w:rsidRDefault="00AA5017" w:rsidP="0080400C">
      <w:r w:rsidRPr="00816FC2">
        <w:t>GIZ</w:t>
      </w:r>
      <w:r w:rsidRPr="00816FC2">
        <w:tab/>
        <w:t xml:space="preserve">Gesellschaft für Internationale Zusammenarbeit </w:t>
      </w:r>
    </w:p>
    <w:p w:rsidR="00AA5017" w:rsidRPr="00816FC2" w:rsidRDefault="00421A47" w:rsidP="0080400C">
      <w:r w:rsidRPr="00816FC2">
        <w:t>S</w:t>
      </w:r>
      <w:r w:rsidR="00AA5017" w:rsidRPr="00816FC2">
        <w:t>IG</w:t>
      </w:r>
      <w:r w:rsidR="00AA5017" w:rsidRPr="00816FC2">
        <w:tab/>
      </w:r>
      <w:r w:rsidRPr="00816FC2">
        <w:t xml:space="preserve">Syrian </w:t>
      </w:r>
      <w:r w:rsidR="00894301" w:rsidRPr="00816FC2">
        <w:t>Interim Government</w:t>
      </w:r>
    </w:p>
    <w:p w:rsidR="00AA5017" w:rsidRPr="00816FC2" w:rsidRDefault="00AA5017" w:rsidP="0080400C">
      <w:r w:rsidRPr="00816FC2">
        <w:t>ISIL</w:t>
      </w:r>
      <w:r w:rsidRPr="00816FC2">
        <w:tab/>
        <w:t>I</w:t>
      </w:r>
      <w:r w:rsidR="00276709" w:rsidRPr="00816FC2">
        <w:t>slamic State of Iraq and</w:t>
      </w:r>
      <w:r w:rsidRPr="00816FC2">
        <w:t xml:space="preserve"> the Levant</w:t>
      </w:r>
      <w:r w:rsidR="00276709" w:rsidRPr="00816FC2">
        <w:rPr>
          <w:rStyle w:val="Fodnotehenvisning"/>
        </w:rPr>
        <w:footnoteReference w:id="1"/>
      </w:r>
    </w:p>
    <w:p w:rsidR="00AA5017" w:rsidRPr="00816FC2" w:rsidRDefault="00AA5017" w:rsidP="0080400C">
      <w:r w:rsidRPr="00816FC2">
        <w:t>JAN</w:t>
      </w:r>
      <w:r w:rsidRPr="00816FC2">
        <w:tab/>
        <w:t>Jabhat al-Nusra</w:t>
      </w:r>
    </w:p>
    <w:p w:rsidR="0071053C" w:rsidRPr="00816FC2" w:rsidRDefault="0071053C" w:rsidP="0080400C">
      <w:r w:rsidRPr="00816FC2">
        <w:t>M&amp;E</w:t>
      </w:r>
      <w:r w:rsidRPr="00816FC2">
        <w:tab/>
        <w:t>Monitoring and Evaluation</w:t>
      </w:r>
    </w:p>
    <w:p w:rsidR="00FC6145" w:rsidRPr="00816FC2" w:rsidRDefault="00DC00A4" w:rsidP="0080400C">
      <w:r w:rsidRPr="00816FC2">
        <w:t>MTR</w:t>
      </w:r>
      <w:r w:rsidRPr="00816FC2">
        <w:tab/>
        <w:t xml:space="preserve">Mid-Term Review </w:t>
      </w:r>
    </w:p>
    <w:p w:rsidR="002D214F" w:rsidRPr="00816FC2" w:rsidRDefault="002D214F" w:rsidP="0080400C">
      <w:r w:rsidRPr="00816FC2">
        <w:t>OECD</w:t>
      </w:r>
      <w:r w:rsidRPr="00816FC2">
        <w:tab/>
        <w:t>Organisation for Economic Cooperation and Development</w:t>
      </w:r>
    </w:p>
    <w:p w:rsidR="002D214F" w:rsidRPr="00816FC2" w:rsidRDefault="002D214F" w:rsidP="0080400C">
      <w:r w:rsidRPr="00816FC2">
        <w:t>PSF</w:t>
      </w:r>
      <w:r w:rsidRPr="00816FC2">
        <w:tab/>
        <w:t>Peace and Stabilisation Fund</w:t>
      </w:r>
    </w:p>
    <w:p w:rsidR="00C661B3" w:rsidRPr="00816FC2" w:rsidRDefault="00C661B3" w:rsidP="0080400C">
      <w:r w:rsidRPr="00816FC2">
        <w:t>SfCG</w:t>
      </w:r>
      <w:r w:rsidRPr="00816FC2">
        <w:tab/>
        <w:t>Sea</w:t>
      </w:r>
      <w:r w:rsidR="00421A47" w:rsidRPr="00816FC2">
        <w:t>r</w:t>
      </w:r>
      <w:r w:rsidRPr="00816FC2">
        <w:t>ch for Common Ground</w:t>
      </w:r>
    </w:p>
    <w:p w:rsidR="00AA5017" w:rsidRPr="00816FC2" w:rsidRDefault="00AA5017" w:rsidP="0080400C">
      <w:r w:rsidRPr="00816FC2">
        <w:t>SOC</w:t>
      </w:r>
      <w:r w:rsidRPr="00816FC2">
        <w:tab/>
      </w:r>
      <w:r w:rsidR="00276709" w:rsidRPr="00816FC2">
        <w:t>Syrian Opposition Coalition</w:t>
      </w:r>
      <w:r w:rsidR="00276709" w:rsidRPr="00816FC2">
        <w:rPr>
          <w:rStyle w:val="Fodnotehenvisning"/>
        </w:rPr>
        <w:footnoteReference w:id="2"/>
      </w:r>
      <w:r w:rsidRPr="00816FC2">
        <w:t xml:space="preserve"> </w:t>
      </w:r>
    </w:p>
    <w:p w:rsidR="00AA5017" w:rsidRPr="00816FC2" w:rsidRDefault="00AA5017" w:rsidP="0080400C">
      <w:r w:rsidRPr="00816FC2">
        <w:t>SRTF</w:t>
      </w:r>
      <w:r w:rsidRPr="00816FC2">
        <w:tab/>
        <w:t>Syria Recovery Trust Fund</w:t>
      </w:r>
    </w:p>
    <w:p w:rsidR="00AA5017" w:rsidRPr="00816FC2" w:rsidRDefault="00AA5017" w:rsidP="0080400C">
      <w:r w:rsidRPr="00816FC2">
        <w:t>SSR</w:t>
      </w:r>
      <w:r w:rsidRPr="00816FC2">
        <w:tab/>
        <w:t>Security Sector Reform</w:t>
      </w:r>
    </w:p>
    <w:p w:rsidR="00AA5017" w:rsidRPr="00816FC2" w:rsidRDefault="00DC00A4" w:rsidP="0080400C">
      <w:r w:rsidRPr="00816FC2">
        <w:t>TDA</w:t>
      </w:r>
      <w:r w:rsidRPr="00816FC2">
        <w:tab/>
        <w:t xml:space="preserve">The Day After </w:t>
      </w:r>
    </w:p>
    <w:p w:rsidR="009D0A63" w:rsidRPr="00816FC2" w:rsidRDefault="00AA5017" w:rsidP="0080400C">
      <w:r w:rsidRPr="00816FC2">
        <w:t>UN</w:t>
      </w:r>
      <w:r w:rsidRPr="00816FC2">
        <w:tab/>
        <w:t>United Nations</w:t>
      </w:r>
    </w:p>
    <w:p w:rsidR="001A1E58" w:rsidRPr="00816FC2" w:rsidRDefault="001A1E58" w:rsidP="009D0A63"/>
    <w:p w:rsidR="001A1E58" w:rsidRPr="00816FC2" w:rsidRDefault="001A1E58" w:rsidP="001A1E58"/>
    <w:p w:rsidR="001E38E3" w:rsidRPr="00816FC2" w:rsidRDefault="001E38E3" w:rsidP="001A1E58">
      <w:pPr>
        <w:sectPr w:rsidR="001E38E3" w:rsidRPr="00816FC2" w:rsidSect="001E38E3">
          <w:footerReference w:type="even" r:id="rId9"/>
          <w:footerReference w:type="default" r:id="rId10"/>
          <w:footerReference w:type="first" r:id="rId11"/>
          <w:type w:val="continuous"/>
          <w:pgSz w:w="11900" w:h="16840"/>
          <w:pgMar w:top="1276" w:right="1134" w:bottom="992" w:left="1134" w:header="709" w:footer="709" w:gutter="0"/>
          <w:pgNumType w:fmt="lowerRoman" w:start="1"/>
          <w:cols w:space="708"/>
          <w:titlePg/>
          <w:docGrid w:linePitch="360"/>
        </w:sectPr>
      </w:pPr>
    </w:p>
    <w:p w:rsidR="005E17D1" w:rsidRPr="00816FC2" w:rsidRDefault="001A1E58" w:rsidP="007B2E4E">
      <w:pPr>
        <w:pStyle w:val="Overskrift1"/>
      </w:pPr>
      <w:bookmarkStart w:id="1" w:name="_Toc332370501"/>
      <w:r w:rsidRPr="00816FC2">
        <w:lastRenderedPageBreak/>
        <w:t>I</w:t>
      </w:r>
      <w:r w:rsidR="005E17D1" w:rsidRPr="00816FC2">
        <w:t>ntroduction</w:t>
      </w:r>
      <w:bookmarkEnd w:id="1"/>
    </w:p>
    <w:p w:rsidR="00D93D53" w:rsidRPr="00816FC2" w:rsidRDefault="002728F9" w:rsidP="00603E63">
      <w:r w:rsidRPr="00816FC2">
        <w:t xml:space="preserve">This Programme Document </w:t>
      </w:r>
      <w:r w:rsidR="00BB6AD1" w:rsidRPr="00816FC2">
        <w:t xml:space="preserve">describes arrangements for </w:t>
      </w:r>
      <w:r w:rsidRPr="00816FC2">
        <w:t>a new three-year regional programme of civilian stabilisation support to Syria and Iraq with an overall funding envelope of approx</w:t>
      </w:r>
      <w:r w:rsidR="00BB6AD1" w:rsidRPr="00816FC2">
        <w:t>imately</w:t>
      </w:r>
      <w:r w:rsidRPr="00816FC2">
        <w:t xml:space="preserve"> DKK </w:t>
      </w:r>
      <w:r w:rsidR="00284DD8" w:rsidRPr="00816FC2">
        <w:t>3</w:t>
      </w:r>
      <w:r w:rsidR="00284DD8">
        <w:t>30</w:t>
      </w:r>
      <w:r w:rsidR="00284DD8" w:rsidRPr="00816FC2">
        <w:t xml:space="preserve"> </w:t>
      </w:r>
      <w:r w:rsidRPr="00816FC2">
        <w:t>million</w:t>
      </w:r>
      <w:r w:rsidR="00720A03" w:rsidRPr="00816FC2">
        <w:t xml:space="preserve"> </w:t>
      </w:r>
      <w:r w:rsidRPr="00816FC2">
        <w:t>between 2016 and 2018</w:t>
      </w:r>
      <w:r w:rsidR="00FD0B43" w:rsidRPr="00816FC2">
        <w:t xml:space="preserve"> provided through Denmark’s Peace and Stabilisation Fund (PSF)</w:t>
      </w:r>
      <w:r w:rsidRPr="00816FC2">
        <w:t xml:space="preserve">. </w:t>
      </w:r>
      <w:r w:rsidR="00603E63">
        <w:t>Th</w:t>
      </w:r>
      <w:r w:rsidR="00CD5F62">
        <w:t xml:space="preserve">e </w:t>
      </w:r>
      <w:r w:rsidR="009D57F8" w:rsidRPr="00816FC2">
        <w:t xml:space="preserve">programme </w:t>
      </w:r>
      <w:r w:rsidR="00FA6695" w:rsidRPr="00816FC2">
        <w:t>complements and builds upon Denmark’s on</w:t>
      </w:r>
      <w:r w:rsidR="001E6615" w:rsidRPr="00816FC2">
        <w:t>-</w:t>
      </w:r>
      <w:r w:rsidR="00FA6695" w:rsidRPr="00816FC2">
        <w:t xml:space="preserve">going diplomatic, military, stabilisation and humanitarian support to the </w:t>
      </w:r>
      <w:r w:rsidR="00720A03" w:rsidRPr="00816FC2">
        <w:t>region</w:t>
      </w:r>
      <w:r w:rsidR="00190AA8" w:rsidRPr="00816FC2">
        <w:t xml:space="preserve">, and </w:t>
      </w:r>
      <w:r w:rsidR="008F1AE0" w:rsidRPr="00816FC2">
        <w:t xml:space="preserve">underscores </w:t>
      </w:r>
      <w:r w:rsidR="00D93D53" w:rsidRPr="00816FC2">
        <w:t xml:space="preserve">Denmark’s long-term commitment to </w:t>
      </w:r>
      <w:r w:rsidR="00720A03" w:rsidRPr="00816FC2">
        <w:t xml:space="preserve">countering the threat from Da’esh and </w:t>
      </w:r>
      <w:r w:rsidR="00D93D53" w:rsidRPr="00816FC2">
        <w:t xml:space="preserve">promoting stability </w:t>
      </w:r>
      <w:r w:rsidR="009B07B4" w:rsidRPr="00816FC2">
        <w:t xml:space="preserve">and human rights </w:t>
      </w:r>
      <w:r w:rsidR="00D93D53" w:rsidRPr="00816FC2">
        <w:t>in the Middle East</w:t>
      </w:r>
      <w:r w:rsidR="00E85BB7" w:rsidRPr="00816FC2">
        <w:t>.</w:t>
      </w:r>
      <w:r w:rsidR="00A60B1F">
        <w:t xml:space="preserve"> The programme’s design reflects the inputs made during the formulation process by the PSF Steering Committee and by Danida’s Programme Committee.</w:t>
      </w:r>
    </w:p>
    <w:p w:rsidR="00795E74" w:rsidRDefault="00A87A64" w:rsidP="00BC1B12">
      <w:r w:rsidRPr="00816FC2">
        <w:t xml:space="preserve">The </w:t>
      </w:r>
      <w:r w:rsidR="000F0B9C" w:rsidRPr="00816FC2">
        <w:t>p</w:t>
      </w:r>
      <w:r w:rsidRPr="00816FC2">
        <w:t xml:space="preserve">rogramme takes </w:t>
      </w:r>
      <w:r w:rsidR="00BC1B12" w:rsidRPr="00816FC2">
        <w:t xml:space="preserve">as its departing point </w:t>
      </w:r>
      <w:r w:rsidRPr="00816FC2">
        <w:t xml:space="preserve">the current context in </w:t>
      </w:r>
      <w:r w:rsidR="00BC1B12" w:rsidRPr="00816FC2">
        <w:t>Syria and Iraq</w:t>
      </w:r>
      <w:r w:rsidR="00A25837" w:rsidRPr="00816FC2">
        <w:t>, which is volatile and unpredictable</w:t>
      </w:r>
      <w:r w:rsidR="005C6C6D" w:rsidRPr="00816FC2">
        <w:t xml:space="preserve">, and is focused on </w:t>
      </w:r>
      <w:r w:rsidR="00284DD8">
        <w:t xml:space="preserve">meeting </w:t>
      </w:r>
      <w:r w:rsidR="005C6C6D" w:rsidRPr="00816FC2">
        <w:t xml:space="preserve">immediate </w:t>
      </w:r>
      <w:r w:rsidR="00B54855" w:rsidRPr="00816FC2">
        <w:t>civil stabilisation needs</w:t>
      </w:r>
      <w:r w:rsidR="00A25837" w:rsidRPr="00816FC2">
        <w:t xml:space="preserve">. </w:t>
      </w:r>
      <w:r w:rsidRPr="00816FC2">
        <w:t xml:space="preserve"> </w:t>
      </w:r>
    </w:p>
    <w:p w:rsidR="00A25837" w:rsidRPr="00816FC2" w:rsidRDefault="00FA4457" w:rsidP="00FA4457">
      <w:pPr>
        <w:pStyle w:val="Listeafsnit"/>
        <w:numPr>
          <w:ilvl w:val="0"/>
          <w:numId w:val="35"/>
        </w:numPr>
      </w:pPr>
      <w:r>
        <w:t>T</w:t>
      </w:r>
      <w:r w:rsidR="00A25837" w:rsidRPr="00816FC2">
        <w:t xml:space="preserve">he </w:t>
      </w:r>
      <w:r>
        <w:t xml:space="preserve">Syrian </w:t>
      </w:r>
      <w:r w:rsidR="00A25837" w:rsidRPr="00816FC2">
        <w:t>conflict is now in its sixth year and although gains continue to be made against Da’esh, the Cessation of Hostilities (CoH) agreement negotiated in February 2016</w:t>
      </w:r>
      <w:r w:rsidR="00284DD8">
        <w:t xml:space="preserve"> </w:t>
      </w:r>
      <w:r>
        <w:t xml:space="preserve">stands </w:t>
      </w:r>
      <w:r w:rsidR="00FF02C4">
        <w:t>on precarious ground</w:t>
      </w:r>
      <w:r>
        <w:t xml:space="preserve"> making a political resolution less likely in the short term</w:t>
      </w:r>
      <w:r w:rsidR="00F1158F">
        <w:t xml:space="preserve">. This has most recently been underlined by the ongoing fighting around Aleppo and the regime’s attempts to besiege the city. </w:t>
      </w:r>
      <w:r w:rsidR="00A25837" w:rsidRPr="00816FC2">
        <w:t xml:space="preserve">. </w:t>
      </w:r>
      <w:r w:rsidR="001B6080" w:rsidRPr="00816FC2">
        <w:t xml:space="preserve">Non-military </w:t>
      </w:r>
      <w:r w:rsidR="009D73CD" w:rsidRPr="00816FC2">
        <w:t xml:space="preserve">stabilisation priorities in Syria </w:t>
      </w:r>
      <w:r w:rsidR="006E4713" w:rsidRPr="00816FC2">
        <w:t>include support</w:t>
      </w:r>
      <w:r w:rsidR="001B6080" w:rsidRPr="00816FC2">
        <w:t xml:space="preserve">ing </w:t>
      </w:r>
      <w:r w:rsidR="006E4713" w:rsidRPr="00816FC2">
        <w:t xml:space="preserve">the moderate opposition </w:t>
      </w:r>
      <w:r w:rsidR="00523F76" w:rsidRPr="00816FC2">
        <w:t xml:space="preserve">and civil society </w:t>
      </w:r>
      <w:r w:rsidR="00FF02C4">
        <w:t xml:space="preserve">to </w:t>
      </w:r>
      <w:r w:rsidR="0046184D" w:rsidRPr="00816FC2">
        <w:t>deliver basic services</w:t>
      </w:r>
      <w:r w:rsidR="00523F76" w:rsidRPr="00816FC2">
        <w:t xml:space="preserve"> and governance </w:t>
      </w:r>
      <w:r w:rsidR="00FF02C4">
        <w:t xml:space="preserve">to contest Da’esh and other extremist narratives, </w:t>
      </w:r>
      <w:r w:rsidR="00523F76" w:rsidRPr="00816FC2">
        <w:t>strengthen community resilience</w:t>
      </w:r>
      <w:r w:rsidR="00611AAA">
        <w:t xml:space="preserve"> to Da’esh </w:t>
      </w:r>
      <w:r w:rsidR="00320FBB">
        <w:t>and other extremist groups</w:t>
      </w:r>
      <w:r w:rsidR="00FF02C4">
        <w:t xml:space="preserve">, </w:t>
      </w:r>
      <w:r w:rsidR="003160B6">
        <w:t xml:space="preserve">and prepare for </w:t>
      </w:r>
      <w:r w:rsidR="00FF02C4">
        <w:t xml:space="preserve">support </w:t>
      </w:r>
      <w:r w:rsidR="003160B6">
        <w:t xml:space="preserve">in </w:t>
      </w:r>
      <w:r w:rsidR="00FF02C4">
        <w:t>future liberated areas</w:t>
      </w:r>
      <w:r w:rsidR="00523F76" w:rsidRPr="00816FC2">
        <w:t>.</w:t>
      </w:r>
      <w:r w:rsidR="00FF02C4">
        <w:t xml:space="preserve"> </w:t>
      </w:r>
      <w:r w:rsidR="0046184D" w:rsidRPr="00816FC2">
        <w:t xml:space="preserve"> </w:t>
      </w:r>
    </w:p>
    <w:p w:rsidR="00A25837" w:rsidRPr="00816FC2" w:rsidRDefault="00A25837" w:rsidP="00FA4457">
      <w:pPr>
        <w:pStyle w:val="Listeafsnit"/>
        <w:numPr>
          <w:ilvl w:val="0"/>
          <w:numId w:val="35"/>
        </w:numPr>
      </w:pPr>
      <w:r w:rsidRPr="00816FC2">
        <w:t>In Iraq</w:t>
      </w:r>
      <w:r w:rsidR="006237EE" w:rsidRPr="00816FC2">
        <w:t>,</w:t>
      </w:r>
      <w:r w:rsidRPr="00816FC2">
        <w:t xml:space="preserve"> the campaign to degrade Da’esh</w:t>
      </w:r>
      <w:r w:rsidR="00C305FF" w:rsidRPr="00816FC2">
        <w:t xml:space="preserve"> and stabilis</w:t>
      </w:r>
      <w:r w:rsidR="00FF02C4">
        <w:t>e liberated</w:t>
      </w:r>
      <w:r w:rsidR="003B0B45">
        <w:t xml:space="preserve"> areas</w:t>
      </w:r>
      <w:r w:rsidR="00FF02C4">
        <w:t xml:space="preserve"> </w:t>
      </w:r>
      <w:r w:rsidRPr="00816FC2">
        <w:t xml:space="preserve">remains the focus of Danish and </w:t>
      </w:r>
      <w:r w:rsidR="00284DD8">
        <w:t xml:space="preserve">the </w:t>
      </w:r>
      <w:r w:rsidR="003160B6">
        <w:t>G</w:t>
      </w:r>
      <w:r w:rsidR="00284DD8">
        <w:t xml:space="preserve">lobal </w:t>
      </w:r>
      <w:r w:rsidRPr="00816FC2">
        <w:t>Coalition policy</w:t>
      </w:r>
      <w:r w:rsidR="00D55CAA">
        <w:t xml:space="preserve"> as </w:t>
      </w:r>
      <w:r w:rsidRPr="00816FC2">
        <w:t xml:space="preserve">Iraqi forces push </w:t>
      </w:r>
      <w:r w:rsidR="00FF02C4">
        <w:t>towards Mosul</w:t>
      </w:r>
      <w:r w:rsidRPr="00816FC2">
        <w:t xml:space="preserve">. </w:t>
      </w:r>
      <w:r w:rsidR="00FA4457">
        <w:t xml:space="preserve">At the same time, </w:t>
      </w:r>
      <w:r w:rsidR="00630AF6" w:rsidRPr="00816FC2">
        <w:t xml:space="preserve">Iraq’s leaders need to </w:t>
      </w:r>
      <w:r w:rsidR="008F1249" w:rsidRPr="00816FC2">
        <w:t>address the</w:t>
      </w:r>
      <w:r w:rsidR="00C93C68" w:rsidRPr="00816FC2">
        <w:t xml:space="preserve"> </w:t>
      </w:r>
      <w:r w:rsidR="002F59AC" w:rsidRPr="00816FC2">
        <w:t xml:space="preserve">shortcomings in the </w:t>
      </w:r>
      <w:r w:rsidRPr="00816FC2">
        <w:t>current political sett</w:t>
      </w:r>
      <w:r w:rsidR="00C93C68" w:rsidRPr="00816FC2">
        <w:t xml:space="preserve">lement </w:t>
      </w:r>
      <w:r w:rsidR="00B51807" w:rsidRPr="00816FC2">
        <w:t xml:space="preserve">which favours </w:t>
      </w:r>
      <w:r w:rsidR="00C93C68" w:rsidRPr="00816FC2">
        <w:t>Iraq’s Shi’a</w:t>
      </w:r>
      <w:r w:rsidR="00B51807" w:rsidRPr="00816FC2">
        <w:t xml:space="preserve"> and marginalises its Sunni community</w:t>
      </w:r>
      <w:r w:rsidR="00B45F37">
        <w:t xml:space="preserve"> </w:t>
      </w:r>
      <w:r w:rsidR="00C93C68" w:rsidRPr="00816FC2">
        <w:t xml:space="preserve">to strengthen </w:t>
      </w:r>
      <w:r w:rsidRPr="00816FC2">
        <w:t>the country’s weak institutions</w:t>
      </w:r>
      <w:r w:rsidR="00FF02C4">
        <w:t xml:space="preserve">, </w:t>
      </w:r>
      <w:r w:rsidR="00C93C68" w:rsidRPr="00816FC2">
        <w:t xml:space="preserve">address </w:t>
      </w:r>
      <w:r w:rsidRPr="00816FC2">
        <w:t xml:space="preserve">sectarian tensions </w:t>
      </w:r>
      <w:r w:rsidR="00FF02C4">
        <w:t xml:space="preserve">and </w:t>
      </w:r>
      <w:r w:rsidRPr="00816FC2">
        <w:t xml:space="preserve">ensure that a </w:t>
      </w:r>
      <w:r w:rsidR="00B45F37">
        <w:t xml:space="preserve">third </w:t>
      </w:r>
      <w:r w:rsidRPr="00816FC2">
        <w:t xml:space="preserve">Sunni insurgency does not </w:t>
      </w:r>
      <w:r w:rsidR="00B45F37">
        <w:t>manifest</w:t>
      </w:r>
      <w:r w:rsidR="00D30B2B">
        <w:t xml:space="preserve"> itself</w:t>
      </w:r>
      <w:r w:rsidRPr="00816FC2">
        <w:t>.</w:t>
      </w:r>
      <w:r w:rsidR="00F52259" w:rsidRPr="00816FC2">
        <w:t xml:space="preserve"> Immediate stabilisation priorities in Iraq </w:t>
      </w:r>
      <w:r w:rsidR="00C305FF" w:rsidRPr="00816FC2">
        <w:t>therefore</w:t>
      </w:r>
      <w:r w:rsidR="00F52259" w:rsidRPr="00816FC2">
        <w:t xml:space="preserve"> focus on</w:t>
      </w:r>
      <w:r w:rsidR="00BE31DE" w:rsidRPr="00816FC2">
        <w:t xml:space="preserve"> areas liberated from Da’esh</w:t>
      </w:r>
      <w:r w:rsidR="00FA4457">
        <w:t xml:space="preserve"> and </w:t>
      </w:r>
      <w:r w:rsidR="00B45F37">
        <w:t>prepar</w:t>
      </w:r>
      <w:r w:rsidR="00D30B2B">
        <w:t xml:space="preserve">ation </w:t>
      </w:r>
      <w:r w:rsidR="00D55CAA">
        <w:t>for the liberation of Mosul</w:t>
      </w:r>
      <w:r w:rsidR="00B45F37">
        <w:t xml:space="preserve"> </w:t>
      </w:r>
      <w:r w:rsidR="003A634F" w:rsidRPr="00816FC2">
        <w:t xml:space="preserve">with </w:t>
      </w:r>
      <w:r w:rsidR="00FA4457">
        <w:t xml:space="preserve">a view to </w:t>
      </w:r>
      <w:r w:rsidR="003A634F" w:rsidRPr="00816FC2">
        <w:t xml:space="preserve">enabling </w:t>
      </w:r>
      <w:r w:rsidR="009D73CD" w:rsidRPr="00816FC2">
        <w:t xml:space="preserve">and </w:t>
      </w:r>
      <w:r w:rsidR="003A634F" w:rsidRPr="00816FC2">
        <w:t xml:space="preserve">ensuring </w:t>
      </w:r>
      <w:r w:rsidR="009D73CD" w:rsidRPr="00816FC2">
        <w:t xml:space="preserve">that </w:t>
      </w:r>
      <w:r w:rsidR="003A634F" w:rsidRPr="00816FC2">
        <w:t xml:space="preserve">basic </w:t>
      </w:r>
      <w:r w:rsidR="009D73CD" w:rsidRPr="00816FC2">
        <w:t xml:space="preserve">systems are in place to support </w:t>
      </w:r>
      <w:r w:rsidR="00FA4457">
        <w:t>returning populations</w:t>
      </w:r>
      <w:r w:rsidR="009D73CD" w:rsidRPr="00816FC2">
        <w:t>.</w:t>
      </w:r>
      <w:r w:rsidR="00BD27F8" w:rsidRPr="00816FC2">
        <w:t xml:space="preserve"> </w:t>
      </w:r>
    </w:p>
    <w:p w:rsidR="000817BE" w:rsidRPr="00816FC2" w:rsidRDefault="005C6C6D" w:rsidP="003B0B45">
      <w:pPr>
        <w:rPr>
          <w:i/>
        </w:rPr>
      </w:pPr>
      <w:r w:rsidRPr="00816FC2">
        <w:t xml:space="preserve">The </w:t>
      </w:r>
      <w:r w:rsidR="007322A3">
        <w:t xml:space="preserve">programme’s </w:t>
      </w:r>
      <w:r w:rsidRPr="00816FC2">
        <w:t xml:space="preserve">objective </w:t>
      </w:r>
      <w:r w:rsidR="00167442" w:rsidRPr="00816FC2">
        <w:t xml:space="preserve">is: </w:t>
      </w:r>
      <w:r w:rsidR="007322A3" w:rsidRPr="003B0B45">
        <w:rPr>
          <w:i/>
        </w:rPr>
        <w:t>To counter Da’esh and other extremist elements in Syria and Iraq</w:t>
      </w:r>
      <w:r w:rsidR="007322A3">
        <w:rPr>
          <w:i/>
        </w:rPr>
        <w:t>, and to</w:t>
      </w:r>
      <w:r w:rsidR="007322A3" w:rsidRPr="003B0B45">
        <w:rPr>
          <w:i/>
        </w:rPr>
        <w:t xml:space="preserve"> promote an inclusive political resolution to the conflict in Syria and a more stable and inclusive Iraq through meeting immediate stabilisation needs in both countries and offering support to moderate actors that provide an alternative to extremism in order to build more stable, democratic and inclusive societies.</w:t>
      </w:r>
      <w:r w:rsidR="007322A3">
        <w:rPr>
          <w:i/>
        </w:rPr>
        <w:t xml:space="preserve"> </w:t>
      </w:r>
      <w:r w:rsidR="00B45F37">
        <w:t xml:space="preserve">This complements </w:t>
      </w:r>
      <w:r w:rsidR="00B45F37" w:rsidRPr="00816FC2">
        <w:t>Denmark’s existing military activities</w:t>
      </w:r>
      <w:r w:rsidR="00B45F37">
        <w:t xml:space="preserve"> against Da’esh and </w:t>
      </w:r>
      <w:r w:rsidR="00F1158F">
        <w:t xml:space="preserve">supports </w:t>
      </w:r>
      <w:r w:rsidR="00B45F37" w:rsidRPr="00816FC2">
        <w:t xml:space="preserve">the policy </w:t>
      </w:r>
      <w:r w:rsidR="00F1158F">
        <w:t xml:space="preserve">goals </w:t>
      </w:r>
      <w:r w:rsidR="00B45F37" w:rsidRPr="00816FC2">
        <w:t xml:space="preserve">set out in </w:t>
      </w:r>
      <w:r w:rsidR="00B45F37">
        <w:t xml:space="preserve">relevant </w:t>
      </w:r>
      <w:r w:rsidR="00B45F37" w:rsidRPr="00816FC2">
        <w:t>UN Security Council resolutions and track two (</w:t>
      </w:r>
      <w:r w:rsidR="003B0B45">
        <w:t>s</w:t>
      </w:r>
      <w:r w:rsidR="00B45F37" w:rsidRPr="00816FC2">
        <w:t>tabilisation) of the Global Coalition’s strategy</w:t>
      </w:r>
      <w:r w:rsidR="00F1158F">
        <w:t xml:space="preserve"> to counter Da’esh.</w:t>
      </w:r>
    </w:p>
    <w:p w:rsidR="00167442" w:rsidRPr="00816FC2" w:rsidRDefault="00631CAA" w:rsidP="00EB7ECB">
      <w:pPr>
        <w:rPr>
          <w:szCs w:val="24"/>
        </w:rPr>
      </w:pPr>
      <w:r w:rsidRPr="00816FC2">
        <w:rPr>
          <w:szCs w:val="24"/>
        </w:rPr>
        <w:t>This p</w:t>
      </w:r>
      <w:r w:rsidR="00167442" w:rsidRPr="00816FC2">
        <w:rPr>
          <w:szCs w:val="24"/>
        </w:rPr>
        <w:t>rogramme will contribute to th</w:t>
      </w:r>
      <w:r w:rsidRPr="00816FC2">
        <w:rPr>
          <w:szCs w:val="24"/>
        </w:rPr>
        <w:t xml:space="preserve">e above </w:t>
      </w:r>
      <w:r w:rsidR="00167442" w:rsidRPr="00816FC2">
        <w:rPr>
          <w:szCs w:val="24"/>
        </w:rPr>
        <w:t>goal through a streamlined portfolio across three mutually reinforcing thematic progra</w:t>
      </w:r>
      <w:r w:rsidR="001E6615" w:rsidRPr="00816FC2">
        <w:rPr>
          <w:szCs w:val="24"/>
        </w:rPr>
        <w:t>m</w:t>
      </w:r>
      <w:r w:rsidR="00167442" w:rsidRPr="00816FC2">
        <w:rPr>
          <w:szCs w:val="24"/>
        </w:rPr>
        <w:t>mes (TPs):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9504"/>
      </w:tblGrid>
      <w:tr w:rsidR="00190AA8" w:rsidRPr="00816FC2" w:rsidTr="0044040A">
        <w:trPr>
          <w:trHeight w:val="341"/>
        </w:trPr>
        <w:tc>
          <w:tcPr>
            <w:tcW w:w="9504" w:type="dxa"/>
            <w:shd w:val="clear" w:color="auto" w:fill="3E2C42"/>
          </w:tcPr>
          <w:p w:rsidR="00190AA8" w:rsidRPr="00816FC2" w:rsidRDefault="00190AA8" w:rsidP="003F4913">
            <w:pPr>
              <w:pStyle w:val="Tabeloverskift"/>
            </w:pPr>
            <w:r w:rsidRPr="00816FC2">
              <w:t>TP1:  Political Dialogue &amp; Peacebuilding</w:t>
            </w:r>
          </w:p>
        </w:tc>
      </w:tr>
      <w:tr w:rsidR="00190AA8" w:rsidRPr="00816FC2" w:rsidTr="00E61A37">
        <w:trPr>
          <w:trHeight w:val="806"/>
        </w:trPr>
        <w:tc>
          <w:tcPr>
            <w:tcW w:w="9504" w:type="dxa"/>
            <w:shd w:val="clear" w:color="auto" w:fill="EBD9E2"/>
          </w:tcPr>
          <w:p w:rsidR="00190AA8" w:rsidRPr="00816FC2" w:rsidRDefault="00E61A37" w:rsidP="00E61A37">
            <w:r w:rsidRPr="00B8275B">
              <w:t>The coherence and quality of peace initiatives in Syria and reconciliation in Iraq are reinforced, thereby countering Da’esh and other extremist groups and promoting the role of moderate actors.</w:t>
            </w:r>
          </w:p>
        </w:tc>
      </w:tr>
      <w:tr w:rsidR="00190AA8" w:rsidRPr="00816FC2" w:rsidTr="0044040A">
        <w:trPr>
          <w:trHeight w:val="331"/>
        </w:trPr>
        <w:tc>
          <w:tcPr>
            <w:tcW w:w="9504" w:type="dxa"/>
            <w:shd w:val="clear" w:color="auto" w:fill="3E2C42"/>
          </w:tcPr>
          <w:p w:rsidR="00190AA8" w:rsidRPr="00816FC2" w:rsidRDefault="00190AA8" w:rsidP="00F32DAB">
            <w:pPr>
              <w:pStyle w:val="Tabeloverskift"/>
            </w:pPr>
            <w:r w:rsidRPr="00816FC2">
              <w:t>TP2: Resilience</w:t>
            </w:r>
            <w:r w:rsidR="0048279B" w:rsidRPr="00816FC2">
              <w:t xml:space="preserve"> and </w:t>
            </w:r>
            <w:r w:rsidR="00AC250E">
              <w:t>R</w:t>
            </w:r>
            <w:r w:rsidR="00F32DAB">
              <w:t>apid Response</w:t>
            </w:r>
          </w:p>
        </w:tc>
      </w:tr>
      <w:tr w:rsidR="00190AA8" w:rsidRPr="00816FC2" w:rsidTr="00EB7ECB">
        <w:trPr>
          <w:trHeight w:val="789"/>
        </w:trPr>
        <w:tc>
          <w:tcPr>
            <w:tcW w:w="9504" w:type="dxa"/>
            <w:shd w:val="clear" w:color="auto" w:fill="EBD9E2"/>
          </w:tcPr>
          <w:p w:rsidR="00190AA8" w:rsidRPr="00816FC2" w:rsidRDefault="00E61A37" w:rsidP="00E61A37">
            <w:pPr>
              <w:rPr>
                <w:b/>
                <w:bCs/>
                <w:i/>
                <w:iCs/>
                <w:sz w:val="20"/>
              </w:rPr>
            </w:pPr>
            <w:r w:rsidRPr="00B8275B">
              <w:t>Community resilience and return enhanced through improved access and provision of priority services in former Da’esh-held areas of Iraq and areas under moderate opposition control in Syria.</w:t>
            </w:r>
          </w:p>
        </w:tc>
      </w:tr>
      <w:tr w:rsidR="00190AA8" w:rsidRPr="00816FC2" w:rsidTr="0044040A">
        <w:trPr>
          <w:trHeight w:val="291"/>
        </w:trPr>
        <w:tc>
          <w:tcPr>
            <w:tcW w:w="9504" w:type="dxa"/>
            <w:shd w:val="clear" w:color="auto" w:fill="3E2C42"/>
          </w:tcPr>
          <w:p w:rsidR="00190AA8" w:rsidRPr="00816FC2" w:rsidRDefault="00190AA8" w:rsidP="004431CE">
            <w:pPr>
              <w:pStyle w:val="Tabeloverskift"/>
            </w:pPr>
            <w:r w:rsidRPr="00816FC2">
              <w:t>TP3: Community S</w:t>
            </w:r>
            <w:r w:rsidR="004431CE" w:rsidRPr="00816FC2">
              <w:t xml:space="preserve">ecurity </w:t>
            </w:r>
            <w:r w:rsidRPr="00816FC2">
              <w:t>and Governance</w:t>
            </w:r>
          </w:p>
        </w:tc>
      </w:tr>
      <w:tr w:rsidR="00190AA8" w:rsidRPr="00816FC2" w:rsidTr="00EB7ECB">
        <w:trPr>
          <w:trHeight w:val="685"/>
        </w:trPr>
        <w:tc>
          <w:tcPr>
            <w:tcW w:w="9504" w:type="dxa"/>
            <w:shd w:val="clear" w:color="auto" w:fill="EBD9E2"/>
          </w:tcPr>
          <w:p w:rsidR="00190AA8" w:rsidRPr="00816FC2" w:rsidRDefault="00E61A37" w:rsidP="00E61A37">
            <w:pPr>
              <w:rPr>
                <w:b/>
                <w:bCs/>
                <w:i/>
                <w:iCs/>
                <w:sz w:val="20"/>
              </w:rPr>
            </w:pPr>
            <w:r w:rsidRPr="00B8275B">
              <w:t>Community security strengthened and inclusive governance promoted by moderate actors in Syria and the GoI in Iraq</w:t>
            </w:r>
            <w:r>
              <w:t>.</w:t>
            </w:r>
          </w:p>
        </w:tc>
      </w:tr>
    </w:tbl>
    <w:p w:rsidR="00D60852" w:rsidRPr="00816FC2" w:rsidRDefault="00A2254F" w:rsidP="00FA4457">
      <w:pPr>
        <w:spacing w:before="240"/>
      </w:pPr>
      <w:r w:rsidRPr="00816FC2">
        <w:lastRenderedPageBreak/>
        <w:t>Nine engagements will c</w:t>
      </w:r>
      <w:r w:rsidR="00D60852" w:rsidRPr="00816FC2">
        <w:t>ontribut</w:t>
      </w:r>
      <w:r w:rsidRPr="00816FC2">
        <w:t>e</w:t>
      </w:r>
      <w:r w:rsidR="00D60852" w:rsidRPr="00816FC2">
        <w:t xml:space="preserve"> to these thematic programmes</w:t>
      </w:r>
      <w:r w:rsidR="0093199A" w:rsidRPr="00816FC2">
        <w:t>, the majority of which conti</w:t>
      </w:r>
      <w:r w:rsidRPr="00816FC2">
        <w:t>nue Denmark’s</w:t>
      </w:r>
      <w:r w:rsidR="0093199A" w:rsidRPr="00816FC2">
        <w:t xml:space="preserve"> existing cooperation</w:t>
      </w:r>
      <w:r w:rsidR="00B45F37">
        <w:t xml:space="preserve"> and close coordination with Coalition partners</w:t>
      </w:r>
      <w:r w:rsidR="0093199A" w:rsidRPr="00816FC2">
        <w:t>. This continuity holds significant advantages in terms of familiarity with context, thematic input and personalities</w:t>
      </w:r>
      <w:r w:rsidR="0041186A">
        <w:t xml:space="preserve">, </w:t>
      </w:r>
      <w:r w:rsidR="00B45F37">
        <w:t xml:space="preserve">tried-and-tested </w:t>
      </w:r>
      <w:r w:rsidR="009E6642">
        <w:t xml:space="preserve">approaches to the </w:t>
      </w:r>
      <w:r w:rsidR="0041186A">
        <w:t>joint</w:t>
      </w:r>
      <w:r w:rsidR="009E6642">
        <w:t xml:space="preserve"> </w:t>
      </w:r>
      <w:r w:rsidR="0041186A">
        <w:t>management</w:t>
      </w:r>
      <w:r w:rsidR="009E6642">
        <w:t>, and to applying practical lessons learnt from implementing projects in the present conflict context</w:t>
      </w:r>
      <w:r w:rsidR="00B346D0">
        <w:t xml:space="preserve"> that inevitably </w:t>
      </w:r>
      <w:r w:rsidR="00ED2DA8">
        <w:t xml:space="preserve">involves </w:t>
      </w:r>
      <w:r w:rsidR="00B346D0">
        <w:t>higher than normal risks</w:t>
      </w:r>
      <w:r w:rsidR="00FD4591" w:rsidRPr="00816FC2">
        <w:t>.</w:t>
      </w:r>
      <w:r w:rsidR="00B45F37">
        <w:t xml:space="preserve"> </w:t>
      </w:r>
      <w:r w:rsidR="00FD4591" w:rsidRPr="00816FC2">
        <w:t xml:space="preserve">The engagements selected have demonstrated good results so far and comply with the programme’s strategic focus on immediate stabilisation. </w:t>
      </w:r>
    </w:p>
    <w:p w:rsidR="00BC1562" w:rsidRPr="00816FC2" w:rsidRDefault="00897B9D" w:rsidP="00EB7ECB">
      <w:r w:rsidRPr="00816FC2">
        <w:t xml:space="preserve">The </w:t>
      </w:r>
      <w:r w:rsidR="00C52F77" w:rsidRPr="00816FC2">
        <w:t>programme</w:t>
      </w:r>
      <w:r w:rsidR="00F067DC" w:rsidRPr="00816FC2">
        <w:t xml:space="preserve">’s </w:t>
      </w:r>
      <w:r w:rsidR="00BC1562" w:rsidRPr="00816FC2">
        <w:t xml:space="preserve">regional character </w:t>
      </w:r>
      <w:r w:rsidR="00F067DC" w:rsidRPr="00816FC2">
        <w:t xml:space="preserve">responds to the common features, causes and challenges </w:t>
      </w:r>
      <w:r w:rsidR="00215BC3" w:rsidRPr="00816FC2">
        <w:t xml:space="preserve">of </w:t>
      </w:r>
      <w:r w:rsidR="00C52F77" w:rsidRPr="00816FC2">
        <w:t xml:space="preserve">the </w:t>
      </w:r>
      <w:r w:rsidRPr="00816FC2">
        <w:t>conflicts in Syria and Iraq</w:t>
      </w:r>
      <w:r w:rsidR="00F067DC" w:rsidRPr="00816FC2">
        <w:t xml:space="preserve"> </w:t>
      </w:r>
      <w:r w:rsidR="008A25FB">
        <w:t xml:space="preserve">– such as the need to counter Da’esh and strengthen resilience to extremism – </w:t>
      </w:r>
      <w:r w:rsidR="008A25FB" w:rsidRPr="00816FC2">
        <w:t>but</w:t>
      </w:r>
      <w:r w:rsidR="008A25FB">
        <w:t xml:space="preserve"> it also reflects </w:t>
      </w:r>
      <w:r w:rsidR="00897AF6" w:rsidRPr="00816FC2">
        <w:t xml:space="preserve">the distinct challenges and </w:t>
      </w:r>
      <w:r w:rsidR="00F067DC" w:rsidRPr="00816FC2">
        <w:t>stabilisation needs of both countries</w:t>
      </w:r>
      <w:r w:rsidR="00081AB0">
        <w:t>.</w:t>
      </w:r>
      <w:r w:rsidR="001B2C93">
        <w:t xml:space="preserve"> </w:t>
      </w:r>
      <w:r w:rsidR="007E3B9F">
        <w:t xml:space="preserve">The latter </w:t>
      </w:r>
      <w:r w:rsidR="00081AB0">
        <w:t xml:space="preserve">limit the degree to which this </w:t>
      </w:r>
      <w:r w:rsidR="007E3B9F">
        <w:t xml:space="preserve">can be </w:t>
      </w:r>
      <w:r w:rsidR="001B2C93" w:rsidRPr="00816FC2">
        <w:t>a truly interlinked programme</w:t>
      </w:r>
      <w:r w:rsidR="00751D54" w:rsidRPr="00816FC2">
        <w:t xml:space="preserve">. </w:t>
      </w:r>
      <w:r w:rsidR="005F2448" w:rsidRPr="00816FC2">
        <w:t>T</w:t>
      </w:r>
      <w:r w:rsidR="00897AF6" w:rsidRPr="00816FC2">
        <w:t xml:space="preserve">he </w:t>
      </w:r>
      <w:r w:rsidR="00751D54" w:rsidRPr="00816FC2">
        <w:t xml:space="preserve">regional approach to programme management </w:t>
      </w:r>
      <w:r w:rsidR="00AB5513">
        <w:t xml:space="preserve">nonetheless </w:t>
      </w:r>
      <w:r w:rsidR="00751D54" w:rsidRPr="00816FC2">
        <w:t>offer</w:t>
      </w:r>
      <w:r w:rsidR="00897AF6" w:rsidRPr="00816FC2">
        <w:t>s</w:t>
      </w:r>
      <w:r w:rsidR="00751D54" w:rsidRPr="00816FC2">
        <w:t xml:space="preserve"> positive dividends in terms of efficiency </w:t>
      </w:r>
      <w:r w:rsidR="001103B0" w:rsidRPr="00816FC2">
        <w:t xml:space="preserve">and flexibility </w:t>
      </w:r>
      <w:r w:rsidR="00751D54" w:rsidRPr="00816FC2">
        <w:t>of effort.</w:t>
      </w:r>
      <w:r w:rsidR="00F852BA">
        <w:t xml:space="preserve"> Thought has also been given to supporting efforts to stabilise and strengthen moderate actors in the northern Kurdish areas of Syria. This is made difficult by the lack of recognised international stabilisation actors operating in Syria’s Northern provinces</w:t>
      </w:r>
      <w:r w:rsidR="00871472">
        <w:t xml:space="preserve"> and</w:t>
      </w:r>
      <w:r w:rsidR="00F852BA">
        <w:t xml:space="preserve"> compounded by the Turkish </w:t>
      </w:r>
      <w:r w:rsidR="00871472">
        <w:t>government’s</w:t>
      </w:r>
      <w:r w:rsidR="00F852BA">
        <w:t xml:space="preserve"> restrictive stance on providing support to </w:t>
      </w:r>
      <w:r w:rsidR="00871472">
        <w:t xml:space="preserve">areas controlled by </w:t>
      </w:r>
      <w:r w:rsidR="00F852BA">
        <w:t>the PYD and other Kurdish groups in Syria. Nevertheless, the programme’s first pillar supports a broad range of civil society activities</w:t>
      </w:r>
      <w:r w:rsidR="00871472">
        <w:t>,</w:t>
      </w:r>
      <w:r w:rsidR="00F852BA">
        <w:t xml:space="preserve"> which will also seek to encompass Syria’s Kurdish populations in the North. </w:t>
      </w:r>
    </w:p>
    <w:p w:rsidR="00323348" w:rsidRPr="00816FC2" w:rsidRDefault="00323348" w:rsidP="007322A3">
      <w:r>
        <w:t xml:space="preserve">Programme design has taken into account inputs </w:t>
      </w:r>
      <w:r w:rsidR="00621C13">
        <w:t xml:space="preserve">from </w:t>
      </w:r>
      <w:r>
        <w:t>the PSF Steering Committee and Danida’s Programme Committee. This is reflected</w:t>
      </w:r>
      <w:r w:rsidR="00621C13">
        <w:t>, for example,</w:t>
      </w:r>
      <w:r>
        <w:t xml:space="preserve"> in </w:t>
      </w:r>
      <w:r w:rsidR="00F75F86">
        <w:t xml:space="preserve">its </w:t>
      </w:r>
      <w:r>
        <w:t xml:space="preserve">active approach to risk management (evident </w:t>
      </w:r>
      <w:r w:rsidR="007322A3">
        <w:t xml:space="preserve">in its scenario-based approach in </w:t>
      </w:r>
      <w:r>
        <w:t xml:space="preserve">Sections 2 and </w:t>
      </w:r>
      <w:r w:rsidR="00F75F86">
        <w:t>4.5</w:t>
      </w:r>
      <w:r>
        <w:t>, and in the use of stabilisation advisers able to provide an additional layer of risk monitoring</w:t>
      </w:r>
      <w:r w:rsidR="007A6423">
        <w:t xml:space="preserve"> and management</w:t>
      </w:r>
      <w:r>
        <w:t>). Programme design has built upon exi</w:t>
      </w:r>
      <w:r w:rsidR="00F75F86">
        <w:t xml:space="preserve">sting multi-donor arrangements, with most </w:t>
      </w:r>
      <w:r>
        <w:t xml:space="preserve">engagements </w:t>
      </w:r>
      <w:r w:rsidR="00F75F86">
        <w:t xml:space="preserve">being </w:t>
      </w:r>
      <w:r>
        <w:t>joint</w:t>
      </w:r>
      <w:r w:rsidR="00F75F86">
        <w:t xml:space="preserve">ly implemented or </w:t>
      </w:r>
      <w:r>
        <w:t>channelled through multilateral agenci</w:t>
      </w:r>
      <w:r w:rsidR="00F75F86">
        <w:t>es</w:t>
      </w:r>
      <w:r>
        <w:t xml:space="preserve">. </w:t>
      </w:r>
      <w:r w:rsidR="007322A3" w:rsidRPr="00F75F86">
        <w:t>The programme includes two well-placed civil society organisations operating in Syria (The Day After and Baytna), both of which participate in Track II processes, employ a capacity development approach and actively disseminate information and exchange experience. In Iraq, civil society will be involved in UNDP’s stabilisation activities supported through the programme where</w:t>
      </w:r>
      <w:r w:rsidR="00786216">
        <w:t xml:space="preserve"> this is</w:t>
      </w:r>
      <w:r w:rsidR="007322A3" w:rsidRPr="00F75F86">
        <w:t xml:space="preserve"> feasible.</w:t>
      </w:r>
      <w:r w:rsidR="007322A3">
        <w:t xml:space="preserve"> </w:t>
      </w:r>
      <w:r>
        <w:t>Key aspects of the international stabilisation response in both countries are described in Section 2 and in the overview of engagements in Section 5.</w:t>
      </w:r>
    </w:p>
    <w:p w:rsidR="00323348" w:rsidRDefault="00FA4457" w:rsidP="00EB7ECB">
      <w:pPr>
        <w:rPr>
          <w:szCs w:val="24"/>
        </w:rPr>
      </w:pPr>
      <w:r>
        <w:t>T</w:t>
      </w:r>
      <w:r w:rsidR="009E6642">
        <w:t xml:space="preserve">his programme document is intended to be used as a tool to enable flexible programme management during its lifecycle. </w:t>
      </w:r>
      <w:r>
        <w:t>P</w:t>
      </w:r>
      <w:r w:rsidR="003221C6" w:rsidRPr="00816FC2">
        <w:t xml:space="preserve">rogramme </w:t>
      </w:r>
      <w:r w:rsidR="004016E5" w:rsidRPr="00816FC2">
        <w:t xml:space="preserve">design </w:t>
      </w:r>
      <w:r>
        <w:t xml:space="preserve">has, to date, </w:t>
      </w:r>
      <w:r w:rsidR="004016E5" w:rsidRPr="00816FC2">
        <w:t>draw</w:t>
      </w:r>
      <w:r>
        <w:t>n</w:t>
      </w:r>
      <w:r w:rsidR="004016E5" w:rsidRPr="00816FC2">
        <w:t xml:space="preserve"> </w:t>
      </w:r>
      <w:r w:rsidR="009E6642">
        <w:t xml:space="preserve">upon </w:t>
      </w:r>
      <w:r w:rsidR="004016E5" w:rsidRPr="00816FC2">
        <w:t>a number of scenarios</w:t>
      </w:r>
      <w:r>
        <w:t xml:space="preserve">: it </w:t>
      </w:r>
      <w:r w:rsidR="009E6642">
        <w:t xml:space="preserve">is rooted in the scenario judged to be most likely and is optimised to ensure thematic relevance and sustainability </w:t>
      </w:r>
      <w:r w:rsidR="003221C6" w:rsidRPr="00816FC2">
        <w:t xml:space="preserve">should </w:t>
      </w:r>
      <w:r w:rsidR="009E17C2" w:rsidRPr="00816FC2">
        <w:t>scenarios shift</w:t>
      </w:r>
      <w:r w:rsidR="004016E5" w:rsidRPr="00816FC2">
        <w:t xml:space="preserve">. </w:t>
      </w:r>
      <w:r>
        <w:t xml:space="preserve">This context is expected to </w:t>
      </w:r>
      <w:r w:rsidR="004016E5" w:rsidRPr="00816FC2">
        <w:t>change during the three-year life of the programme</w:t>
      </w:r>
      <w:r>
        <w:t>, necessitating a degree of adaptation by the programme and its management.</w:t>
      </w:r>
      <w:r w:rsidR="009E6642">
        <w:t xml:space="preserve"> </w:t>
      </w:r>
      <w:r>
        <w:t xml:space="preserve">This </w:t>
      </w:r>
      <w:r w:rsidR="009E6642">
        <w:t>document offers a range of options to respond to ensure flexible programme management</w:t>
      </w:r>
      <w:r>
        <w:t xml:space="preserve"> and risk mitigation</w:t>
      </w:r>
      <w:r w:rsidR="009E6642">
        <w:t>.</w:t>
      </w:r>
      <w:r w:rsidR="00281657" w:rsidRPr="00816FC2">
        <w:t xml:space="preserve"> </w:t>
      </w:r>
      <w:r w:rsidR="00DA430E" w:rsidRPr="00816FC2">
        <w:t>Adjustments will be facilitated by th</w:t>
      </w:r>
      <w:r w:rsidR="00281657" w:rsidRPr="00816FC2">
        <w:t xml:space="preserve">e combination of </w:t>
      </w:r>
      <w:r w:rsidR="00281657" w:rsidRPr="00816FC2">
        <w:rPr>
          <w:szCs w:val="24"/>
        </w:rPr>
        <w:t>experienced on</w:t>
      </w:r>
      <w:r w:rsidR="007D7AE1" w:rsidRPr="00816FC2">
        <w:rPr>
          <w:szCs w:val="24"/>
        </w:rPr>
        <w:t>-</w:t>
      </w:r>
      <w:r w:rsidR="00281657" w:rsidRPr="00816FC2">
        <w:rPr>
          <w:szCs w:val="24"/>
        </w:rPr>
        <w:t>the</w:t>
      </w:r>
      <w:r w:rsidR="007D7AE1" w:rsidRPr="00816FC2">
        <w:rPr>
          <w:szCs w:val="24"/>
        </w:rPr>
        <w:t>-</w:t>
      </w:r>
      <w:r w:rsidR="00281657" w:rsidRPr="00816FC2">
        <w:rPr>
          <w:szCs w:val="24"/>
        </w:rPr>
        <w:t>ground partners in both countries</w:t>
      </w:r>
      <w:r w:rsidR="00DA430E" w:rsidRPr="00816FC2">
        <w:rPr>
          <w:szCs w:val="24"/>
        </w:rPr>
        <w:t>, key donors</w:t>
      </w:r>
      <w:r w:rsidR="007A6423">
        <w:rPr>
          <w:szCs w:val="24"/>
        </w:rPr>
        <w:t>, including the United Kingdom,</w:t>
      </w:r>
      <w:r w:rsidR="00DA430E" w:rsidRPr="00816FC2">
        <w:rPr>
          <w:szCs w:val="24"/>
        </w:rPr>
        <w:t xml:space="preserve"> with whom close links have been established,</w:t>
      </w:r>
      <w:r w:rsidR="00281657" w:rsidRPr="00816FC2">
        <w:rPr>
          <w:szCs w:val="24"/>
        </w:rPr>
        <w:t xml:space="preserve"> and regionally-located stabilisation advisors coupled with the head office in the Danish MFA</w:t>
      </w:r>
      <w:r w:rsidR="00D60852" w:rsidRPr="00816FC2">
        <w:rPr>
          <w:szCs w:val="24"/>
        </w:rPr>
        <w:t xml:space="preserve">. </w:t>
      </w:r>
    </w:p>
    <w:p w:rsidR="003C2417" w:rsidRPr="00816FC2" w:rsidRDefault="009661DE" w:rsidP="007B2E4E">
      <w:pPr>
        <w:pStyle w:val="Overskrift1"/>
      </w:pPr>
      <w:bookmarkStart w:id="2" w:name="_Toc332370502"/>
      <w:r w:rsidRPr="00816FC2">
        <w:lastRenderedPageBreak/>
        <w:t>Context analysis</w:t>
      </w:r>
      <w:bookmarkEnd w:id="2"/>
    </w:p>
    <w:p w:rsidR="005E2972" w:rsidRPr="00816FC2" w:rsidRDefault="005E2972" w:rsidP="0080400C">
      <w:pPr>
        <w:pStyle w:val="Overskrift2"/>
      </w:pPr>
      <w:bookmarkStart w:id="3" w:name="_Toc332370503"/>
      <w:r w:rsidRPr="00816FC2">
        <w:t xml:space="preserve">Syria </w:t>
      </w:r>
      <w:r w:rsidR="00E85BB7" w:rsidRPr="00816FC2">
        <w:t>– Stabilisation amid on</w:t>
      </w:r>
      <w:r w:rsidR="00562A58" w:rsidRPr="00816FC2">
        <w:t>-</w:t>
      </w:r>
      <w:r w:rsidR="00E85BB7" w:rsidRPr="00816FC2">
        <w:t>going conflict</w:t>
      </w:r>
      <w:bookmarkEnd w:id="3"/>
    </w:p>
    <w:p w:rsidR="00FD0B43" w:rsidRPr="00816FC2" w:rsidRDefault="00FD0B43" w:rsidP="00F75F86">
      <w:pPr>
        <w:rPr>
          <w:szCs w:val="24"/>
        </w:rPr>
      </w:pPr>
      <w:r w:rsidRPr="00816FC2">
        <w:t xml:space="preserve">The Syrian revolution, which began in 2011 with peaceful protests against the </w:t>
      </w:r>
      <w:r w:rsidR="007A6423">
        <w:t>Assad</w:t>
      </w:r>
      <w:r w:rsidRPr="00816FC2">
        <w:t>-led regime</w:t>
      </w:r>
      <w:r w:rsidR="00292577" w:rsidRPr="00816FC2">
        <w:t>,</w:t>
      </w:r>
      <w:r w:rsidRPr="00816FC2">
        <w:t xml:space="preserve"> is in its </w:t>
      </w:r>
      <w:r w:rsidR="00784297">
        <w:t xml:space="preserve">sixth </w:t>
      </w:r>
      <w:r w:rsidRPr="00816FC2">
        <w:t xml:space="preserve">year and </w:t>
      </w:r>
      <w:r w:rsidRPr="00816FC2">
        <w:rPr>
          <w:szCs w:val="24"/>
        </w:rPr>
        <w:t xml:space="preserve">shows no sign of abating. </w:t>
      </w:r>
      <w:r w:rsidR="00F75F86">
        <w:rPr>
          <w:szCs w:val="24"/>
        </w:rPr>
        <w:t>T</w:t>
      </w:r>
      <w:r w:rsidRPr="00816FC2">
        <w:rPr>
          <w:szCs w:val="24"/>
        </w:rPr>
        <w:t xml:space="preserve">he conflict has developed in nature and complexity: </w:t>
      </w:r>
      <w:r w:rsidR="00881AE9" w:rsidRPr="00816FC2">
        <w:rPr>
          <w:szCs w:val="24"/>
        </w:rPr>
        <w:t xml:space="preserve">protests </w:t>
      </w:r>
      <w:r w:rsidR="006211E0" w:rsidRPr="00816FC2">
        <w:rPr>
          <w:szCs w:val="24"/>
        </w:rPr>
        <w:t xml:space="preserve">triggered a </w:t>
      </w:r>
      <w:r w:rsidR="007B7D12">
        <w:rPr>
          <w:szCs w:val="24"/>
        </w:rPr>
        <w:t xml:space="preserve">violent and </w:t>
      </w:r>
      <w:r w:rsidR="006211E0" w:rsidRPr="00816FC2">
        <w:rPr>
          <w:szCs w:val="24"/>
        </w:rPr>
        <w:t xml:space="preserve">disproportionate regime response </w:t>
      </w:r>
      <w:r w:rsidR="007B7D12">
        <w:rPr>
          <w:szCs w:val="24"/>
        </w:rPr>
        <w:t>which led to the emergence of</w:t>
      </w:r>
      <w:r w:rsidR="006211E0" w:rsidRPr="00816FC2">
        <w:rPr>
          <w:szCs w:val="24"/>
        </w:rPr>
        <w:t xml:space="preserve"> a</w:t>
      </w:r>
      <w:r w:rsidR="00292577" w:rsidRPr="00816FC2">
        <w:rPr>
          <w:szCs w:val="24"/>
        </w:rPr>
        <w:t>n</w:t>
      </w:r>
      <w:r w:rsidR="006211E0" w:rsidRPr="00816FC2">
        <w:rPr>
          <w:szCs w:val="24"/>
        </w:rPr>
        <w:t xml:space="preserve"> </w:t>
      </w:r>
      <w:r w:rsidR="000B4BF6" w:rsidRPr="00816FC2">
        <w:rPr>
          <w:szCs w:val="24"/>
        </w:rPr>
        <w:t>armed</w:t>
      </w:r>
      <w:r w:rsidR="006211E0" w:rsidRPr="00816FC2">
        <w:rPr>
          <w:szCs w:val="24"/>
        </w:rPr>
        <w:t xml:space="preserve"> revolution</w:t>
      </w:r>
      <w:r w:rsidR="007B7D12">
        <w:rPr>
          <w:szCs w:val="24"/>
        </w:rPr>
        <w:t xml:space="preserve"> calling for a democratic transition</w:t>
      </w:r>
      <w:r w:rsidR="006211E0" w:rsidRPr="00816FC2">
        <w:rPr>
          <w:szCs w:val="24"/>
        </w:rPr>
        <w:t xml:space="preserve">. At that point, a fragmented opposition funded by </w:t>
      </w:r>
      <w:r w:rsidR="007B7D12">
        <w:rPr>
          <w:szCs w:val="24"/>
        </w:rPr>
        <w:t xml:space="preserve">several </w:t>
      </w:r>
      <w:r w:rsidR="00292577" w:rsidRPr="00816FC2">
        <w:rPr>
          <w:szCs w:val="24"/>
        </w:rPr>
        <w:t>s</w:t>
      </w:r>
      <w:r w:rsidR="006211E0" w:rsidRPr="00816FC2">
        <w:rPr>
          <w:szCs w:val="24"/>
        </w:rPr>
        <w:t>tates became increasingly Salafist</w:t>
      </w:r>
      <w:r w:rsidR="00784297">
        <w:rPr>
          <w:szCs w:val="24"/>
        </w:rPr>
        <w:t xml:space="preserve"> in its ideological outlook</w:t>
      </w:r>
      <w:r w:rsidR="006211E0" w:rsidRPr="00816FC2">
        <w:rPr>
          <w:szCs w:val="24"/>
        </w:rPr>
        <w:t xml:space="preserve">: Al Qaeda soon </w:t>
      </w:r>
      <w:r w:rsidR="00784297">
        <w:rPr>
          <w:szCs w:val="24"/>
        </w:rPr>
        <w:t xml:space="preserve">established a presence in the country </w:t>
      </w:r>
      <w:r w:rsidR="006211E0" w:rsidRPr="00816FC2">
        <w:rPr>
          <w:szCs w:val="24"/>
        </w:rPr>
        <w:t xml:space="preserve">under the banner of Jabhat al Nusra </w:t>
      </w:r>
      <w:r w:rsidR="00D55CAA">
        <w:rPr>
          <w:szCs w:val="24"/>
        </w:rPr>
        <w:t>(</w:t>
      </w:r>
      <w:r w:rsidR="002520AE">
        <w:rPr>
          <w:szCs w:val="24"/>
        </w:rPr>
        <w:t xml:space="preserve">which changed its name to </w:t>
      </w:r>
      <w:r w:rsidR="00D55CAA">
        <w:rPr>
          <w:szCs w:val="24"/>
        </w:rPr>
        <w:t xml:space="preserve"> Jabhat Fatah a-Sham</w:t>
      </w:r>
      <w:r w:rsidR="002520AE">
        <w:rPr>
          <w:szCs w:val="24"/>
        </w:rPr>
        <w:t xml:space="preserve"> in July 2016) </w:t>
      </w:r>
      <w:r w:rsidR="001E00E7">
        <w:rPr>
          <w:szCs w:val="24"/>
        </w:rPr>
        <w:t>,</w:t>
      </w:r>
      <w:r w:rsidR="00D55CAA">
        <w:rPr>
          <w:szCs w:val="24"/>
        </w:rPr>
        <w:t xml:space="preserve"> </w:t>
      </w:r>
      <w:r w:rsidR="00713659" w:rsidRPr="00816FC2">
        <w:rPr>
          <w:szCs w:val="24"/>
        </w:rPr>
        <w:t>and</w:t>
      </w:r>
      <w:r w:rsidR="006211E0" w:rsidRPr="00816FC2">
        <w:rPr>
          <w:szCs w:val="24"/>
        </w:rPr>
        <w:t xml:space="preserve"> </w:t>
      </w:r>
      <w:r w:rsidR="000B4BF6" w:rsidRPr="00816FC2">
        <w:rPr>
          <w:szCs w:val="24"/>
        </w:rPr>
        <w:t xml:space="preserve">an extremist organisation </w:t>
      </w:r>
      <w:r w:rsidR="006211E0" w:rsidRPr="00816FC2">
        <w:rPr>
          <w:szCs w:val="24"/>
        </w:rPr>
        <w:t>with roots in Iraq</w:t>
      </w:r>
      <w:r w:rsidR="00763FD2" w:rsidRPr="00816FC2">
        <w:rPr>
          <w:szCs w:val="24"/>
        </w:rPr>
        <w:t xml:space="preserve">, Da’esh, </w:t>
      </w:r>
      <w:r w:rsidR="001E00E7">
        <w:rPr>
          <w:szCs w:val="24"/>
        </w:rPr>
        <w:t xml:space="preserve">took power </w:t>
      </w:r>
      <w:r w:rsidR="00763FD2" w:rsidRPr="00816FC2">
        <w:rPr>
          <w:szCs w:val="24"/>
        </w:rPr>
        <w:t xml:space="preserve">in </w:t>
      </w:r>
      <w:r w:rsidR="00292577" w:rsidRPr="00816FC2">
        <w:rPr>
          <w:szCs w:val="24"/>
        </w:rPr>
        <w:t>n</w:t>
      </w:r>
      <w:r w:rsidR="00763FD2" w:rsidRPr="00816FC2">
        <w:rPr>
          <w:szCs w:val="24"/>
        </w:rPr>
        <w:t>orth-</w:t>
      </w:r>
      <w:r w:rsidR="00292577" w:rsidRPr="00816FC2">
        <w:rPr>
          <w:szCs w:val="24"/>
        </w:rPr>
        <w:t>e</w:t>
      </w:r>
      <w:r w:rsidR="00763FD2" w:rsidRPr="00816FC2">
        <w:rPr>
          <w:szCs w:val="24"/>
        </w:rPr>
        <w:t>ast Iraq</w:t>
      </w:r>
      <w:r w:rsidR="00292577" w:rsidRPr="00816FC2">
        <w:rPr>
          <w:szCs w:val="24"/>
        </w:rPr>
        <w:t>,</w:t>
      </w:r>
      <w:r w:rsidR="00763FD2" w:rsidRPr="00816FC2">
        <w:rPr>
          <w:szCs w:val="24"/>
        </w:rPr>
        <w:t xml:space="preserve"> first through alliances with local Salafist opposition groups and then by force. I</w:t>
      </w:r>
      <w:r w:rsidR="006211E0" w:rsidRPr="00816FC2">
        <w:rPr>
          <w:szCs w:val="24"/>
        </w:rPr>
        <w:t xml:space="preserve">n 2014, </w:t>
      </w:r>
      <w:r w:rsidR="001E00E7">
        <w:rPr>
          <w:szCs w:val="24"/>
        </w:rPr>
        <w:t xml:space="preserve">Da’esh </w:t>
      </w:r>
      <w:r w:rsidR="006211E0" w:rsidRPr="00816FC2">
        <w:rPr>
          <w:szCs w:val="24"/>
        </w:rPr>
        <w:t>announced a Caliphate</w:t>
      </w:r>
      <w:r w:rsidR="000B4BF6" w:rsidRPr="00816FC2">
        <w:rPr>
          <w:szCs w:val="24"/>
        </w:rPr>
        <w:t xml:space="preserve"> across Iraq and Syria</w:t>
      </w:r>
      <w:r w:rsidR="00480EFA" w:rsidRPr="00816FC2">
        <w:rPr>
          <w:szCs w:val="24"/>
        </w:rPr>
        <w:t xml:space="preserve">. </w:t>
      </w:r>
    </w:p>
    <w:p w:rsidR="00930FEC" w:rsidRPr="00816FC2" w:rsidRDefault="00D93D53" w:rsidP="00F75F86">
      <w:r w:rsidRPr="00816FC2">
        <w:rPr>
          <w:i/>
          <w:iCs/>
        </w:rPr>
        <w:t xml:space="preserve">De facto, </w:t>
      </w:r>
      <w:r w:rsidRPr="00816FC2">
        <w:t xml:space="preserve">Syria is now split into four distinct zones of control: the regime West, Da’esh East, </w:t>
      </w:r>
      <w:r w:rsidR="00784297">
        <w:t xml:space="preserve">Kurdish </w:t>
      </w:r>
      <w:r w:rsidRPr="00816FC2">
        <w:t>North</w:t>
      </w:r>
      <w:r w:rsidR="00E85BB7" w:rsidRPr="00816FC2">
        <w:t>,</w:t>
      </w:r>
      <w:r w:rsidRPr="00816FC2">
        <w:t xml:space="preserve"> and </w:t>
      </w:r>
      <w:r w:rsidR="00F75F86">
        <w:t xml:space="preserve">the </w:t>
      </w:r>
      <w:r w:rsidRPr="00816FC2">
        <w:t>oppositio</w:t>
      </w:r>
      <w:r w:rsidR="00F75F86">
        <w:t>n, c</w:t>
      </w:r>
      <w:r w:rsidRPr="00816FC2">
        <w:t>omprising moderate and Salafist armed groups</w:t>
      </w:r>
      <w:r w:rsidR="00F75F86">
        <w:t xml:space="preserve">, in </w:t>
      </w:r>
      <w:r w:rsidR="001860FA">
        <w:t>N</w:t>
      </w:r>
      <w:r w:rsidR="00F75F86">
        <w:t>orth-</w:t>
      </w:r>
      <w:r w:rsidR="001860FA">
        <w:t>C</w:t>
      </w:r>
      <w:r w:rsidR="00F75F86">
        <w:t>entral</w:t>
      </w:r>
      <w:r w:rsidRPr="00816FC2">
        <w:t xml:space="preserve"> Syria. </w:t>
      </w:r>
      <w:r w:rsidR="00465EAE" w:rsidRPr="00816FC2">
        <w:t xml:space="preserve">With over 250,000 dead and over 10.8 million displaced, </w:t>
      </w:r>
      <w:r w:rsidR="00CE6C28" w:rsidRPr="00816FC2">
        <w:t>the crisis has</w:t>
      </w:r>
      <w:r w:rsidR="001E00E7">
        <w:t xml:space="preserve"> </w:t>
      </w:r>
      <w:r w:rsidR="00D67619" w:rsidRPr="00816FC2">
        <w:t>proved impervious to</w:t>
      </w:r>
      <w:r w:rsidR="00F75F86">
        <w:t xml:space="preserve"> efforts to produce a negotiated settlement led by</w:t>
      </w:r>
      <w:r w:rsidR="00D67619" w:rsidRPr="00816FC2">
        <w:t xml:space="preserve"> </w:t>
      </w:r>
      <w:r w:rsidR="00B17FC6" w:rsidRPr="00816FC2">
        <w:t>UN Special Envoy Steffan de Mistura</w:t>
      </w:r>
      <w:r w:rsidR="001E00E7">
        <w:t xml:space="preserve">. </w:t>
      </w:r>
      <w:r w:rsidR="00A451CA">
        <w:t xml:space="preserve">This dialogue is </w:t>
      </w:r>
      <w:r w:rsidR="002520AE">
        <w:t>based on</w:t>
      </w:r>
      <w:r w:rsidR="00A451CA">
        <w:t xml:space="preserve"> </w:t>
      </w:r>
      <w:r w:rsidR="00B17FC6" w:rsidRPr="00816FC2">
        <w:t xml:space="preserve">the </w:t>
      </w:r>
      <w:r w:rsidR="00D67619" w:rsidRPr="00816FC2">
        <w:t>2012 Geneva Communiqué and UNSCR 2254 (2015)</w:t>
      </w:r>
      <w:r w:rsidR="001E00E7">
        <w:t xml:space="preserve"> </w:t>
      </w:r>
      <w:r w:rsidR="00A451CA">
        <w:t xml:space="preserve">which outline </w:t>
      </w:r>
      <w:r w:rsidR="00D67619" w:rsidRPr="00816FC2">
        <w:t xml:space="preserve">a path for </w:t>
      </w:r>
      <w:r w:rsidR="00897AF6" w:rsidRPr="00816FC2">
        <w:rPr>
          <w:rFonts w:eastAsia="Times New Roman" w:cs="Times New Roman"/>
        </w:rPr>
        <w:t xml:space="preserve">Syrian-owned </w:t>
      </w:r>
      <w:r w:rsidR="00D67619" w:rsidRPr="00816FC2">
        <w:t>political transition</w:t>
      </w:r>
      <w:r w:rsidR="00897AF6" w:rsidRPr="00816FC2">
        <w:t xml:space="preserve"> </w:t>
      </w:r>
      <w:r w:rsidR="00D67619" w:rsidRPr="00816FC2">
        <w:rPr>
          <w:rFonts w:eastAsia="Times New Roman" w:cs="Times New Roman"/>
        </w:rPr>
        <w:t xml:space="preserve">and </w:t>
      </w:r>
      <w:r w:rsidR="00D67619" w:rsidRPr="00816FC2">
        <w:t>includ</w:t>
      </w:r>
      <w:r w:rsidR="00897AF6" w:rsidRPr="00816FC2">
        <w:t>e</w:t>
      </w:r>
      <w:r w:rsidR="00D67619" w:rsidRPr="00816FC2">
        <w:t xml:space="preserve"> parallel processes </w:t>
      </w:r>
      <w:r w:rsidR="00897AF6" w:rsidRPr="00816FC2">
        <w:t xml:space="preserve">for </w:t>
      </w:r>
      <w:r w:rsidR="00D67619" w:rsidRPr="00816FC2">
        <w:t xml:space="preserve">a ceasefire. </w:t>
      </w:r>
      <w:r w:rsidR="00B17FC6" w:rsidRPr="00816FC2">
        <w:t>In February 2016</w:t>
      </w:r>
      <w:r w:rsidR="003D2EDF">
        <w:t xml:space="preserve">, negotiations resulted in </w:t>
      </w:r>
      <w:r w:rsidR="00B17FC6" w:rsidRPr="00816FC2">
        <w:t xml:space="preserve">a </w:t>
      </w:r>
      <w:r w:rsidR="00CC1B61" w:rsidRPr="00816FC2">
        <w:t>C</w:t>
      </w:r>
      <w:r w:rsidR="00D372EC" w:rsidRPr="00816FC2">
        <w:t xml:space="preserve">essation of </w:t>
      </w:r>
      <w:r w:rsidR="00CC1B61" w:rsidRPr="00816FC2">
        <w:t>H</w:t>
      </w:r>
      <w:r w:rsidR="00D372EC" w:rsidRPr="00816FC2">
        <w:t xml:space="preserve">ostilities </w:t>
      </w:r>
      <w:r w:rsidR="0092733E" w:rsidRPr="00816FC2">
        <w:t>(CoH)</w:t>
      </w:r>
      <w:r w:rsidR="00A451CA">
        <w:t>, b</w:t>
      </w:r>
      <w:r w:rsidR="001E00E7">
        <w:t xml:space="preserve">ut the agreement’s future </w:t>
      </w:r>
      <w:r w:rsidR="0092733E" w:rsidRPr="00816FC2">
        <w:t xml:space="preserve">is precarious </w:t>
      </w:r>
      <w:r w:rsidR="001E00E7">
        <w:t xml:space="preserve">and its terms </w:t>
      </w:r>
      <w:r w:rsidR="002520AE">
        <w:t>are increasingly</w:t>
      </w:r>
      <w:r w:rsidR="00A451CA">
        <w:t xml:space="preserve"> </w:t>
      </w:r>
      <w:r w:rsidR="0092733E" w:rsidRPr="00816FC2">
        <w:t>violat</w:t>
      </w:r>
      <w:r w:rsidR="001E00E7">
        <w:t>ed</w:t>
      </w:r>
      <w:r w:rsidR="00A451CA">
        <w:t xml:space="preserve"> by all parties</w:t>
      </w:r>
      <w:r w:rsidR="00CC1B61" w:rsidRPr="00816FC2">
        <w:t>.</w:t>
      </w:r>
      <w:r w:rsidR="002520AE">
        <w:t xml:space="preserve"> The most recent fighting around Aleppo during the summer of 2016 has put the CoH agreement under even greater strain.</w:t>
      </w:r>
    </w:p>
    <w:p w:rsidR="00DA0AD2" w:rsidRDefault="00D93D53" w:rsidP="00F75F86">
      <w:r w:rsidRPr="00816FC2">
        <w:t>Despite receiving extensive political, military and other material support from regi</w:t>
      </w:r>
      <w:r w:rsidR="00CC1B61" w:rsidRPr="00816FC2">
        <w:t xml:space="preserve">onal and international actors, three </w:t>
      </w:r>
      <w:r w:rsidR="002520AE">
        <w:t>factors</w:t>
      </w:r>
      <w:r w:rsidR="002520AE" w:rsidRPr="00816FC2">
        <w:t xml:space="preserve"> </w:t>
      </w:r>
      <w:r w:rsidR="002520AE">
        <w:t>will influence</w:t>
      </w:r>
      <w:r w:rsidRPr="00816FC2">
        <w:t xml:space="preserve"> the </w:t>
      </w:r>
      <w:r w:rsidR="000B4BF6" w:rsidRPr="00816FC2">
        <w:t xml:space="preserve">ability of </w:t>
      </w:r>
      <w:r w:rsidR="00F75F86">
        <w:t xml:space="preserve">the </w:t>
      </w:r>
      <w:r w:rsidRPr="00816FC2">
        <w:t>moderate opposition</w:t>
      </w:r>
      <w:r w:rsidR="000B4BF6" w:rsidRPr="00816FC2">
        <w:t xml:space="preserve"> (i.e. groups that reject Salafist ideologies and are working towards a democratic transition</w:t>
      </w:r>
      <w:r w:rsidR="00480EFA" w:rsidRPr="00816FC2">
        <w:t xml:space="preserve"> and are backed militarily and otherwise by Western governments</w:t>
      </w:r>
      <w:r w:rsidR="000B4BF6" w:rsidRPr="00816FC2">
        <w:t xml:space="preserve">) </w:t>
      </w:r>
      <w:r w:rsidRPr="00816FC2">
        <w:t>to hold and expand territ</w:t>
      </w:r>
      <w:r w:rsidR="00E85BB7" w:rsidRPr="00816FC2">
        <w:t>ory:</w:t>
      </w:r>
    </w:p>
    <w:p w:rsidR="002728F9" w:rsidRPr="00816FC2" w:rsidRDefault="00DA0AD2" w:rsidP="007F2463">
      <w:pPr>
        <w:spacing w:before="240"/>
      </w:pPr>
      <w:r w:rsidRPr="00816FC2">
        <w:rPr>
          <w:noProof/>
          <w:lang w:val="da-DK" w:eastAsia="da-DK"/>
        </w:rPr>
        <w:drawing>
          <wp:inline distT="0" distB="0" distL="0" distR="0" wp14:anchorId="2B3EEAE0" wp14:editId="27C54ECC">
            <wp:extent cx="6116320" cy="555913"/>
            <wp:effectExtent l="0" t="0" r="17780" b="158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2728F9" w:rsidRPr="00816FC2">
        <w:rPr>
          <w:b/>
          <w:bCs/>
        </w:rPr>
        <w:t xml:space="preserve">The opposition has been </w:t>
      </w:r>
      <w:r w:rsidR="0030357D">
        <w:rPr>
          <w:b/>
          <w:bCs/>
        </w:rPr>
        <w:t>divided</w:t>
      </w:r>
      <w:r w:rsidR="0030357D" w:rsidRPr="00816FC2">
        <w:t xml:space="preserve"> </w:t>
      </w:r>
      <w:r w:rsidR="000B4BF6" w:rsidRPr="00816FC2">
        <w:t xml:space="preserve">along ideological lines </w:t>
      </w:r>
      <w:r w:rsidR="00626F89">
        <w:t xml:space="preserve">between </w:t>
      </w:r>
      <w:r w:rsidR="000B4BF6" w:rsidRPr="00816FC2">
        <w:t xml:space="preserve">and </w:t>
      </w:r>
      <w:r w:rsidR="00626F89">
        <w:t xml:space="preserve">within </w:t>
      </w:r>
      <w:r w:rsidR="002728F9" w:rsidRPr="00816FC2">
        <w:t>political and military factions. The political opposition in Turkey, led by the Syrian Opposition Government (SOG</w:t>
      </w:r>
      <w:r w:rsidR="00226B0F" w:rsidRPr="00816FC2">
        <w:t>/SOC</w:t>
      </w:r>
      <w:r w:rsidR="002728F9" w:rsidRPr="00816FC2">
        <w:t xml:space="preserve"> or Etilaf</w:t>
      </w:r>
      <w:r w:rsidR="00A451CA">
        <w:t>,</w:t>
      </w:r>
      <w:r w:rsidR="002520AE">
        <w:t xml:space="preserve"> remains the internationally recognised opposition group, which is also</w:t>
      </w:r>
      <w:r w:rsidR="00A451CA">
        <w:t xml:space="preserve"> </w:t>
      </w:r>
      <w:r w:rsidR="00A451CA" w:rsidRPr="00816FC2">
        <w:t>recognised</w:t>
      </w:r>
      <w:r w:rsidR="00F75F86">
        <w:t xml:space="preserve"> by Denmark </w:t>
      </w:r>
      <w:r w:rsidR="00A451CA" w:rsidRPr="00816FC2">
        <w:t xml:space="preserve">as </w:t>
      </w:r>
      <w:r w:rsidR="00A451CA" w:rsidRPr="00816FC2">
        <w:rPr>
          <w:i/>
          <w:iCs/>
        </w:rPr>
        <w:t xml:space="preserve">the </w:t>
      </w:r>
      <w:r w:rsidR="00A451CA" w:rsidRPr="00816FC2">
        <w:t>legitimate representative of the Syrian people</w:t>
      </w:r>
      <w:r w:rsidR="00F729DE">
        <w:t xml:space="preserve">. </w:t>
      </w:r>
      <w:r w:rsidR="00887B8B" w:rsidRPr="00816FC2">
        <w:t xml:space="preserve">Progress towards </w:t>
      </w:r>
      <w:r w:rsidR="00A451CA">
        <w:t xml:space="preserve">greater </w:t>
      </w:r>
      <w:r w:rsidR="009E16AA">
        <w:t xml:space="preserve">intra-opposition unity </w:t>
      </w:r>
      <w:r w:rsidR="00887B8B" w:rsidRPr="00816FC2">
        <w:t xml:space="preserve">has recently </w:t>
      </w:r>
      <w:r w:rsidR="00A451CA">
        <w:t xml:space="preserve">been made </w:t>
      </w:r>
      <w:r w:rsidR="00887B8B" w:rsidRPr="00816FC2">
        <w:t>in the form</w:t>
      </w:r>
      <w:r w:rsidR="0030357D">
        <w:t>ation</w:t>
      </w:r>
      <w:r w:rsidR="00887B8B" w:rsidRPr="00816FC2">
        <w:t xml:space="preserve"> of </w:t>
      </w:r>
      <w:r w:rsidR="002728F9" w:rsidRPr="00816FC2">
        <w:t xml:space="preserve">the Higher Negotiating Committee (HNC), </w:t>
      </w:r>
      <w:r w:rsidR="0072666E">
        <w:t xml:space="preserve">established </w:t>
      </w:r>
      <w:r w:rsidR="009E16AA">
        <w:t>in</w:t>
      </w:r>
      <w:r w:rsidR="0072666E">
        <w:t xml:space="preserve"> connection with</w:t>
      </w:r>
      <w:r w:rsidR="009E16AA">
        <w:t xml:space="preserve"> </w:t>
      </w:r>
      <w:r w:rsidR="00887B8B" w:rsidRPr="00816FC2">
        <w:t xml:space="preserve">the 2015 Riyadh Conference, </w:t>
      </w:r>
      <w:r w:rsidR="009E16AA">
        <w:t xml:space="preserve">which unites </w:t>
      </w:r>
      <w:r w:rsidR="00887B8B" w:rsidRPr="00816FC2">
        <w:t xml:space="preserve">116 </w:t>
      </w:r>
      <w:r w:rsidR="00A451CA">
        <w:t xml:space="preserve">political and military </w:t>
      </w:r>
      <w:r w:rsidR="00A451CA" w:rsidRPr="009E16AA">
        <w:t>groups</w:t>
      </w:r>
      <w:r w:rsidR="00A451CA">
        <w:t xml:space="preserve"> </w:t>
      </w:r>
      <w:r w:rsidR="00887B8B" w:rsidRPr="00816FC2">
        <w:t xml:space="preserve">under </w:t>
      </w:r>
      <w:r w:rsidR="002728F9" w:rsidRPr="00816FC2">
        <w:t>Riad Hijab</w:t>
      </w:r>
      <w:r w:rsidR="009E16AA">
        <w:t>’s leadership</w:t>
      </w:r>
      <w:r w:rsidR="002728F9" w:rsidRPr="00816FC2">
        <w:t>.</w:t>
      </w:r>
    </w:p>
    <w:p w:rsidR="00255602" w:rsidRPr="00816FC2" w:rsidRDefault="00680DDF" w:rsidP="00F75F86">
      <w:r w:rsidRPr="00816FC2">
        <w:rPr>
          <w:b/>
        </w:rPr>
        <w:t>Jabhat al-Nusra</w:t>
      </w:r>
      <w:r w:rsidRPr="00816FC2">
        <w:rPr>
          <w:b/>
          <w:bCs/>
        </w:rPr>
        <w:t xml:space="preserve"> (</w:t>
      </w:r>
      <w:r w:rsidR="002728F9" w:rsidRPr="00816FC2">
        <w:rPr>
          <w:b/>
          <w:bCs/>
        </w:rPr>
        <w:t>JAN</w:t>
      </w:r>
      <w:r w:rsidRPr="00816FC2">
        <w:rPr>
          <w:b/>
          <w:bCs/>
        </w:rPr>
        <w:t>)</w:t>
      </w:r>
      <w:r w:rsidR="00E46A3D">
        <w:rPr>
          <w:b/>
          <w:bCs/>
        </w:rPr>
        <w:t>/</w:t>
      </w:r>
      <w:r w:rsidR="00E46A3D" w:rsidRPr="007F2463">
        <w:rPr>
          <w:b/>
          <w:szCs w:val="24"/>
        </w:rPr>
        <w:t>Jabhat Fatah a-Sham</w:t>
      </w:r>
      <w:r w:rsidR="002728F9" w:rsidRPr="00816FC2">
        <w:rPr>
          <w:b/>
          <w:bCs/>
        </w:rPr>
        <w:t>’s</w:t>
      </w:r>
      <w:r w:rsidR="0072666E">
        <w:rPr>
          <w:b/>
          <w:bCs/>
        </w:rPr>
        <w:t xml:space="preserve"> (JFS)</w:t>
      </w:r>
      <w:r w:rsidR="002728F9" w:rsidRPr="00816FC2">
        <w:rPr>
          <w:b/>
          <w:bCs/>
        </w:rPr>
        <w:t xml:space="preserve"> dominant role on the battlefield and in local politics</w:t>
      </w:r>
      <w:r w:rsidR="002728F9" w:rsidRPr="00816FC2">
        <w:t xml:space="preserve"> has </w:t>
      </w:r>
      <w:r w:rsidR="00F75F86">
        <w:t xml:space="preserve">fuelled donor aversion to the risk that </w:t>
      </w:r>
      <w:r w:rsidR="002728F9" w:rsidRPr="00816FC2">
        <w:t xml:space="preserve">resources </w:t>
      </w:r>
      <w:r w:rsidR="00F75F86">
        <w:t xml:space="preserve">aimed at moderates </w:t>
      </w:r>
      <w:r w:rsidR="002728F9" w:rsidRPr="00816FC2">
        <w:t xml:space="preserve">may fall </w:t>
      </w:r>
      <w:r w:rsidR="00E46A3D">
        <w:t>under</w:t>
      </w:r>
      <w:r w:rsidR="002728F9" w:rsidRPr="00816FC2">
        <w:t xml:space="preserve"> JaN control</w:t>
      </w:r>
      <w:r w:rsidR="00255602" w:rsidRPr="00816FC2">
        <w:t xml:space="preserve">. </w:t>
      </w:r>
      <w:r w:rsidR="00626F89">
        <w:t>T</w:t>
      </w:r>
      <w:r w:rsidR="00D55CAA" w:rsidRPr="00816FC2">
        <w:t>he patchwork nature of the conflict</w:t>
      </w:r>
      <w:r w:rsidR="00626F89">
        <w:t xml:space="preserve"> complicates attempts to delineate </w:t>
      </w:r>
      <w:r w:rsidR="00D55CAA" w:rsidRPr="00816FC2">
        <w:t>zones of JaN control</w:t>
      </w:r>
      <w:r w:rsidR="00D55CAA">
        <w:t xml:space="preserve">, a </w:t>
      </w:r>
      <w:r w:rsidR="00D55CAA" w:rsidRPr="00816FC2">
        <w:t>difficulty compounded by the fact that JaN can at times control access to services</w:t>
      </w:r>
      <w:r w:rsidR="00F75F86">
        <w:t>,</w:t>
      </w:r>
      <w:r w:rsidR="00D55CAA" w:rsidRPr="00816FC2">
        <w:t xml:space="preserve"> but not the territory itself.</w:t>
      </w:r>
      <w:r w:rsidR="00D55CAA">
        <w:t xml:space="preserve"> </w:t>
      </w:r>
      <w:r w:rsidR="00255602" w:rsidRPr="00816FC2">
        <w:t xml:space="preserve">This </w:t>
      </w:r>
      <w:r w:rsidR="002728F9" w:rsidRPr="00816FC2">
        <w:t xml:space="preserve">risk </w:t>
      </w:r>
      <w:r w:rsidR="00255602" w:rsidRPr="00816FC2">
        <w:t xml:space="preserve">is </w:t>
      </w:r>
      <w:r w:rsidR="002728F9" w:rsidRPr="00816FC2">
        <w:t>particularly acute in Idlib</w:t>
      </w:r>
      <w:r w:rsidR="00255602" w:rsidRPr="00816FC2">
        <w:t xml:space="preserve"> where JaN dominates</w:t>
      </w:r>
      <w:r w:rsidR="00826CAC" w:rsidRPr="00816FC2">
        <w:t xml:space="preserve"> the Jeish al-Fatih coalition of armed groups</w:t>
      </w:r>
      <w:r w:rsidR="00255602" w:rsidRPr="00816FC2">
        <w:t xml:space="preserve">, </w:t>
      </w:r>
      <w:r w:rsidR="00826CAC" w:rsidRPr="00816FC2">
        <w:t xml:space="preserve">and in the southern </w:t>
      </w:r>
      <w:r w:rsidR="00255602" w:rsidRPr="00816FC2">
        <w:t xml:space="preserve">Aleppo </w:t>
      </w:r>
      <w:r w:rsidR="00826CAC" w:rsidRPr="00816FC2">
        <w:t>countrysid</w:t>
      </w:r>
      <w:r w:rsidR="00626F89">
        <w:t>e</w:t>
      </w:r>
      <w:r w:rsidR="0072666E">
        <w:t xml:space="preserve">The recent rebranding of JAN may make it easier for some more moderate groups to ally themselves with Jabhat Fatah al-Sham, which could present new difficulties for donors working with those groups but who have </w:t>
      </w:r>
      <w:r w:rsidR="002B220D">
        <w:t xml:space="preserve">been </w:t>
      </w:r>
      <w:r w:rsidR="0072666E">
        <w:t>prohibited from working with JAN/JFS.</w:t>
      </w:r>
      <w:r w:rsidR="00826CAC" w:rsidRPr="00816FC2">
        <w:t>.</w:t>
      </w:r>
      <w:r w:rsidR="00D55CAA">
        <w:t xml:space="preserve"> </w:t>
      </w:r>
      <w:r w:rsidR="0072666E">
        <w:t>An additional challenge will be that m</w:t>
      </w:r>
      <w:r w:rsidR="00626F89">
        <w:t xml:space="preserve">oderate armed </w:t>
      </w:r>
      <w:r w:rsidR="00F75F86">
        <w:t>groups</w:t>
      </w:r>
      <w:r w:rsidR="00626F89">
        <w:t xml:space="preserve"> and civil society (CSOs) </w:t>
      </w:r>
      <w:r w:rsidR="0072666E">
        <w:t>may</w:t>
      </w:r>
      <w:r w:rsidR="00F75F86">
        <w:t xml:space="preserve"> </w:t>
      </w:r>
      <w:r w:rsidR="00626F89">
        <w:t>often</w:t>
      </w:r>
      <w:r w:rsidR="0072666E">
        <w:t xml:space="preserve"> be</w:t>
      </w:r>
      <w:r w:rsidR="00626F89">
        <w:t xml:space="preserve"> </w:t>
      </w:r>
      <w:r w:rsidR="00F75F86">
        <w:t xml:space="preserve">left </w:t>
      </w:r>
      <w:r w:rsidR="00626F89">
        <w:t xml:space="preserve">vulnerable to pressure and harassment by </w:t>
      </w:r>
      <w:r w:rsidR="00F75F86">
        <w:t xml:space="preserve">Da’esh and other </w:t>
      </w:r>
      <w:r w:rsidR="00D55CAA">
        <w:t>Salafist</w:t>
      </w:r>
      <w:r w:rsidR="00F75F86">
        <w:t xml:space="preserve"> groups</w:t>
      </w:r>
      <w:r w:rsidR="00D55CAA">
        <w:t>.</w:t>
      </w:r>
    </w:p>
    <w:p w:rsidR="00D93D53" w:rsidRPr="00816FC2" w:rsidRDefault="00B12EA9" w:rsidP="00D55CAA">
      <w:r w:rsidRPr="00816FC2">
        <w:t xml:space="preserve">Finally, </w:t>
      </w:r>
      <w:r w:rsidR="00D55CAA">
        <w:t xml:space="preserve">political and military </w:t>
      </w:r>
      <w:r w:rsidR="00D55CAA" w:rsidRPr="007F2463">
        <w:rPr>
          <w:b/>
          <w:bCs/>
        </w:rPr>
        <w:t>support from</w:t>
      </w:r>
      <w:r w:rsidR="00D55CAA">
        <w:t xml:space="preserve"> </w:t>
      </w:r>
      <w:r w:rsidR="00D55CAA" w:rsidRPr="007F2463">
        <w:rPr>
          <w:b/>
          <w:bCs/>
        </w:rPr>
        <w:t>the</w:t>
      </w:r>
      <w:r w:rsidR="00D55CAA">
        <w:t xml:space="preserve"> </w:t>
      </w:r>
      <w:r w:rsidRPr="00816FC2">
        <w:rPr>
          <w:b/>
          <w:bCs/>
        </w:rPr>
        <w:t>R</w:t>
      </w:r>
      <w:r w:rsidR="002728F9" w:rsidRPr="00816FC2">
        <w:rPr>
          <w:b/>
          <w:bCs/>
        </w:rPr>
        <w:t>us</w:t>
      </w:r>
      <w:r w:rsidR="00930FEC" w:rsidRPr="00816FC2">
        <w:rPr>
          <w:b/>
          <w:bCs/>
        </w:rPr>
        <w:t xml:space="preserve">sian </w:t>
      </w:r>
      <w:r w:rsidR="00D55CAA">
        <w:rPr>
          <w:b/>
          <w:bCs/>
        </w:rPr>
        <w:t xml:space="preserve">military, </w:t>
      </w:r>
      <w:r w:rsidR="00930FEC" w:rsidRPr="00816FC2">
        <w:rPr>
          <w:b/>
          <w:bCs/>
        </w:rPr>
        <w:t>Iran</w:t>
      </w:r>
      <w:r w:rsidR="00D55CAA">
        <w:rPr>
          <w:b/>
          <w:bCs/>
        </w:rPr>
        <w:t>’s Revolutionary Guard, Lebanon’s Hi</w:t>
      </w:r>
      <w:r w:rsidR="0072666E">
        <w:rPr>
          <w:b/>
          <w:bCs/>
        </w:rPr>
        <w:t>z</w:t>
      </w:r>
      <w:r w:rsidR="00D55CAA">
        <w:rPr>
          <w:b/>
          <w:bCs/>
        </w:rPr>
        <w:t>b’Allah and Shi’a militia from Iraq</w:t>
      </w:r>
      <w:r w:rsidR="00D55CAA" w:rsidRPr="00816FC2" w:rsidDel="00D55CAA">
        <w:rPr>
          <w:b/>
          <w:bCs/>
        </w:rPr>
        <w:t xml:space="preserve"> </w:t>
      </w:r>
      <w:r w:rsidR="002728F9" w:rsidRPr="00816FC2">
        <w:t xml:space="preserve">has enabled the Syrian regime to maintain control of the state despite losing meaningful </w:t>
      </w:r>
      <w:r w:rsidR="0030357D">
        <w:t>control</w:t>
      </w:r>
      <w:r w:rsidR="0030357D" w:rsidRPr="00816FC2">
        <w:t xml:space="preserve"> </w:t>
      </w:r>
      <w:r w:rsidR="002728F9" w:rsidRPr="00816FC2">
        <w:t xml:space="preserve">and legitimacy over large parts of the country. </w:t>
      </w:r>
      <w:r w:rsidR="00255602" w:rsidRPr="00816FC2">
        <w:rPr>
          <w:szCs w:val="24"/>
        </w:rPr>
        <w:lastRenderedPageBreak/>
        <w:t>Conversely, Qatar, the Kingdom of Saudi Arabia</w:t>
      </w:r>
      <w:r w:rsidR="000B1412" w:rsidRPr="00816FC2">
        <w:rPr>
          <w:szCs w:val="24"/>
        </w:rPr>
        <w:t>,</w:t>
      </w:r>
      <w:r w:rsidR="00480EFA" w:rsidRPr="00816FC2">
        <w:rPr>
          <w:szCs w:val="24"/>
        </w:rPr>
        <w:t xml:space="preserve"> and </w:t>
      </w:r>
      <w:r w:rsidR="00255602" w:rsidRPr="00816FC2">
        <w:rPr>
          <w:szCs w:val="24"/>
        </w:rPr>
        <w:t xml:space="preserve">Turkey continue to provide support to </w:t>
      </w:r>
      <w:r w:rsidR="001C2083" w:rsidRPr="00816FC2">
        <w:rPr>
          <w:szCs w:val="24"/>
        </w:rPr>
        <w:t>various parts of the opposition</w:t>
      </w:r>
      <w:r w:rsidR="00F75F86">
        <w:rPr>
          <w:szCs w:val="24"/>
        </w:rPr>
        <w:t>,</w:t>
      </w:r>
      <w:r w:rsidR="000B1412" w:rsidRPr="00816FC2">
        <w:rPr>
          <w:szCs w:val="24"/>
        </w:rPr>
        <w:t xml:space="preserve"> </w:t>
      </w:r>
      <w:r w:rsidR="001C2083" w:rsidRPr="00816FC2">
        <w:rPr>
          <w:szCs w:val="24"/>
        </w:rPr>
        <w:t>including Ahrar a-Sham (another Salafist-affiliated armed group with strong presence in opposition-held areas of Syria</w:t>
      </w:r>
      <w:r w:rsidR="001A75B8">
        <w:rPr>
          <w:szCs w:val="24"/>
        </w:rPr>
        <w:t>.</w:t>
      </w:r>
      <w:r w:rsidR="0072666E">
        <w:rPr>
          <w:szCs w:val="24"/>
        </w:rPr>
        <w:t>)</w:t>
      </w:r>
      <w:r w:rsidR="001A75B8">
        <w:rPr>
          <w:szCs w:val="24"/>
        </w:rPr>
        <w:t xml:space="preserve"> </w:t>
      </w:r>
      <w:r w:rsidR="00480EFA" w:rsidRPr="00816FC2">
        <w:rPr>
          <w:szCs w:val="24"/>
        </w:rPr>
        <w:t>The dominance of these armed groups on the battlefield and in local politics has further restricted the potential reach of moderate opposition groups.</w:t>
      </w:r>
      <w:r w:rsidR="00255602" w:rsidRPr="00816FC2">
        <w:rPr>
          <w:szCs w:val="24"/>
        </w:rPr>
        <w:t xml:space="preserve"> </w:t>
      </w:r>
    </w:p>
    <w:p w:rsidR="00D93D53" w:rsidRPr="00816FC2" w:rsidRDefault="00D93D53" w:rsidP="008770FD">
      <w:pPr>
        <w:pStyle w:val="Overskrift3"/>
      </w:pPr>
      <w:bookmarkStart w:id="4" w:name="_Toc444710269"/>
      <w:bookmarkStart w:id="5" w:name="_Toc446177623"/>
      <w:bookmarkStart w:id="6" w:name="_Toc446276176"/>
      <w:bookmarkStart w:id="7" w:name="_Toc446331571"/>
      <w:bookmarkStart w:id="8" w:name="_Toc446332693"/>
      <w:bookmarkStart w:id="9" w:name="_Toc323740973"/>
      <w:r w:rsidRPr="00816FC2">
        <w:t>International Stabilisation Response</w:t>
      </w:r>
      <w:bookmarkEnd w:id="4"/>
      <w:bookmarkEnd w:id="5"/>
      <w:bookmarkEnd w:id="6"/>
      <w:bookmarkEnd w:id="7"/>
      <w:bookmarkEnd w:id="8"/>
      <w:r w:rsidRPr="00816FC2">
        <w:t xml:space="preserve"> </w:t>
      </w:r>
      <w:r w:rsidR="006E7C39" w:rsidRPr="00816FC2">
        <w:t>in</w:t>
      </w:r>
      <w:r w:rsidRPr="00816FC2">
        <w:t xml:space="preserve"> Syria</w:t>
      </w:r>
      <w:bookmarkEnd w:id="9"/>
    </w:p>
    <w:p w:rsidR="00CC1B61" w:rsidRPr="00816FC2" w:rsidRDefault="00626F89" w:rsidP="000E3601">
      <w:bookmarkStart w:id="10" w:name="_Toc444710270"/>
      <w:r>
        <w:t xml:space="preserve">Donor states have pursued a variety of approaches to civilian stabilisation in response to the </w:t>
      </w:r>
      <w:r w:rsidR="00CC1B61" w:rsidRPr="00816FC2">
        <w:t>scale of the challenge in Syria</w:t>
      </w:r>
      <w:r>
        <w:t xml:space="preserve"> </w:t>
      </w:r>
      <w:r w:rsidR="000E3601">
        <w:t>in line</w:t>
      </w:r>
      <w:r>
        <w:t xml:space="preserve"> with the </w:t>
      </w:r>
      <w:r w:rsidRPr="00816FC2">
        <w:t xml:space="preserve">broader policy framework set by the Coalition, the UN and EU (see </w:t>
      </w:r>
      <w:r w:rsidR="00770D7A">
        <w:t>Section</w:t>
      </w:r>
      <w:r w:rsidRPr="00816FC2">
        <w:t xml:space="preserve"> 3)</w:t>
      </w:r>
      <w:r w:rsidR="00180FAF">
        <w:t>.</w:t>
      </w:r>
      <w:r>
        <w:t xml:space="preserve">. </w:t>
      </w:r>
      <w:r w:rsidR="000E3601">
        <w:t>Projects span</w:t>
      </w:r>
      <w:r w:rsidR="00180FAF">
        <w:t xml:space="preserve"> </w:t>
      </w:r>
      <w:r w:rsidR="00180FAF" w:rsidRPr="007F2463">
        <w:rPr>
          <w:b/>
        </w:rPr>
        <w:t>low and medium risk</w:t>
      </w:r>
      <w:r w:rsidR="000E3601">
        <w:t xml:space="preserve"> </w:t>
      </w:r>
      <w:r w:rsidR="003E2F52" w:rsidRPr="00816FC2">
        <w:t xml:space="preserve">Track I and II peace processes, </w:t>
      </w:r>
      <w:r w:rsidR="00EA5EC6">
        <w:t xml:space="preserve">support to </w:t>
      </w:r>
      <w:r w:rsidR="001A75B8">
        <w:t xml:space="preserve">improving </w:t>
      </w:r>
      <w:r w:rsidR="003E2F52" w:rsidRPr="00816FC2">
        <w:t xml:space="preserve">resilience, service delivery, good governance, </w:t>
      </w:r>
      <w:r w:rsidR="00EA5EC6">
        <w:t xml:space="preserve">civil society, and </w:t>
      </w:r>
      <w:r w:rsidR="003E2F52" w:rsidRPr="00816FC2">
        <w:t xml:space="preserve">to security and justice in liberated areas, and </w:t>
      </w:r>
      <w:r w:rsidR="000E3601">
        <w:t xml:space="preserve">the </w:t>
      </w:r>
      <w:r w:rsidR="003E2F52" w:rsidRPr="00816FC2">
        <w:rPr>
          <w:b/>
          <w:bCs/>
        </w:rPr>
        <w:t>high-risk</w:t>
      </w:r>
      <w:r w:rsidR="003E2F52" w:rsidRPr="00816FC2">
        <w:t xml:space="preserve"> provision of non-lethal aid to select </w:t>
      </w:r>
      <w:r w:rsidR="003C539A" w:rsidRPr="00816FC2">
        <w:t xml:space="preserve">moderate armed </w:t>
      </w:r>
      <w:r w:rsidR="00A039C0" w:rsidRPr="00816FC2">
        <w:t xml:space="preserve">opposition </w:t>
      </w:r>
      <w:r w:rsidR="003C539A" w:rsidRPr="00816FC2">
        <w:t>group</w:t>
      </w:r>
      <w:r w:rsidR="000E3601">
        <w:t>s (</w:t>
      </w:r>
      <w:r w:rsidR="003E2F52" w:rsidRPr="00816FC2">
        <w:t xml:space="preserve">judged to be high risk in view of its cost and </w:t>
      </w:r>
      <w:r w:rsidR="009E6771" w:rsidRPr="00816FC2">
        <w:t>its uncertain impact</w:t>
      </w:r>
      <w:r w:rsidR="000E3601">
        <w:t>)</w:t>
      </w:r>
      <w:r w:rsidR="009E6771" w:rsidRPr="00816FC2">
        <w:t>.</w:t>
      </w:r>
    </w:p>
    <w:p w:rsidR="00D93D53" w:rsidRPr="00816FC2" w:rsidRDefault="00CC1B61" w:rsidP="007F2463">
      <w:r w:rsidRPr="00816FC2">
        <w:t>The UK, for example, funds 25 programmes across fi</w:t>
      </w:r>
      <w:r w:rsidR="000A43E0" w:rsidRPr="00816FC2">
        <w:t>ve broad stabilisation pillars</w:t>
      </w:r>
      <w:r w:rsidR="000E3601">
        <w:t xml:space="preserve"> </w:t>
      </w:r>
      <w:r w:rsidR="000A43E0" w:rsidRPr="00816FC2">
        <w:t>includ</w:t>
      </w:r>
      <w:r w:rsidR="000E3601">
        <w:t>ing</w:t>
      </w:r>
      <w:r w:rsidR="000A43E0" w:rsidRPr="00816FC2">
        <w:t xml:space="preserve"> </w:t>
      </w:r>
      <w:r w:rsidRPr="00816FC2">
        <w:t>governance</w:t>
      </w:r>
      <w:r w:rsidR="00301101" w:rsidRPr="00301101">
        <w:rPr>
          <w:i/>
          <w:iCs/>
        </w:rPr>
        <w:t xml:space="preserve"> </w:t>
      </w:r>
      <w:r w:rsidR="00301101" w:rsidRPr="007F2463">
        <w:t>(</w:t>
      </w:r>
      <w:r w:rsidR="00301101" w:rsidRPr="00A947E7">
        <w:rPr>
          <w:i/>
          <w:iCs/>
        </w:rPr>
        <w:t>Tamkeen</w:t>
      </w:r>
      <w:r w:rsidR="00301101" w:rsidRPr="00A947E7">
        <w:rPr>
          <w:vertAlign w:val="superscript"/>
        </w:rPr>
        <w:footnoteReference w:id="3"/>
      </w:r>
      <w:r w:rsidR="00301101" w:rsidRPr="00816FC2">
        <w:t>)</w:t>
      </w:r>
      <w:r w:rsidR="000E3601">
        <w:t xml:space="preserve"> and </w:t>
      </w:r>
      <w:r w:rsidRPr="00816FC2">
        <w:t xml:space="preserve">strategic communications </w:t>
      </w:r>
      <w:r w:rsidR="000A43E0" w:rsidRPr="00816FC2">
        <w:t xml:space="preserve">France </w:t>
      </w:r>
      <w:r w:rsidR="000E3601">
        <w:t>is focused up</w:t>
      </w:r>
      <w:r w:rsidR="000A43E0" w:rsidRPr="00816FC2">
        <w:t xml:space="preserve">on building </w:t>
      </w:r>
      <w:r w:rsidR="001A75B8">
        <w:t xml:space="preserve">Syrian </w:t>
      </w:r>
      <w:r w:rsidR="000A43E0" w:rsidRPr="00816FC2">
        <w:t>CSO capacity</w:t>
      </w:r>
      <w:r w:rsidR="000E3601">
        <w:t>, and</w:t>
      </w:r>
      <w:r w:rsidR="000A43E0" w:rsidRPr="00816FC2">
        <w:t xml:space="preserve"> </w:t>
      </w:r>
      <w:r w:rsidR="000E3601">
        <w:t>t</w:t>
      </w:r>
      <w:r w:rsidR="000A43E0" w:rsidRPr="00816FC2">
        <w:t xml:space="preserve">he </w:t>
      </w:r>
      <w:r w:rsidRPr="00816FC2">
        <w:t>Netherland</w:t>
      </w:r>
      <w:r w:rsidR="00301101">
        <w:t xml:space="preserve"> </w:t>
      </w:r>
      <w:r w:rsidR="00897AF6" w:rsidRPr="00816FC2">
        <w:t>provi</w:t>
      </w:r>
      <w:r w:rsidR="00301101">
        <w:t>des</w:t>
      </w:r>
      <w:r w:rsidR="00897AF6" w:rsidRPr="00816FC2">
        <w:t xml:space="preserve"> non-lethal aid </w:t>
      </w:r>
      <w:r w:rsidR="00000D14">
        <w:t xml:space="preserve">and provides material </w:t>
      </w:r>
      <w:r w:rsidRPr="00816FC2">
        <w:t>alternatives to JaN and Da’esh</w:t>
      </w:r>
      <w:r w:rsidR="00301101">
        <w:t xml:space="preserve"> through </w:t>
      </w:r>
      <w:r w:rsidR="000A43E0" w:rsidRPr="00816FC2">
        <w:t xml:space="preserve">employment. </w:t>
      </w:r>
      <w:r w:rsidR="00301101">
        <w:t xml:space="preserve">Notwithstanding these differences, </w:t>
      </w:r>
      <w:r w:rsidR="00B5663A">
        <w:t xml:space="preserve">key donors </w:t>
      </w:r>
      <w:r w:rsidR="00301101">
        <w:t xml:space="preserve">are aligned in their </w:t>
      </w:r>
      <w:r w:rsidR="001A75B8">
        <w:t>support</w:t>
      </w:r>
      <w:r w:rsidR="00897AF6" w:rsidRPr="00816FC2">
        <w:t xml:space="preserve"> </w:t>
      </w:r>
      <w:r w:rsidR="00301101">
        <w:t xml:space="preserve">to </w:t>
      </w:r>
      <w:r w:rsidR="00B5663A">
        <w:t xml:space="preserve">a number of </w:t>
      </w:r>
      <w:r w:rsidR="00301101">
        <w:t>core programmes</w:t>
      </w:r>
      <w:r w:rsidR="00B5663A">
        <w:t xml:space="preserve">, such as </w:t>
      </w:r>
      <w:r w:rsidR="00301101">
        <w:t>the Track I peace process,</w:t>
      </w:r>
      <w:r w:rsidR="003A22AC" w:rsidRPr="00816FC2">
        <w:t xml:space="preserve"> </w:t>
      </w:r>
      <w:r w:rsidR="008702D7" w:rsidRPr="00816FC2">
        <w:rPr>
          <w:bCs/>
          <w:i/>
        </w:rPr>
        <w:t>A</w:t>
      </w:r>
      <w:r w:rsidR="00D93D53" w:rsidRPr="00816FC2">
        <w:rPr>
          <w:bCs/>
          <w:i/>
        </w:rPr>
        <w:t>ccess to Justice and Community Security</w:t>
      </w:r>
      <w:r w:rsidR="00D93D53" w:rsidRPr="00816FC2">
        <w:rPr>
          <w:i/>
        </w:rPr>
        <w:t xml:space="preserve"> </w:t>
      </w:r>
      <w:r w:rsidR="009544D3" w:rsidRPr="00816FC2">
        <w:rPr>
          <w:i/>
        </w:rPr>
        <w:t>– AJACS</w:t>
      </w:r>
      <w:r w:rsidR="009544D3" w:rsidRPr="00816FC2">
        <w:t xml:space="preserve"> </w:t>
      </w:r>
      <w:r w:rsidR="00D93D53" w:rsidRPr="00816FC2">
        <w:t>(</w:t>
      </w:r>
      <w:r w:rsidR="003A22AC" w:rsidRPr="00816FC2">
        <w:t>Security &amp; Justice</w:t>
      </w:r>
      <w:r w:rsidR="003A22AC" w:rsidRPr="00816FC2">
        <w:rPr>
          <w:rStyle w:val="Fodnotehenvisning"/>
        </w:rPr>
        <w:footnoteReference w:id="4"/>
      </w:r>
      <w:r w:rsidR="00D93D53" w:rsidRPr="00816FC2">
        <w:t>)</w:t>
      </w:r>
      <w:r w:rsidR="00301101">
        <w:t>,</w:t>
      </w:r>
      <w:r w:rsidR="003A22AC" w:rsidRPr="00816FC2">
        <w:t xml:space="preserve"> </w:t>
      </w:r>
      <w:r w:rsidR="000A43E0" w:rsidRPr="00816FC2">
        <w:rPr>
          <w:bCs/>
          <w:i/>
        </w:rPr>
        <w:t xml:space="preserve">Syrian </w:t>
      </w:r>
      <w:r w:rsidR="00D93D53" w:rsidRPr="00816FC2">
        <w:rPr>
          <w:bCs/>
          <w:i/>
        </w:rPr>
        <w:t>Civil Defence</w:t>
      </w:r>
      <w:r w:rsidR="00D93D53" w:rsidRPr="00816FC2">
        <w:t xml:space="preserve"> </w:t>
      </w:r>
      <w:r w:rsidR="003A22AC" w:rsidRPr="00816FC2">
        <w:t>(Resilience</w:t>
      </w:r>
      <w:r w:rsidR="003A22AC" w:rsidRPr="00816FC2">
        <w:rPr>
          <w:rStyle w:val="Fodnotehenvisning"/>
        </w:rPr>
        <w:footnoteReference w:id="5"/>
      </w:r>
      <w:r w:rsidR="003A22AC" w:rsidRPr="00816FC2">
        <w:t xml:space="preserve">) </w:t>
      </w:r>
      <w:r w:rsidR="00301101">
        <w:t xml:space="preserve">and </w:t>
      </w:r>
      <w:r w:rsidR="003A22AC" w:rsidRPr="00816FC2">
        <w:t xml:space="preserve">the </w:t>
      </w:r>
      <w:r w:rsidR="003A22AC" w:rsidRPr="00816FC2">
        <w:rPr>
          <w:bCs/>
          <w:i/>
        </w:rPr>
        <w:t xml:space="preserve">Syria Recovery Trust Fund </w:t>
      </w:r>
      <w:r w:rsidR="009544D3" w:rsidRPr="00816FC2">
        <w:rPr>
          <w:bCs/>
          <w:i/>
        </w:rPr>
        <w:t>– SRTF</w:t>
      </w:r>
      <w:r w:rsidR="009544D3" w:rsidRPr="00816FC2">
        <w:rPr>
          <w:bCs/>
        </w:rPr>
        <w:t xml:space="preserve"> </w:t>
      </w:r>
      <w:r w:rsidR="003A22AC" w:rsidRPr="00816FC2">
        <w:t>(Stabilisation</w:t>
      </w:r>
      <w:r w:rsidR="00076DEC" w:rsidRPr="00816FC2">
        <w:rPr>
          <w:rStyle w:val="Fodnotehenvisning"/>
        </w:rPr>
        <w:footnoteReference w:id="6"/>
      </w:r>
      <w:r w:rsidR="00076DEC" w:rsidRPr="00816FC2">
        <w:t>)</w:t>
      </w:r>
      <w:r w:rsidR="00301101">
        <w:t xml:space="preserve">, </w:t>
      </w:r>
      <w:r w:rsidR="00000D14">
        <w:t xml:space="preserve">all </w:t>
      </w:r>
      <w:r w:rsidR="00B5663A">
        <w:t xml:space="preserve">of which are also </w:t>
      </w:r>
      <w:r w:rsidR="00301101">
        <w:t xml:space="preserve">supported </w:t>
      </w:r>
      <w:r w:rsidR="00000D14">
        <w:t xml:space="preserve">under </w:t>
      </w:r>
      <w:r w:rsidR="00301101">
        <w:t>this Programme</w:t>
      </w:r>
      <w:r w:rsidR="00076DEC">
        <w:t>.</w:t>
      </w:r>
      <w:r w:rsidR="00076DEC" w:rsidRPr="00816FC2">
        <w:t xml:space="preserve"> </w:t>
      </w:r>
    </w:p>
    <w:p w:rsidR="00D93D53" w:rsidRPr="00816FC2" w:rsidRDefault="009E16AA" w:rsidP="009E16AA">
      <w:r>
        <w:t>I</w:t>
      </w:r>
      <w:r w:rsidR="00022D74" w:rsidRPr="00816FC2">
        <w:t xml:space="preserve">mplementation of stabilisation interventions </w:t>
      </w:r>
      <w:r w:rsidR="008E436E" w:rsidRPr="00816FC2">
        <w:t>has</w:t>
      </w:r>
      <w:r w:rsidR="00022D74" w:rsidRPr="00816FC2">
        <w:t xml:space="preserve"> been challenged by a number of factors</w:t>
      </w:r>
      <w:r w:rsidR="000E3601">
        <w:t xml:space="preserve"> inherent to the context</w:t>
      </w:r>
      <w:r w:rsidR="00D93D53" w:rsidRPr="00816FC2">
        <w:t>.</w:t>
      </w:r>
      <w:r w:rsidR="00A039C0" w:rsidRPr="00816FC2">
        <w:t xml:space="preserve"> S</w:t>
      </w:r>
      <w:r w:rsidR="00D93D53" w:rsidRPr="00816FC2">
        <w:t xml:space="preserve">hifting </w:t>
      </w:r>
      <w:r w:rsidR="002B7909">
        <w:t>conflict-</w:t>
      </w:r>
      <w:r w:rsidR="00D93D53" w:rsidRPr="00816FC2">
        <w:t xml:space="preserve">lines alter the space within which projects can operate based on access and environment (e.g. whether JaN or another </w:t>
      </w:r>
      <w:r w:rsidR="000E3601">
        <w:t xml:space="preserve">DTO is in </w:t>
      </w:r>
      <w:r w:rsidR="00D93D53" w:rsidRPr="00816FC2">
        <w:t xml:space="preserve">control). </w:t>
      </w:r>
      <w:r w:rsidR="000E3601">
        <w:t>A</w:t>
      </w:r>
      <w:r w:rsidR="00D93D53" w:rsidRPr="00816FC2">
        <w:t>ssistance (and monitoring) needs to be managed remotely</w:t>
      </w:r>
      <w:r w:rsidR="00301101">
        <w:t xml:space="preserve"> </w:t>
      </w:r>
      <w:r w:rsidR="00301101" w:rsidRPr="00816FC2">
        <w:t xml:space="preserve">from </w:t>
      </w:r>
      <w:r w:rsidR="002B7909">
        <w:t xml:space="preserve">Istanbul, </w:t>
      </w:r>
      <w:r w:rsidR="00301101" w:rsidRPr="00816FC2">
        <w:t>Gaziantep, northern Jordan or Beirut</w:t>
      </w:r>
      <w:r w:rsidR="00D93D53" w:rsidRPr="00816FC2">
        <w:t xml:space="preserve"> adding to </w:t>
      </w:r>
      <w:r>
        <w:t xml:space="preserve">cost, </w:t>
      </w:r>
      <w:r w:rsidR="000E3601">
        <w:t>complexity</w:t>
      </w:r>
      <w:r>
        <w:t xml:space="preserve"> </w:t>
      </w:r>
      <w:r w:rsidR="00D93D53" w:rsidRPr="00816FC2">
        <w:t xml:space="preserve">and risk. Turkey-based implementers continue to raise concerns about the challenging legal and political environment in which they operate. Finally, competing national priorities and policy differences can at times render </w:t>
      </w:r>
      <w:r w:rsidR="00301101">
        <w:t xml:space="preserve">joint </w:t>
      </w:r>
      <w:r w:rsidR="00D93D53" w:rsidRPr="00816FC2">
        <w:t>implementation challenging.</w:t>
      </w:r>
      <w:r w:rsidR="00301101">
        <w:t xml:space="preserve"> </w:t>
      </w:r>
      <w:r w:rsidR="000E3601">
        <w:t xml:space="preserve">These challenges have </w:t>
      </w:r>
      <w:r>
        <w:t xml:space="preserve">given rise to </w:t>
      </w:r>
      <w:r w:rsidR="00DE4930">
        <w:t xml:space="preserve">a number of </w:t>
      </w:r>
      <w:r w:rsidR="000E3601">
        <w:t xml:space="preserve">specific lessons (see Section </w:t>
      </w:r>
      <w:r w:rsidR="007322A3">
        <w:t>3</w:t>
      </w:r>
      <w:r w:rsidR="000E3601">
        <w:t>).</w:t>
      </w:r>
      <w:r w:rsidR="00D93D53" w:rsidRPr="00816FC2">
        <w:t xml:space="preserve"> </w:t>
      </w:r>
    </w:p>
    <w:p w:rsidR="00D93D53" w:rsidRPr="00816FC2" w:rsidRDefault="00D93D53" w:rsidP="0080400C">
      <w:pPr>
        <w:pStyle w:val="Overskrift2"/>
      </w:pPr>
      <w:bookmarkStart w:id="11" w:name="_Toc323740974"/>
      <w:bookmarkStart w:id="12" w:name="_Toc446332695"/>
      <w:bookmarkStart w:id="13" w:name="_Toc332370504"/>
      <w:bookmarkEnd w:id="10"/>
      <w:r w:rsidRPr="00816FC2">
        <w:t>Iraq</w:t>
      </w:r>
      <w:bookmarkEnd w:id="11"/>
      <w:r w:rsidRPr="00816FC2">
        <w:t xml:space="preserve"> </w:t>
      </w:r>
      <w:bookmarkEnd w:id="12"/>
      <w:r w:rsidR="00A039C0" w:rsidRPr="00816FC2">
        <w:t xml:space="preserve">– </w:t>
      </w:r>
      <w:r w:rsidR="00F56020" w:rsidRPr="00816FC2">
        <w:t>Stabilising a disintegrating State</w:t>
      </w:r>
      <w:bookmarkEnd w:id="13"/>
    </w:p>
    <w:p w:rsidR="00C50093" w:rsidRDefault="00E4760B" w:rsidP="00CC3AB5">
      <w:r w:rsidRPr="00816FC2">
        <w:t xml:space="preserve">Iraq has </w:t>
      </w:r>
      <w:r w:rsidR="00F75F86">
        <w:t xml:space="preserve">since 2003 </w:t>
      </w:r>
      <w:r w:rsidRPr="00816FC2">
        <w:t xml:space="preserve">received extensive stabilisation and military support from international partners </w:t>
      </w:r>
      <w:r w:rsidR="00F75F86">
        <w:t>(</w:t>
      </w:r>
      <w:r w:rsidRPr="00816FC2">
        <w:t>in</w:t>
      </w:r>
      <w:r w:rsidR="00C04B77">
        <w:t xml:space="preserve">cluding </w:t>
      </w:r>
      <w:r w:rsidRPr="00816FC2">
        <w:t>finance, equipment and training</w:t>
      </w:r>
      <w:r w:rsidR="00F75F86">
        <w:t>)</w:t>
      </w:r>
      <w:r w:rsidRPr="00816FC2">
        <w:t xml:space="preserve"> targeted at its security and </w:t>
      </w:r>
      <w:r w:rsidR="00C04B77">
        <w:t>justice sectors</w:t>
      </w:r>
      <w:r w:rsidRPr="00816FC2">
        <w:t>.</w:t>
      </w:r>
      <w:r>
        <w:t xml:space="preserve"> </w:t>
      </w:r>
      <w:r w:rsidR="00C04B77">
        <w:t xml:space="preserve">Nevertheless, </w:t>
      </w:r>
      <w:r>
        <w:t>t</w:t>
      </w:r>
      <w:r w:rsidR="005A063C" w:rsidRPr="00816FC2">
        <w:t xml:space="preserve">he </w:t>
      </w:r>
      <w:r w:rsidR="00C50093">
        <w:t xml:space="preserve">past five years have seen the gradual erosion of Iraq’s political integrity. </w:t>
      </w:r>
      <w:r w:rsidR="00C50093" w:rsidRPr="00816FC2">
        <w:t xml:space="preserve">The </w:t>
      </w:r>
      <w:r w:rsidR="002E7FDA">
        <w:t>G</w:t>
      </w:r>
      <w:r w:rsidR="00C50093" w:rsidRPr="00816FC2">
        <w:t xml:space="preserve">overnment </w:t>
      </w:r>
      <w:r w:rsidR="00C50093">
        <w:t xml:space="preserve">(GoI) </w:t>
      </w:r>
      <w:r w:rsidR="00C50093" w:rsidRPr="00816FC2">
        <w:t xml:space="preserve">led by Prime Minister Haidar al-Abadi (Abadi) is battling Da’esh in the central Sunni provinces, managing a secessionist Kurdish current in the North, and attempting to extend control over Iran-backed Shi’a militia operating </w:t>
      </w:r>
      <w:r w:rsidR="00C04B77">
        <w:t xml:space="preserve">within </w:t>
      </w:r>
      <w:r w:rsidR="00C50093" w:rsidRPr="00816FC2">
        <w:t>the state.</w:t>
      </w:r>
      <w:r w:rsidR="00C04B77">
        <w:t xml:space="preserve"> </w:t>
      </w:r>
    </w:p>
    <w:p w:rsidR="00000D14" w:rsidRDefault="00C50093" w:rsidP="00CC3AB5">
      <w:pPr>
        <w:rPr>
          <w:noProof/>
          <w:lang w:eastAsia="en-GB"/>
        </w:rPr>
      </w:pPr>
      <w:r>
        <w:t xml:space="preserve">The </w:t>
      </w:r>
      <w:r w:rsidR="00E4760B">
        <w:t>GoI</w:t>
      </w:r>
      <w:r w:rsidRPr="00816FC2">
        <w:t>’s fight against Da’esh intensified in 2014 following the fall of Fallujah, Mosul</w:t>
      </w:r>
      <w:r>
        <w:t>,</w:t>
      </w:r>
      <w:r w:rsidRPr="00816FC2">
        <w:t xml:space="preserve"> </w:t>
      </w:r>
      <w:r w:rsidR="002B7909">
        <w:t xml:space="preserve">as well as large parts </w:t>
      </w:r>
      <w:r>
        <w:t xml:space="preserve">of </w:t>
      </w:r>
      <w:r w:rsidRPr="00816FC2">
        <w:t xml:space="preserve">north-central Iraq and Da’esh’s declaration of a Caliphate. </w:t>
      </w:r>
      <w:r w:rsidR="00CC3AB5">
        <w:t xml:space="preserve">This has so far resulted in the displacement of 2.5 million Iraqis and a large-scale stabilisation and demining challenge. </w:t>
      </w:r>
      <w:r w:rsidR="00932C3B">
        <w:t>Progress has been made</w:t>
      </w:r>
      <w:r w:rsidR="00F56020" w:rsidRPr="00816FC2">
        <w:t xml:space="preserve"> against Da’esh in Anbar, Ramadi, Salah-e-Din and pockets of Central Iraq by Coalition forces and Iraqi armed groups (including the Iraqi Security Forces</w:t>
      </w:r>
      <w:r w:rsidR="00CC3AB5">
        <w:t xml:space="preserve">, </w:t>
      </w:r>
      <w:r w:rsidR="00C04B77">
        <w:t>ISF</w:t>
      </w:r>
      <w:r w:rsidR="00F56020" w:rsidRPr="00816FC2">
        <w:t>, Kurdish Peshmerga, Sunni militiamen and t</w:t>
      </w:r>
      <w:r w:rsidR="00794968" w:rsidRPr="00816FC2">
        <w:t>he Popular Mobilisation Units</w:t>
      </w:r>
      <w:r w:rsidR="00022D74" w:rsidRPr="00816FC2">
        <w:t>, PMUs</w:t>
      </w:r>
      <w:r w:rsidR="00794968" w:rsidRPr="00816FC2">
        <w:t xml:space="preserve">), </w:t>
      </w:r>
      <w:r w:rsidR="00932C3B">
        <w:t xml:space="preserve">but </w:t>
      </w:r>
      <w:r w:rsidR="00C04B77">
        <w:t xml:space="preserve">as the push towards Mosul continues, </w:t>
      </w:r>
      <w:r w:rsidR="00C04B77" w:rsidRPr="00816FC2">
        <w:t xml:space="preserve">Iraq’s political fabric </w:t>
      </w:r>
      <w:r w:rsidR="00932C3B">
        <w:t>remains</w:t>
      </w:r>
      <w:r w:rsidR="00C04B77" w:rsidRPr="00816FC2">
        <w:t xml:space="preserve"> weak and its territorial integrity threatened</w:t>
      </w:r>
      <w:r w:rsidR="00C04B77">
        <w:t xml:space="preserve">. </w:t>
      </w:r>
      <w:r w:rsidR="00212A89" w:rsidRPr="00816FC2">
        <w:t xml:space="preserve">The following </w:t>
      </w:r>
      <w:r w:rsidR="00D93D53" w:rsidRPr="00816FC2">
        <w:t>dynamics</w:t>
      </w:r>
      <w:r w:rsidR="002B6100" w:rsidRPr="00816FC2">
        <w:t xml:space="preserve"> </w:t>
      </w:r>
      <w:r w:rsidR="007D6590" w:rsidRPr="00816FC2">
        <w:t xml:space="preserve">erode </w:t>
      </w:r>
      <w:r w:rsidR="002416E2" w:rsidRPr="00816FC2">
        <w:t xml:space="preserve">the </w:t>
      </w:r>
      <w:r w:rsidR="00F854BF">
        <w:t>GoI’s</w:t>
      </w:r>
      <w:r w:rsidR="00F854BF" w:rsidRPr="00816FC2">
        <w:t xml:space="preserve"> </w:t>
      </w:r>
      <w:r w:rsidR="007D6590" w:rsidRPr="00816FC2">
        <w:t>legitimacy</w:t>
      </w:r>
      <w:r w:rsidR="00CC3AB5">
        <w:t xml:space="preserve"> </w:t>
      </w:r>
      <w:r w:rsidR="007D6590" w:rsidRPr="00816FC2">
        <w:t xml:space="preserve">and </w:t>
      </w:r>
      <w:r w:rsidR="00D93D53" w:rsidRPr="00816FC2">
        <w:t xml:space="preserve">set the </w:t>
      </w:r>
      <w:r w:rsidR="00212A89" w:rsidRPr="00816FC2">
        <w:t>conditions</w:t>
      </w:r>
      <w:r w:rsidR="00A039C0" w:rsidRPr="00816FC2">
        <w:t xml:space="preserve"> for the </w:t>
      </w:r>
      <w:r w:rsidR="00B73FCB">
        <w:t xml:space="preserve">present </w:t>
      </w:r>
      <w:r w:rsidR="00212A89" w:rsidRPr="00816FC2">
        <w:t xml:space="preserve">political and </w:t>
      </w:r>
      <w:r w:rsidR="00B73FCB">
        <w:t>security</w:t>
      </w:r>
      <w:r w:rsidR="00212A89" w:rsidRPr="00816FC2">
        <w:t xml:space="preserve"> cris</w:t>
      </w:r>
      <w:r w:rsidR="00B73FCB">
        <w:t>i</w:t>
      </w:r>
      <w:r w:rsidR="00212A89" w:rsidRPr="00816FC2">
        <w:t>s</w:t>
      </w:r>
      <w:r w:rsidR="00A039C0" w:rsidRPr="00816FC2">
        <w:t>:</w:t>
      </w:r>
      <w:r w:rsidR="00000D14" w:rsidRPr="00000D14">
        <w:rPr>
          <w:noProof/>
          <w:lang w:eastAsia="en-GB"/>
        </w:rPr>
        <w:t xml:space="preserve"> </w:t>
      </w:r>
    </w:p>
    <w:p w:rsidR="00D93D53" w:rsidRPr="00816FC2" w:rsidRDefault="00000D14" w:rsidP="00F854BF">
      <w:r w:rsidRPr="00816FC2">
        <w:rPr>
          <w:noProof/>
          <w:lang w:val="da-DK" w:eastAsia="da-DK"/>
        </w:rPr>
        <w:lastRenderedPageBreak/>
        <w:drawing>
          <wp:inline distT="0" distB="0" distL="0" distR="0" wp14:anchorId="428F39B7" wp14:editId="0BA5F089">
            <wp:extent cx="6116320" cy="487996"/>
            <wp:effectExtent l="0" t="0" r="1778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E7C39" w:rsidRPr="00816FC2" w:rsidRDefault="006E7C39" w:rsidP="00966D60">
      <w:r w:rsidRPr="00816FC2">
        <w:t xml:space="preserve">The </w:t>
      </w:r>
      <w:r w:rsidRPr="00816FC2">
        <w:rPr>
          <w:b/>
          <w:bCs/>
        </w:rPr>
        <w:t>absence of a political settlement</w:t>
      </w:r>
      <w:r w:rsidRPr="00816FC2">
        <w:t xml:space="preserve"> and </w:t>
      </w:r>
      <w:r w:rsidR="00022D74" w:rsidRPr="00816FC2">
        <w:t>dis</w:t>
      </w:r>
      <w:r w:rsidRPr="00816FC2">
        <w:t xml:space="preserve">interest in reconciliation has weakened the </w:t>
      </w:r>
      <w:r w:rsidR="00932C3B">
        <w:t xml:space="preserve">strength of the </w:t>
      </w:r>
      <w:r w:rsidRPr="00816FC2">
        <w:t>state</w:t>
      </w:r>
      <w:r w:rsidR="00932C3B">
        <w:t>’s institutions</w:t>
      </w:r>
      <w:r w:rsidRPr="00816FC2">
        <w:t>. Memories of human rights atrocities experienced at the hands of the Ba’ath party by the Kurds in the 1980s and Shi’a until Saddam Hussein’s downfall in 2003 have been left unaddressed</w:t>
      </w:r>
      <w:r w:rsidR="00966D60">
        <w:t xml:space="preserve"> and</w:t>
      </w:r>
      <w:r w:rsidRPr="00816FC2">
        <w:t xml:space="preserve"> </w:t>
      </w:r>
      <w:r w:rsidR="00966D60">
        <w:t>t</w:t>
      </w:r>
      <w:r w:rsidRPr="00816FC2">
        <w:t xml:space="preserve">he sectarian basis upon which the state </w:t>
      </w:r>
      <w:r w:rsidR="00966D60">
        <w:t xml:space="preserve">was </w:t>
      </w:r>
      <w:r w:rsidRPr="00816FC2">
        <w:t xml:space="preserve">constructed post-2003 has entrenched </w:t>
      </w:r>
      <w:r w:rsidR="00966D60">
        <w:t xml:space="preserve">sectarian </w:t>
      </w:r>
      <w:r w:rsidRPr="00816FC2">
        <w:t>division</w:t>
      </w:r>
      <w:r w:rsidR="00B34A6C">
        <w:t>s</w:t>
      </w:r>
      <w:r w:rsidRPr="00816FC2">
        <w:t>.</w:t>
      </w:r>
      <w:r w:rsidR="00966D60">
        <w:t xml:space="preserve"> Inter and Intra-sectarian rivalry is rife.</w:t>
      </w:r>
      <w:r w:rsidR="00CC3AB5" w:rsidRPr="00CC3AB5">
        <w:t xml:space="preserve"> </w:t>
      </w:r>
      <w:r w:rsidR="00CC3AB5">
        <w:t>The a</w:t>
      </w:r>
      <w:r w:rsidR="00CC3AB5" w:rsidRPr="00816FC2">
        <w:t xml:space="preserve">buses of Sunni men </w:t>
      </w:r>
      <w:r w:rsidR="00CC3AB5">
        <w:t xml:space="preserve">at </w:t>
      </w:r>
      <w:r w:rsidR="00CC3AB5" w:rsidRPr="00816FC2">
        <w:t>the hand of PMU forces are widely reported</w:t>
      </w:r>
      <w:r w:rsidR="00CC3AB5">
        <w:t>;</w:t>
      </w:r>
      <w:r w:rsidR="00CC3AB5" w:rsidRPr="00966D60">
        <w:t xml:space="preserve"> </w:t>
      </w:r>
      <w:r w:rsidR="00CC3AB5">
        <w:t>f</w:t>
      </w:r>
      <w:r w:rsidR="00CC3AB5" w:rsidRPr="00816FC2">
        <w:t xml:space="preserve">ears abound in </w:t>
      </w:r>
      <w:r w:rsidR="00CC3AB5">
        <w:t xml:space="preserve">Sunni </w:t>
      </w:r>
      <w:r w:rsidR="00CC3AB5" w:rsidRPr="00816FC2">
        <w:t>Mosul</w:t>
      </w:r>
      <w:r w:rsidR="00CC3AB5">
        <w:t xml:space="preserve"> </w:t>
      </w:r>
      <w:r w:rsidR="00CC3AB5" w:rsidRPr="00816FC2">
        <w:t xml:space="preserve">that </w:t>
      </w:r>
      <w:r w:rsidR="00CC3AB5">
        <w:t xml:space="preserve">Mosulawis will be </w:t>
      </w:r>
      <w:r w:rsidR="00CC3AB5" w:rsidRPr="00816FC2">
        <w:t xml:space="preserve">‘liberated’ by hostile forces </w:t>
      </w:r>
      <w:r w:rsidR="00CC3AB5">
        <w:t xml:space="preserve">intent on </w:t>
      </w:r>
      <w:r w:rsidR="00CC3AB5" w:rsidRPr="00816FC2">
        <w:t>retribution</w:t>
      </w:r>
      <w:r w:rsidR="00CC3AB5">
        <w:t>.</w:t>
      </w:r>
    </w:p>
    <w:p w:rsidR="002B6100" w:rsidRPr="00816FC2" w:rsidRDefault="002B6100" w:rsidP="00CC3AB5">
      <w:r w:rsidRPr="00816FC2">
        <w:t xml:space="preserve">The </w:t>
      </w:r>
      <w:r w:rsidRPr="00816FC2">
        <w:rPr>
          <w:b/>
          <w:bCs/>
        </w:rPr>
        <w:t>political marginalisation of Sunni communities</w:t>
      </w:r>
      <w:r w:rsidRPr="00816FC2">
        <w:t xml:space="preserve"> following the 2003 invasion of Iraq </w:t>
      </w:r>
      <w:r w:rsidR="002E1282">
        <w:t xml:space="preserve">and wholescale de-Sunnification of Iraq’s public sector which peaked under </w:t>
      </w:r>
      <w:r w:rsidR="002E1282" w:rsidRPr="00816FC2">
        <w:t xml:space="preserve">former </w:t>
      </w:r>
      <w:r w:rsidR="00966D60">
        <w:t>Prime Minister Nouri al-Maliki</w:t>
      </w:r>
      <w:r w:rsidR="002E1282">
        <w:t xml:space="preserve"> </w:t>
      </w:r>
      <w:r w:rsidR="00966D60">
        <w:t>triggered</w:t>
      </w:r>
      <w:r w:rsidRPr="00816FC2">
        <w:t xml:space="preserve"> several Sunni insurrections. Sunni elite and tribal elements</w:t>
      </w:r>
      <w:r w:rsidR="00B34A6C">
        <w:t xml:space="preserve"> </w:t>
      </w:r>
      <w:r w:rsidR="00CC3AB5">
        <w:t>a</w:t>
      </w:r>
      <w:r w:rsidRPr="00816FC2">
        <w:t>ssociated with Al</w:t>
      </w:r>
      <w:r w:rsidR="00966D60">
        <w:t xml:space="preserve"> </w:t>
      </w:r>
      <w:r w:rsidRPr="00816FC2">
        <w:t>Qaeda until the so-called ‘Anbar Awakening’ in 2006–2007</w:t>
      </w:r>
      <w:r w:rsidR="00966D60">
        <w:t xml:space="preserve">; </w:t>
      </w:r>
      <w:r w:rsidRPr="00816FC2">
        <w:t>more recently</w:t>
      </w:r>
      <w:r w:rsidR="00966D60">
        <w:t>,</w:t>
      </w:r>
      <w:r w:rsidRPr="00816FC2">
        <w:t xml:space="preserve"> high-ranking former </w:t>
      </w:r>
      <w:r w:rsidR="00966D60">
        <w:t xml:space="preserve">military and intelligence </w:t>
      </w:r>
      <w:r w:rsidRPr="00816FC2">
        <w:t xml:space="preserve">Ba’athists </w:t>
      </w:r>
      <w:r w:rsidR="00932C3B">
        <w:t>established</w:t>
      </w:r>
      <w:r w:rsidR="00932C3B" w:rsidRPr="00816FC2">
        <w:t xml:space="preserve"> </w:t>
      </w:r>
      <w:r w:rsidRPr="00816FC2">
        <w:t>Da’esh which grew through alliances with Sunni tribes</w:t>
      </w:r>
      <w:r w:rsidR="00932C3B">
        <w:t xml:space="preserve"> and was further</w:t>
      </w:r>
      <w:r w:rsidRPr="00816FC2">
        <w:t xml:space="preserve"> bolstered by </w:t>
      </w:r>
      <w:r w:rsidR="00932C3B">
        <w:t xml:space="preserve">the inflow of </w:t>
      </w:r>
      <w:r w:rsidRPr="00816FC2">
        <w:t xml:space="preserve">foreign fighters. </w:t>
      </w:r>
    </w:p>
    <w:p w:rsidR="00DA0AD2" w:rsidRPr="00816FC2" w:rsidRDefault="00DA0AD2" w:rsidP="00CC3AB5">
      <w:r>
        <w:rPr>
          <w:b/>
          <w:bCs/>
        </w:rPr>
        <w:t>G</w:t>
      </w:r>
      <w:r w:rsidR="002B6100" w:rsidRPr="00816FC2">
        <w:rPr>
          <w:b/>
          <w:bCs/>
        </w:rPr>
        <w:t>overnment institutions</w:t>
      </w:r>
      <w:r w:rsidR="002B6100" w:rsidRPr="00816FC2">
        <w:t xml:space="preserve"> are politically fractured, poorly led, and have limited capacity to deal with the Da’esh threat. Iraq’s</w:t>
      </w:r>
      <w:r>
        <w:t xml:space="preserve"> </w:t>
      </w:r>
      <w:r w:rsidR="002B6100" w:rsidRPr="00816FC2">
        <w:t>parliamentary democracy is young and its legislative and oversight abilities are still develop</w:t>
      </w:r>
      <w:r w:rsidR="00237D3B">
        <w:t>ing</w:t>
      </w:r>
      <w:r>
        <w:t xml:space="preserve">; </w:t>
      </w:r>
      <w:r w:rsidRPr="00816FC2">
        <w:t xml:space="preserve">accountability is weak and civilian oversight of the </w:t>
      </w:r>
      <w:r w:rsidR="00CC3AB5">
        <w:t>security apparatus remains</w:t>
      </w:r>
      <w:r w:rsidRPr="00816FC2">
        <w:t xml:space="preserve"> limited</w:t>
      </w:r>
      <w:r>
        <w:t>.</w:t>
      </w:r>
      <w:r w:rsidR="00022D74" w:rsidRPr="00816FC2">
        <w:t xml:space="preserve"> </w:t>
      </w:r>
      <w:r w:rsidRPr="00816FC2">
        <w:t xml:space="preserve">The </w:t>
      </w:r>
      <w:r w:rsidR="00CC3AB5">
        <w:t xml:space="preserve">Iraqi </w:t>
      </w:r>
      <w:r w:rsidRPr="00816FC2">
        <w:t xml:space="preserve">economy contracted by 2.2% in 2014 and its modest growth of approx. 0.3% in 2015 led to a reduction in public </w:t>
      </w:r>
      <w:r>
        <w:t xml:space="preserve">sector </w:t>
      </w:r>
      <w:r w:rsidRPr="00816FC2">
        <w:t xml:space="preserve">salaries and </w:t>
      </w:r>
      <w:r>
        <w:t xml:space="preserve">has </w:t>
      </w:r>
      <w:r w:rsidRPr="00816FC2">
        <w:t xml:space="preserve">increased popular dissatisfaction. </w:t>
      </w:r>
      <w:r w:rsidR="00CC3AB5">
        <w:t xml:space="preserve">The </w:t>
      </w:r>
      <w:r w:rsidR="00237D3B">
        <w:t>GoI</w:t>
      </w:r>
      <w:r w:rsidR="00CC3AB5" w:rsidRPr="00816FC2">
        <w:t xml:space="preserve"> is </w:t>
      </w:r>
      <w:r w:rsidR="00CC3AB5">
        <w:t>also</w:t>
      </w:r>
      <w:r w:rsidR="00CC3AB5" w:rsidRPr="00816FC2">
        <w:t xml:space="preserve"> buckling under the weight of protests</w:t>
      </w:r>
      <w:r w:rsidR="00CC3AB5">
        <w:t xml:space="preserve"> calling for reform towards a technocratic cabinet</w:t>
      </w:r>
      <w:r w:rsidR="00CC3AB5" w:rsidRPr="00816FC2">
        <w:t>, high levels of corruption and deflated oil revenues.</w:t>
      </w:r>
    </w:p>
    <w:p w:rsidR="00794968" w:rsidRPr="00816FC2" w:rsidRDefault="00B12EA9" w:rsidP="00CC3AB5">
      <w:r w:rsidRPr="00816FC2">
        <w:t>Finally, t</w:t>
      </w:r>
      <w:r w:rsidR="00794968" w:rsidRPr="00816FC2">
        <w:t xml:space="preserve">he </w:t>
      </w:r>
      <w:r w:rsidR="00794968" w:rsidRPr="00816FC2">
        <w:rPr>
          <w:b/>
          <w:bCs/>
        </w:rPr>
        <w:t xml:space="preserve">competition for </w:t>
      </w:r>
      <w:r w:rsidR="00B34A6C">
        <w:rPr>
          <w:b/>
          <w:bCs/>
        </w:rPr>
        <w:t xml:space="preserve">regaining control over </w:t>
      </w:r>
      <w:r w:rsidR="00794968" w:rsidRPr="00816FC2">
        <w:rPr>
          <w:b/>
          <w:bCs/>
        </w:rPr>
        <w:t>Mosul</w:t>
      </w:r>
      <w:r w:rsidR="00794968" w:rsidRPr="00816FC2">
        <w:t xml:space="preserve"> is likely to increase tension between the ISF and Iran</w:t>
      </w:r>
      <w:r w:rsidR="006E7C39" w:rsidRPr="00816FC2">
        <w:t>ian</w:t>
      </w:r>
      <w:r w:rsidR="00794968" w:rsidRPr="00816FC2">
        <w:t xml:space="preserve">-led militia (PMUs). The ability to lay claim to being the force that removed Da’esh would enhance the political legitimacy and entrench the role of </w:t>
      </w:r>
      <w:r w:rsidR="00022D74" w:rsidRPr="00816FC2">
        <w:t xml:space="preserve">PMUs </w:t>
      </w:r>
      <w:r w:rsidR="00794968" w:rsidRPr="00816FC2">
        <w:t xml:space="preserve">in the Iraqi state. As such, there are concerns that </w:t>
      </w:r>
      <w:r w:rsidR="00932C3B">
        <w:t>conflict between</w:t>
      </w:r>
      <w:r w:rsidR="00794968" w:rsidRPr="00816FC2">
        <w:t xml:space="preserve"> PMU and GoI forces will </w:t>
      </w:r>
      <w:r w:rsidR="00932C3B">
        <w:t xml:space="preserve">increase </w:t>
      </w:r>
      <w:r w:rsidR="00794968" w:rsidRPr="00816FC2">
        <w:t xml:space="preserve">following </w:t>
      </w:r>
      <w:r w:rsidR="00CC3AB5">
        <w:t xml:space="preserve">the </w:t>
      </w:r>
      <w:r w:rsidR="00700877">
        <w:t>c</w:t>
      </w:r>
      <w:r w:rsidR="00CC3AB5">
        <w:t xml:space="preserve">ity’s </w:t>
      </w:r>
      <w:r w:rsidR="00794968" w:rsidRPr="00816FC2">
        <w:t>eventual fall.</w:t>
      </w:r>
    </w:p>
    <w:p w:rsidR="00D93D53" w:rsidRPr="00816FC2" w:rsidRDefault="00D93D53" w:rsidP="008770FD">
      <w:pPr>
        <w:pStyle w:val="Overskrift3"/>
      </w:pPr>
      <w:bookmarkStart w:id="14" w:name="_Toc444710273"/>
      <w:bookmarkStart w:id="15" w:name="_Toc446177627"/>
      <w:bookmarkStart w:id="16" w:name="_Toc446276180"/>
      <w:bookmarkStart w:id="17" w:name="_Toc446331575"/>
      <w:bookmarkStart w:id="18" w:name="_Toc446332697"/>
      <w:bookmarkStart w:id="19" w:name="_Toc323740976"/>
      <w:r w:rsidRPr="00816FC2">
        <w:t>International Stabilisation Response</w:t>
      </w:r>
      <w:bookmarkEnd w:id="14"/>
      <w:bookmarkEnd w:id="15"/>
      <w:bookmarkEnd w:id="16"/>
      <w:bookmarkEnd w:id="17"/>
      <w:bookmarkEnd w:id="18"/>
      <w:r w:rsidRPr="00816FC2">
        <w:t xml:space="preserve"> </w:t>
      </w:r>
      <w:r w:rsidR="006E7C39" w:rsidRPr="00816FC2">
        <w:t>in</w:t>
      </w:r>
      <w:r w:rsidRPr="00816FC2">
        <w:t xml:space="preserve"> Iraq</w:t>
      </w:r>
      <w:bookmarkEnd w:id="19"/>
    </w:p>
    <w:p w:rsidR="00ED0964" w:rsidRPr="00CD5F62" w:rsidRDefault="00022764" w:rsidP="00ED0964">
      <w:r w:rsidRPr="00816FC2">
        <w:t xml:space="preserve">International actors </w:t>
      </w:r>
      <w:r w:rsidR="00D93D53" w:rsidRPr="00816FC2">
        <w:t xml:space="preserve">understand that </w:t>
      </w:r>
      <w:r w:rsidR="005069D6" w:rsidRPr="00816FC2">
        <w:t>Iraq can only survive as a homogenous state and</w:t>
      </w:r>
      <w:r w:rsidR="00D93D53" w:rsidRPr="00816FC2">
        <w:t xml:space="preserve"> succeed against Da’esh if </w:t>
      </w:r>
      <w:r w:rsidR="005069D6" w:rsidRPr="00816FC2">
        <w:t xml:space="preserve">the GoI </w:t>
      </w:r>
      <w:r w:rsidR="00D93D53" w:rsidRPr="00816FC2">
        <w:t xml:space="preserve">implements a well-coordinated, full spectrum approach to countering terrorism, insurgency and stabilisation. </w:t>
      </w:r>
      <w:r w:rsidR="00794968" w:rsidRPr="00816FC2">
        <w:t>Coalition members are therefore providing stabilisation, humanitarian, military and civil support</w:t>
      </w:r>
      <w:r w:rsidR="00CD629D">
        <w:t xml:space="preserve"> to </w:t>
      </w:r>
      <w:r w:rsidR="00DA0AD2">
        <w:t>the GoI</w:t>
      </w:r>
      <w:r w:rsidR="00D8118C" w:rsidRPr="00816FC2">
        <w:t xml:space="preserve">. </w:t>
      </w:r>
      <w:r w:rsidR="00414839" w:rsidRPr="00816FC2">
        <w:t>Civilian stabilisation i</w:t>
      </w:r>
      <w:r w:rsidR="007E0E2D" w:rsidRPr="00816FC2">
        <w:t xml:space="preserve">nterventions in Iraq fall broadly into </w:t>
      </w:r>
      <w:r w:rsidR="007E0E2D" w:rsidRPr="00816FC2">
        <w:rPr>
          <w:b/>
          <w:bCs/>
        </w:rPr>
        <w:t>service delivery</w:t>
      </w:r>
      <w:r w:rsidR="007E0E2D" w:rsidRPr="00816FC2">
        <w:t xml:space="preserve">, </w:t>
      </w:r>
      <w:r w:rsidR="007E0E2D" w:rsidRPr="00816FC2">
        <w:rPr>
          <w:b/>
          <w:bCs/>
        </w:rPr>
        <w:t>rapid response</w:t>
      </w:r>
      <w:r w:rsidR="007E0E2D" w:rsidRPr="00816FC2">
        <w:t xml:space="preserve">, </w:t>
      </w:r>
      <w:r w:rsidR="007E0E2D" w:rsidRPr="00816FC2">
        <w:rPr>
          <w:b/>
          <w:bCs/>
        </w:rPr>
        <w:t>state reform</w:t>
      </w:r>
      <w:r w:rsidR="007E0E2D" w:rsidRPr="00816FC2">
        <w:t xml:space="preserve">, and </w:t>
      </w:r>
      <w:r w:rsidR="007E0E2D" w:rsidRPr="00816FC2">
        <w:rPr>
          <w:b/>
          <w:bCs/>
        </w:rPr>
        <w:t>CVE</w:t>
      </w:r>
      <w:r w:rsidR="00ED0964">
        <w:t xml:space="preserve">, with </w:t>
      </w:r>
      <w:r w:rsidR="00ED0964">
        <w:rPr>
          <w:bCs/>
        </w:rPr>
        <w:t>t</w:t>
      </w:r>
      <w:r w:rsidR="00650D6F" w:rsidRPr="00816FC2">
        <w:rPr>
          <w:bCs/>
        </w:rPr>
        <w:t xml:space="preserve">he UN </w:t>
      </w:r>
      <w:r w:rsidR="00CD629D">
        <w:rPr>
          <w:bCs/>
        </w:rPr>
        <w:t xml:space="preserve">leading on </w:t>
      </w:r>
      <w:r w:rsidR="00650D6F" w:rsidRPr="00816FC2">
        <w:rPr>
          <w:bCs/>
        </w:rPr>
        <w:t>the first three</w:t>
      </w:r>
      <w:r w:rsidR="00ED0964">
        <w:rPr>
          <w:bCs/>
        </w:rPr>
        <w:t xml:space="preserve">. </w:t>
      </w:r>
    </w:p>
    <w:p w:rsidR="00794968" w:rsidRPr="00816FC2" w:rsidRDefault="00ED0964" w:rsidP="00ED0964">
      <w:r>
        <w:rPr>
          <w:bCs/>
        </w:rPr>
        <w:t>UN’s support to</w:t>
      </w:r>
      <w:r w:rsidR="009B6321" w:rsidRPr="00816FC2">
        <w:t xml:space="preserve"> </w:t>
      </w:r>
      <w:r w:rsidR="00D93D53" w:rsidRPr="00816FC2">
        <w:rPr>
          <w:b/>
        </w:rPr>
        <w:t>service delivery</w:t>
      </w:r>
      <w:r w:rsidR="009B6321" w:rsidRPr="00816FC2">
        <w:t xml:space="preserve"> </w:t>
      </w:r>
      <w:r>
        <w:t xml:space="preserve">aims </w:t>
      </w:r>
      <w:r w:rsidR="005069D6" w:rsidRPr="00816FC2">
        <w:t xml:space="preserve">to </w:t>
      </w:r>
      <w:r w:rsidR="00D93D53" w:rsidRPr="00816FC2">
        <w:t xml:space="preserve">strengthen </w:t>
      </w:r>
      <w:r w:rsidR="006166A4" w:rsidRPr="00816FC2">
        <w:t>governorate-</w:t>
      </w:r>
      <w:r w:rsidR="00D93D53" w:rsidRPr="00816FC2">
        <w:t xml:space="preserve">level </w:t>
      </w:r>
      <w:r w:rsidR="006166A4" w:rsidRPr="00816FC2">
        <w:t>capacit</w:t>
      </w:r>
      <w:r w:rsidR="005069D6" w:rsidRPr="00816FC2">
        <w:t>y</w:t>
      </w:r>
      <w:r w:rsidR="00CD629D">
        <w:t xml:space="preserve"> </w:t>
      </w:r>
      <w:r w:rsidR="00D93D53" w:rsidRPr="00816FC2">
        <w:t xml:space="preserve">in line with Law 21 </w:t>
      </w:r>
      <w:r w:rsidR="006166A4" w:rsidRPr="00816FC2">
        <w:t>(</w:t>
      </w:r>
      <w:r w:rsidR="00D93D53" w:rsidRPr="00816FC2">
        <w:t>2011</w:t>
      </w:r>
      <w:r w:rsidR="006166A4" w:rsidRPr="00816FC2">
        <w:t>)</w:t>
      </w:r>
      <w:r w:rsidR="00D93D53" w:rsidRPr="00816FC2">
        <w:t xml:space="preserve"> to devolve </w:t>
      </w:r>
      <w:r w:rsidR="00794968" w:rsidRPr="00816FC2">
        <w:t xml:space="preserve">federal </w:t>
      </w:r>
      <w:r w:rsidR="00D93D53" w:rsidRPr="00816FC2">
        <w:t>powers to governorate</w:t>
      </w:r>
      <w:r w:rsidR="006166A4" w:rsidRPr="00816FC2">
        <w:t>s</w:t>
      </w:r>
      <w:r w:rsidR="007E0E2D" w:rsidRPr="00816FC2">
        <w:t xml:space="preserve"> with a view to </w:t>
      </w:r>
      <w:r w:rsidR="00D93D53" w:rsidRPr="00816FC2">
        <w:t>bring</w:t>
      </w:r>
      <w:r w:rsidR="007E0E2D" w:rsidRPr="00816FC2">
        <w:t>ing</w:t>
      </w:r>
      <w:r w:rsidR="00D93D53" w:rsidRPr="00816FC2">
        <w:t xml:space="preserve"> central government closer to the people.</w:t>
      </w:r>
      <w:r w:rsidR="005069D6" w:rsidRPr="00816FC2">
        <w:t xml:space="preserve"> </w:t>
      </w:r>
      <w:r w:rsidR="009B6321" w:rsidRPr="00816FC2">
        <w:rPr>
          <w:b/>
          <w:bCs/>
        </w:rPr>
        <w:t>L</w:t>
      </w:r>
      <w:r w:rsidR="00D93D53" w:rsidRPr="00816FC2">
        <w:rPr>
          <w:b/>
          <w:bCs/>
        </w:rPr>
        <w:t>ocal</w:t>
      </w:r>
      <w:r w:rsidR="00D93D53" w:rsidRPr="00816FC2">
        <w:rPr>
          <w:b/>
        </w:rPr>
        <w:t xml:space="preserve"> stabilisation </w:t>
      </w:r>
      <w:r w:rsidR="009B6321" w:rsidRPr="00816FC2">
        <w:t xml:space="preserve">initiatives </w:t>
      </w:r>
      <w:r w:rsidR="00584721" w:rsidRPr="00816FC2">
        <w:t xml:space="preserve">under the Funding Facility for Immediate Stabilisation </w:t>
      </w:r>
      <w:r w:rsidR="005069D6" w:rsidRPr="00816FC2">
        <w:t>(</w:t>
      </w:r>
      <w:r w:rsidR="00584721" w:rsidRPr="00816FC2">
        <w:t xml:space="preserve">FFIS) </w:t>
      </w:r>
      <w:r w:rsidR="005069D6" w:rsidRPr="00816FC2">
        <w:t xml:space="preserve">support </w:t>
      </w:r>
      <w:r w:rsidR="00CD629D">
        <w:t xml:space="preserve">the </w:t>
      </w:r>
      <w:r w:rsidR="006166A4" w:rsidRPr="00816FC2">
        <w:t>recovery of communities previously held by Da’esh</w:t>
      </w:r>
      <w:r>
        <w:t xml:space="preserve"> and the self-return of </w:t>
      </w:r>
      <w:r w:rsidR="00CD629D">
        <w:t>IDP</w:t>
      </w:r>
      <w:r>
        <w:t>s</w:t>
      </w:r>
      <w:r w:rsidR="00CD629D">
        <w:t xml:space="preserve"> </w:t>
      </w:r>
      <w:r w:rsidR="006166A4" w:rsidRPr="00816FC2">
        <w:t xml:space="preserve">through </w:t>
      </w:r>
      <w:r w:rsidR="00794968" w:rsidRPr="00816FC2">
        <w:t xml:space="preserve">light infrastructure rehabilitation, </w:t>
      </w:r>
      <w:r w:rsidR="006166A4" w:rsidRPr="00816FC2">
        <w:t xml:space="preserve">small-scale reconciliation, </w:t>
      </w:r>
      <w:r w:rsidR="00794968" w:rsidRPr="00816FC2">
        <w:t>support to local administration</w:t>
      </w:r>
      <w:r w:rsidR="006166A4" w:rsidRPr="00816FC2">
        <w:t>,</w:t>
      </w:r>
      <w:r w:rsidR="00794968" w:rsidRPr="00816FC2">
        <w:t xml:space="preserve"> microcredit and cash-for-work schemes</w:t>
      </w:r>
      <w:r w:rsidR="006166A4" w:rsidRPr="00816FC2">
        <w:t>.</w:t>
      </w:r>
      <w:r w:rsidR="005069D6" w:rsidRPr="00816FC2">
        <w:t xml:space="preserve"> Elements of these large </w:t>
      </w:r>
      <w:r w:rsidR="009B6321" w:rsidRPr="00816FC2">
        <w:t xml:space="preserve">programmes </w:t>
      </w:r>
      <w:r w:rsidR="005069D6" w:rsidRPr="00816FC2">
        <w:t xml:space="preserve">and some smaller UNHCR programmes also </w:t>
      </w:r>
      <w:r w:rsidR="009B6321" w:rsidRPr="00816FC2">
        <w:t xml:space="preserve">support </w:t>
      </w:r>
      <w:r w:rsidR="005069D6" w:rsidRPr="00816FC2">
        <w:rPr>
          <w:b/>
          <w:bCs/>
        </w:rPr>
        <w:t>c</w:t>
      </w:r>
      <w:r w:rsidR="009B6321" w:rsidRPr="00816FC2">
        <w:rPr>
          <w:b/>
          <w:bCs/>
        </w:rPr>
        <w:t xml:space="preserve">ivil </w:t>
      </w:r>
      <w:r w:rsidR="005069D6" w:rsidRPr="00816FC2">
        <w:rPr>
          <w:b/>
          <w:bCs/>
        </w:rPr>
        <w:t>s</w:t>
      </w:r>
      <w:r w:rsidR="009B6321" w:rsidRPr="00816FC2">
        <w:rPr>
          <w:b/>
          <w:bCs/>
        </w:rPr>
        <w:t>ociety</w:t>
      </w:r>
      <w:r w:rsidR="009B6321" w:rsidRPr="00816FC2">
        <w:t xml:space="preserve"> and </w:t>
      </w:r>
      <w:r w:rsidR="009B6321" w:rsidRPr="00816FC2">
        <w:rPr>
          <w:b/>
          <w:bCs/>
        </w:rPr>
        <w:t>reconciliation</w:t>
      </w:r>
      <w:r w:rsidR="009B6321" w:rsidRPr="00816FC2">
        <w:t>.</w:t>
      </w:r>
    </w:p>
    <w:p w:rsidR="00D8118C" w:rsidRPr="00816FC2" w:rsidRDefault="00ED0964" w:rsidP="00ED0964">
      <w:r w:rsidRPr="007F2463">
        <w:rPr>
          <w:bCs/>
        </w:rPr>
        <w:t xml:space="preserve">The UNDP has also led </w:t>
      </w:r>
      <w:r>
        <w:rPr>
          <w:b/>
        </w:rPr>
        <w:t>g</w:t>
      </w:r>
      <w:r w:rsidR="006166A4" w:rsidRPr="00816FC2">
        <w:rPr>
          <w:b/>
        </w:rPr>
        <w:t>overnance</w:t>
      </w:r>
      <w:r w:rsidR="006166A4" w:rsidRPr="00816FC2">
        <w:t xml:space="preserve"> support to </w:t>
      </w:r>
      <w:r w:rsidR="009B6321" w:rsidRPr="00816FC2">
        <w:t xml:space="preserve">address structural weaknesses in central government and </w:t>
      </w:r>
      <w:r w:rsidR="005B13D3">
        <w:t xml:space="preserve">enhance </w:t>
      </w:r>
      <w:r w:rsidR="009B6321" w:rsidRPr="00816FC2">
        <w:t>t</w:t>
      </w:r>
      <w:r w:rsidR="007E0E2D" w:rsidRPr="00816FC2">
        <w:t>he viability of the S</w:t>
      </w:r>
      <w:r w:rsidR="009B6321" w:rsidRPr="00816FC2">
        <w:t>tate</w:t>
      </w:r>
      <w:r w:rsidR="00FC4D77" w:rsidRPr="00816FC2">
        <w:t>. Project</w:t>
      </w:r>
      <w:r w:rsidR="007E0E2D" w:rsidRPr="00816FC2">
        <w:t xml:space="preserve">s have </w:t>
      </w:r>
      <w:r w:rsidR="006166A4" w:rsidRPr="00816FC2">
        <w:t>focus</w:t>
      </w:r>
      <w:r w:rsidR="007E0E2D" w:rsidRPr="00816FC2">
        <w:t>ed</w:t>
      </w:r>
      <w:r w:rsidR="006166A4" w:rsidRPr="00816FC2">
        <w:t xml:space="preserve"> on </w:t>
      </w:r>
      <w:r w:rsidR="002D0458" w:rsidRPr="00816FC2">
        <w:t xml:space="preserve">strengthening participatory and accountable governance, </w:t>
      </w:r>
      <w:r w:rsidR="00CD629D">
        <w:t>r</w:t>
      </w:r>
      <w:r w:rsidR="006166A4" w:rsidRPr="00816FC2">
        <w:t xml:space="preserve">ule of </w:t>
      </w:r>
      <w:r w:rsidR="00CD629D">
        <w:t>la</w:t>
      </w:r>
      <w:r w:rsidR="006166A4" w:rsidRPr="00816FC2">
        <w:t xml:space="preserve">w and </w:t>
      </w:r>
      <w:r w:rsidR="00CD629D">
        <w:t>s</w:t>
      </w:r>
      <w:r w:rsidR="006166A4" w:rsidRPr="00816FC2">
        <w:t>e</w:t>
      </w:r>
      <w:r w:rsidR="007E0E2D" w:rsidRPr="00816FC2">
        <w:t xml:space="preserve">curity </w:t>
      </w:r>
      <w:r w:rsidR="00CD629D">
        <w:t>s</w:t>
      </w:r>
      <w:r w:rsidR="007E0E2D" w:rsidRPr="00816FC2">
        <w:t xml:space="preserve">ector </w:t>
      </w:r>
      <w:r w:rsidR="00CD629D">
        <w:t>r</w:t>
      </w:r>
      <w:r w:rsidR="007E0E2D" w:rsidRPr="00816FC2">
        <w:t>eform</w:t>
      </w:r>
      <w:r w:rsidR="005B13D3">
        <w:t>.</w:t>
      </w:r>
      <w:r>
        <w:t xml:space="preserve"> </w:t>
      </w:r>
      <w:r w:rsidR="005B13D3">
        <w:t>O</w:t>
      </w:r>
      <w:r>
        <w:t>ther contributions</w:t>
      </w:r>
      <w:r w:rsidR="007E0E2D" w:rsidRPr="00816FC2">
        <w:t xml:space="preserve"> include the EU</w:t>
      </w:r>
      <w:r>
        <w:t>’s</w:t>
      </w:r>
      <w:r w:rsidR="007E0E2D" w:rsidRPr="00816FC2">
        <w:t xml:space="preserve"> support </w:t>
      </w:r>
      <w:r>
        <w:t xml:space="preserve">to </w:t>
      </w:r>
      <w:r w:rsidR="006166A4" w:rsidRPr="00816FC2">
        <w:rPr>
          <w:b/>
          <w:bCs/>
        </w:rPr>
        <w:t>Rule of Law</w:t>
      </w:r>
      <w:r w:rsidR="006166A4" w:rsidRPr="00816FC2">
        <w:t xml:space="preserve"> </w:t>
      </w:r>
      <w:r w:rsidR="006166A4" w:rsidRPr="00816FC2">
        <w:rPr>
          <w:b/>
          <w:bCs/>
        </w:rPr>
        <w:t>reform</w:t>
      </w:r>
      <w:r w:rsidR="006166A4" w:rsidRPr="00816FC2">
        <w:t xml:space="preserve"> and </w:t>
      </w:r>
      <w:r w:rsidR="00982547" w:rsidRPr="007F2463">
        <w:rPr>
          <w:b/>
        </w:rPr>
        <w:t>counter terrorism</w:t>
      </w:r>
      <w:r w:rsidR="00982547">
        <w:t xml:space="preserve"> </w:t>
      </w:r>
      <w:r w:rsidR="006166A4" w:rsidRPr="00816FC2">
        <w:rPr>
          <w:b/>
          <w:bCs/>
        </w:rPr>
        <w:t>strategy</w:t>
      </w:r>
      <w:r w:rsidRPr="007F2463">
        <w:t>,</w:t>
      </w:r>
      <w:r w:rsidR="007E0E2D" w:rsidRPr="00816FC2">
        <w:t xml:space="preserve"> and </w:t>
      </w:r>
      <w:r w:rsidR="006166A4" w:rsidRPr="00816FC2">
        <w:rPr>
          <w:b/>
          <w:bCs/>
        </w:rPr>
        <w:t>police training</w:t>
      </w:r>
      <w:r w:rsidR="006166A4" w:rsidRPr="00816FC2">
        <w:t xml:space="preserve"> by the Italian Carabinieri.</w:t>
      </w:r>
      <w:bookmarkStart w:id="20" w:name="_Toc444710274"/>
      <w:r w:rsidR="009B6321" w:rsidRPr="00816FC2">
        <w:t xml:space="preserve"> </w:t>
      </w:r>
      <w:r>
        <w:t>T</w:t>
      </w:r>
      <w:r w:rsidR="00190AA8" w:rsidRPr="00816FC2">
        <w:t>h</w:t>
      </w:r>
      <w:r w:rsidR="00D93D53" w:rsidRPr="00816FC2">
        <w:t xml:space="preserve">e </w:t>
      </w:r>
      <w:r w:rsidR="007E0E2D" w:rsidRPr="00816FC2">
        <w:t xml:space="preserve">UK, US and Denmark provide </w:t>
      </w:r>
      <w:r w:rsidR="00D93D53" w:rsidRPr="00816FC2">
        <w:rPr>
          <w:b/>
          <w:bCs/>
        </w:rPr>
        <w:t>CVE</w:t>
      </w:r>
      <w:r w:rsidR="00D93D53" w:rsidRPr="00816FC2">
        <w:t xml:space="preserve"> </w:t>
      </w:r>
      <w:r w:rsidR="007E0E2D" w:rsidRPr="00816FC2">
        <w:t xml:space="preserve">support in Iraq to </w:t>
      </w:r>
      <w:r w:rsidR="006166A4" w:rsidRPr="00816FC2">
        <w:rPr>
          <w:b/>
          <w:bCs/>
        </w:rPr>
        <w:t xml:space="preserve">counter the Da’esh narrative </w:t>
      </w:r>
      <w:r w:rsidR="00D93D53" w:rsidRPr="00816FC2">
        <w:t>at a grass-roots level</w:t>
      </w:r>
      <w:r w:rsidR="007E0E2D" w:rsidRPr="00816FC2">
        <w:t xml:space="preserve"> and bolster the Iraqi Government’s ability to credibly narrate its successes</w:t>
      </w:r>
      <w:r w:rsidR="006166A4" w:rsidRPr="00816FC2">
        <w:t>.</w:t>
      </w:r>
      <w:r w:rsidR="00D8118C" w:rsidRPr="00816FC2">
        <w:t xml:space="preserve"> </w:t>
      </w:r>
    </w:p>
    <w:p w:rsidR="009E16AA" w:rsidRPr="00F852BA" w:rsidRDefault="00D8118C" w:rsidP="00F852BA">
      <w:r w:rsidRPr="00816FC2">
        <w:t>Despite the efforts of UNDP and others supporting stabilisation in Iraq, instability and political in-fighting has limited the</w:t>
      </w:r>
      <w:r w:rsidR="005B13D3">
        <w:t>ir</w:t>
      </w:r>
      <w:r w:rsidRPr="00816FC2">
        <w:t xml:space="preserve"> impact.</w:t>
      </w:r>
      <w:r w:rsidR="007E0E2D" w:rsidRPr="00816FC2">
        <w:t xml:space="preserve"> The efficacy of CVE programming</w:t>
      </w:r>
      <w:r w:rsidR="002D0458" w:rsidRPr="00816FC2">
        <w:t>, for example,</w:t>
      </w:r>
      <w:r w:rsidR="007E0E2D" w:rsidRPr="00816FC2">
        <w:t xml:space="preserve"> has been limited by the GoI’s weak state institutions and pro-Shi’a biases which create discord between the narrative </w:t>
      </w:r>
      <w:r w:rsidR="007E0E2D" w:rsidRPr="00816FC2">
        <w:lastRenderedPageBreak/>
        <w:t xml:space="preserve">propagated and </w:t>
      </w:r>
      <w:r w:rsidR="00036448" w:rsidRPr="00816FC2">
        <w:t xml:space="preserve">GoI </w:t>
      </w:r>
      <w:r w:rsidR="007E0E2D" w:rsidRPr="00816FC2">
        <w:t>behaviour.</w:t>
      </w:r>
      <w:r w:rsidR="002D0458" w:rsidRPr="00816FC2">
        <w:t xml:space="preserve"> Meanwhile, the scope for a r</w:t>
      </w:r>
      <w:r w:rsidR="00D80B14" w:rsidRPr="00816FC2">
        <w:t>igorous security sector process</w:t>
      </w:r>
      <w:r w:rsidR="002D0458" w:rsidRPr="00816FC2">
        <w:t xml:space="preserve"> is limited </w:t>
      </w:r>
      <w:r w:rsidR="00D80B14" w:rsidRPr="00816FC2">
        <w:t xml:space="preserve">due to </w:t>
      </w:r>
      <w:r w:rsidR="002D0458" w:rsidRPr="00816FC2">
        <w:t xml:space="preserve">the </w:t>
      </w:r>
      <w:r w:rsidR="00D80B14" w:rsidRPr="00816FC2">
        <w:t>diverse political interests of the many institutions that comprise the sector</w:t>
      </w:r>
      <w:r w:rsidR="005B13D3">
        <w:t xml:space="preserve"> and the on-going efforts to counter Da’esh</w:t>
      </w:r>
      <w:bookmarkStart w:id="21" w:name="_Toc422110262"/>
      <w:bookmarkEnd w:id="20"/>
    </w:p>
    <w:p w:rsidR="00404A92" w:rsidRPr="00816FC2" w:rsidRDefault="00404A92" w:rsidP="00D80B14">
      <w:pPr>
        <w:pStyle w:val="Overskrift2"/>
      </w:pPr>
      <w:bookmarkStart w:id="22" w:name="_Toc332370505"/>
      <w:r w:rsidRPr="00816FC2">
        <w:t>Scenarios</w:t>
      </w:r>
      <w:bookmarkEnd w:id="21"/>
      <w:r w:rsidRPr="00816FC2">
        <w:t xml:space="preserve"> </w:t>
      </w:r>
      <w:bookmarkEnd w:id="22"/>
    </w:p>
    <w:p w:rsidR="00D93D53" w:rsidRPr="00816FC2" w:rsidRDefault="00D93D53" w:rsidP="009E16AA">
      <w:pPr>
        <w:rPr>
          <w:rFonts w:eastAsia="Times New Roman"/>
        </w:rPr>
      </w:pPr>
      <w:bookmarkStart w:id="23" w:name="_Toc422110268"/>
      <w:r w:rsidRPr="00816FC2">
        <w:t xml:space="preserve">The dynamic nature of the </w:t>
      </w:r>
      <w:r w:rsidR="009E16AA">
        <w:t>Syria</w:t>
      </w:r>
      <w:r w:rsidR="00136C71">
        <w:t xml:space="preserve"> and </w:t>
      </w:r>
      <w:r w:rsidR="009E16AA">
        <w:t>Iraq</w:t>
      </w:r>
      <w:r w:rsidR="00136C71">
        <w:t xml:space="preserve"> </w:t>
      </w:r>
      <w:r w:rsidRPr="00816FC2">
        <w:t xml:space="preserve">conflicts </w:t>
      </w:r>
      <w:r w:rsidR="00B34A6C">
        <w:t>underlines</w:t>
      </w:r>
      <w:r w:rsidRPr="00816FC2">
        <w:t xml:space="preserve"> the importance of planning to ensure </w:t>
      </w:r>
      <w:r w:rsidR="00D80B14" w:rsidRPr="00816FC2">
        <w:t>p</w:t>
      </w:r>
      <w:r w:rsidRPr="00816FC2">
        <w:t>rogramm</w:t>
      </w:r>
      <w:r w:rsidR="00470728">
        <w:t>ing</w:t>
      </w:r>
      <w:r w:rsidR="00A016AF">
        <w:t xml:space="preserve"> sustainability,</w:t>
      </w:r>
      <w:r w:rsidRPr="00816FC2">
        <w:t xml:space="preserve"> flexib</w:t>
      </w:r>
      <w:r w:rsidR="00A016AF">
        <w:t>ility</w:t>
      </w:r>
      <w:r w:rsidRPr="00816FC2">
        <w:t xml:space="preserve"> and resilien</w:t>
      </w:r>
      <w:r w:rsidR="00A016AF">
        <w:t>ce</w:t>
      </w:r>
      <w:r w:rsidRPr="00816FC2">
        <w:t xml:space="preserve">. </w:t>
      </w:r>
      <w:r w:rsidR="00187223" w:rsidRPr="00816FC2">
        <w:t xml:space="preserve">The </w:t>
      </w:r>
      <w:r w:rsidRPr="00816FC2">
        <w:t xml:space="preserve">scenarios </w:t>
      </w:r>
      <w:r w:rsidR="00173A17">
        <w:t xml:space="preserve">below </w:t>
      </w:r>
      <w:r w:rsidR="00136C71">
        <w:t xml:space="preserve">outline </w:t>
      </w:r>
      <w:r w:rsidR="009E16AA">
        <w:t xml:space="preserve">possible conflict </w:t>
      </w:r>
      <w:r w:rsidRPr="00816FC2">
        <w:t>developments</w:t>
      </w:r>
      <w:r w:rsidR="00187223" w:rsidRPr="00816FC2">
        <w:t xml:space="preserve"> </w:t>
      </w:r>
      <w:r w:rsidR="00136C71">
        <w:t xml:space="preserve">and </w:t>
      </w:r>
      <w:r w:rsidR="009E16AA">
        <w:t xml:space="preserve">their attendant </w:t>
      </w:r>
      <w:r w:rsidR="00136C71">
        <w:t xml:space="preserve">impact on the </w:t>
      </w:r>
      <w:r w:rsidR="009E16AA">
        <w:t xml:space="preserve">thematic relevance of </w:t>
      </w:r>
      <w:r w:rsidRPr="00816FC2">
        <w:t xml:space="preserve">stabilisation activities </w:t>
      </w:r>
      <w:r w:rsidR="009E16AA">
        <w:t>over the programme’s timeframe</w:t>
      </w:r>
      <w:r w:rsidRPr="00816FC2">
        <w:rPr>
          <w:rFonts w:eastAsia="Times New Roman"/>
        </w:rPr>
        <w:t>.</w:t>
      </w:r>
      <w:r w:rsidR="009E16AA">
        <w:rPr>
          <w:rFonts w:eastAsia="Times New Roman"/>
        </w:rPr>
        <w:t xml:space="preserve"> To enhance sustainability, the </w:t>
      </w:r>
      <w:r w:rsidR="00160897" w:rsidRPr="00816FC2">
        <w:rPr>
          <w:rFonts w:eastAsia="Times New Roman"/>
        </w:rPr>
        <w:t>programm</w:t>
      </w:r>
      <w:r w:rsidR="006759DD" w:rsidRPr="00816FC2">
        <w:rPr>
          <w:rFonts w:eastAsia="Times New Roman"/>
        </w:rPr>
        <w:t>e has been formulated</w:t>
      </w:r>
      <w:r w:rsidR="00A016AF">
        <w:rPr>
          <w:rFonts w:eastAsia="Times New Roman"/>
        </w:rPr>
        <w:t xml:space="preserve"> against the scenario judged to be most likely </w:t>
      </w:r>
      <w:r w:rsidR="00173A17">
        <w:rPr>
          <w:rFonts w:eastAsia="Times New Roman"/>
        </w:rPr>
        <w:t xml:space="preserve">and thematic areas that remain relevant </w:t>
      </w:r>
      <w:r w:rsidR="00A016AF">
        <w:rPr>
          <w:rFonts w:eastAsia="Times New Roman"/>
        </w:rPr>
        <w:t>across scenarios</w:t>
      </w:r>
      <w:r w:rsidR="00173A17">
        <w:rPr>
          <w:rFonts w:eastAsia="Times New Roman"/>
        </w:rPr>
        <w:t xml:space="preserve">. </w:t>
      </w:r>
      <w:r w:rsidR="00136C71">
        <w:rPr>
          <w:rFonts w:eastAsia="Times New Roman"/>
        </w:rPr>
        <w:t>That said, these scenarios are b</w:t>
      </w:r>
      <w:r w:rsidR="00173A17" w:rsidRPr="00816FC2">
        <w:rPr>
          <w:rFonts w:eastAsia="Times New Roman"/>
        </w:rPr>
        <w:t>ased on an assessment in mid-2016</w:t>
      </w:r>
      <w:r w:rsidR="00136C71">
        <w:rPr>
          <w:rFonts w:eastAsia="Times New Roman"/>
        </w:rPr>
        <w:t xml:space="preserve"> and must therefore be </w:t>
      </w:r>
      <w:r w:rsidR="00173A17" w:rsidRPr="00816FC2">
        <w:rPr>
          <w:rFonts w:eastAsia="Times New Roman"/>
        </w:rPr>
        <w:t>r</w:t>
      </w:r>
      <w:r w:rsidR="00173A17">
        <w:rPr>
          <w:rFonts w:eastAsia="Times New Roman"/>
        </w:rPr>
        <w:t xml:space="preserve">egularly monitored and adjusted; the programme </w:t>
      </w:r>
      <w:r w:rsidR="00245CBE">
        <w:rPr>
          <w:rFonts w:eastAsia="Times New Roman"/>
        </w:rPr>
        <w:t xml:space="preserve">activities </w:t>
      </w:r>
      <w:r w:rsidR="00173A17">
        <w:rPr>
          <w:rFonts w:eastAsia="Times New Roman"/>
        </w:rPr>
        <w:t xml:space="preserve">will need to be </w:t>
      </w:r>
      <w:r w:rsidR="00245CBE">
        <w:rPr>
          <w:rFonts w:eastAsia="Times New Roman"/>
        </w:rPr>
        <w:t>modified</w:t>
      </w:r>
      <w:r w:rsidR="00173A17">
        <w:rPr>
          <w:rFonts w:eastAsia="Times New Roman"/>
        </w:rPr>
        <w:t xml:space="preserve"> </w:t>
      </w:r>
      <w:r w:rsidR="00136C71">
        <w:rPr>
          <w:rFonts w:eastAsia="Times New Roman"/>
        </w:rPr>
        <w:t>in</w:t>
      </w:r>
      <w:r w:rsidR="00173A17">
        <w:rPr>
          <w:rFonts w:eastAsia="Times New Roman"/>
        </w:rPr>
        <w:t xml:space="preserve"> response to developments outlined in </w:t>
      </w:r>
      <w:r w:rsidR="009E16AA" w:rsidRPr="007F2463">
        <w:rPr>
          <w:rFonts w:eastAsia="Times New Roman"/>
        </w:rPr>
        <w:t>Section</w:t>
      </w:r>
      <w:r w:rsidR="00B76BB9" w:rsidRPr="007F2463">
        <w:rPr>
          <w:rFonts w:eastAsia="Times New Roman"/>
        </w:rPr>
        <w:t xml:space="preserve"> </w:t>
      </w:r>
      <w:r w:rsidR="00B76BB9">
        <w:rPr>
          <w:rFonts w:eastAsia="Times New Roman"/>
        </w:rPr>
        <w:t>4.5</w:t>
      </w:r>
      <w:r w:rsidR="00C5342E" w:rsidRPr="00816FC2">
        <w:rPr>
          <w:rFonts w:eastAsia="Times New Roman"/>
        </w:rPr>
        <w:t>.</w:t>
      </w:r>
    </w:p>
    <w:p w:rsidR="00187223" w:rsidRPr="00816FC2" w:rsidRDefault="00187223" w:rsidP="008770FD">
      <w:pPr>
        <w:pStyle w:val="Overskrift3"/>
      </w:pPr>
      <w:r w:rsidRPr="00816FC2">
        <w:t>Syria</w:t>
      </w:r>
    </w:p>
    <w:p w:rsidR="00CA2B45" w:rsidRPr="00816FC2" w:rsidRDefault="00CA7A9F" w:rsidP="00A91592">
      <w:r w:rsidRPr="00816FC2">
        <w:t xml:space="preserve">Scenario analysis for </w:t>
      </w:r>
      <w:r w:rsidR="00187223" w:rsidRPr="00816FC2">
        <w:t xml:space="preserve">Syria takes as </w:t>
      </w:r>
      <w:r w:rsidRPr="00816FC2">
        <w:t xml:space="preserve">its baseline </w:t>
      </w:r>
      <w:r w:rsidR="00187223" w:rsidRPr="00816FC2">
        <w:t xml:space="preserve">the disintegrating </w:t>
      </w:r>
      <w:r w:rsidR="00C5342E" w:rsidRPr="00816FC2">
        <w:t>C</w:t>
      </w:r>
      <w:r w:rsidR="00470728">
        <w:t>essation of Hostilities (CoH) agreement</w:t>
      </w:r>
      <w:r w:rsidR="00CE6C35" w:rsidRPr="00816FC2">
        <w:t xml:space="preserve"> which </w:t>
      </w:r>
      <w:r w:rsidR="00D01ABA">
        <w:t xml:space="preserve">aimed to </w:t>
      </w:r>
      <w:r w:rsidR="009E16AA">
        <w:t xml:space="preserve">facilitate </w:t>
      </w:r>
      <w:r w:rsidR="00CE6C35" w:rsidRPr="00816FC2">
        <w:t xml:space="preserve">humanitarian access to </w:t>
      </w:r>
      <w:r w:rsidR="00D01ABA">
        <w:t>regime-</w:t>
      </w:r>
      <w:r w:rsidR="005A603E">
        <w:t xml:space="preserve">besieged </w:t>
      </w:r>
      <w:r w:rsidR="00CE6C35" w:rsidRPr="00816FC2">
        <w:t xml:space="preserve">areas </w:t>
      </w:r>
      <w:r w:rsidR="00CA2B45" w:rsidRPr="00816FC2">
        <w:t xml:space="preserve">and </w:t>
      </w:r>
      <w:r w:rsidR="00A91592">
        <w:t xml:space="preserve">ensure </w:t>
      </w:r>
      <w:r w:rsidR="00CA2B45" w:rsidRPr="00816FC2">
        <w:t>a reduction in fighting</w:t>
      </w:r>
      <w:r w:rsidR="00187223" w:rsidRPr="00816FC2">
        <w:t xml:space="preserve">. </w:t>
      </w:r>
      <w:r w:rsidR="005C2161">
        <w:t>T</w:t>
      </w:r>
      <w:r w:rsidRPr="00816FC2">
        <w:t>he CoH</w:t>
      </w:r>
      <w:r w:rsidR="005C2161">
        <w:t xml:space="preserve">’s </w:t>
      </w:r>
      <w:r w:rsidR="00187223" w:rsidRPr="00816FC2">
        <w:t>unravel</w:t>
      </w:r>
      <w:r w:rsidR="005C2161">
        <w:t xml:space="preserve">ling will </w:t>
      </w:r>
      <w:r w:rsidR="00D01ABA">
        <w:t xml:space="preserve">depend </w:t>
      </w:r>
      <w:r w:rsidR="00187223" w:rsidRPr="00816FC2">
        <w:t xml:space="preserve">upon several </w:t>
      </w:r>
      <w:r w:rsidR="00D93D53" w:rsidRPr="00816FC2">
        <w:t xml:space="preserve">factors, </w:t>
      </w:r>
      <w:r w:rsidR="005A603E">
        <w:t>including</w:t>
      </w:r>
      <w:r w:rsidR="005A603E" w:rsidRPr="00816FC2">
        <w:t xml:space="preserve"> </w:t>
      </w:r>
      <w:r w:rsidR="00D93D53" w:rsidRPr="00816FC2">
        <w:t xml:space="preserve">(1) whether </w:t>
      </w:r>
      <w:r w:rsidR="00D01ABA">
        <w:t>th</w:t>
      </w:r>
      <w:r w:rsidR="00A91592">
        <w:t>e</w:t>
      </w:r>
      <w:r w:rsidR="00D01ABA">
        <w:t xml:space="preserve"> regime </w:t>
      </w:r>
      <w:r w:rsidR="005279A5" w:rsidRPr="00816FC2">
        <w:t xml:space="preserve">wishes to </w:t>
      </w:r>
      <w:r w:rsidR="00D93D53" w:rsidRPr="00816FC2">
        <w:t xml:space="preserve">continue its military campaign </w:t>
      </w:r>
      <w:r w:rsidR="005279A5" w:rsidRPr="00816FC2">
        <w:t xml:space="preserve">beyond imposing a </w:t>
      </w:r>
      <w:r w:rsidR="00D93D53" w:rsidRPr="00816FC2">
        <w:t>full siege of Aleppo City</w:t>
      </w:r>
      <w:r w:rsidR="005279A5" w:rsidRPr="00816FC2">
        <w:t xml:space="preserve"> before then turning to Idlib</w:t>
      </w:r>
      <w:r w:rsidR="00D93D53" w:rsidRPr="00816FC2">
        <w:t xml:space="preserve">, (2) whether </w:t>
      </w:r>
      <w:r w:rsidR="00D01ABA">
        <w:t xml:space="preserve">the regime </w:t>
      </w:r>
      <w:r w:rsidR="00D93D53" w:rsidRPr="00816FC2">
        <w:t xml:space="preserve">can draw on </w:t>
      </w:r>
      <w:r w:rsidR="00245CBE">
        <w:t xml:space="preserve">future </w:t>
      </w:r>
      <w:r w:rsidR="005A603E">
        <w:t xml:space="preserve">Russian </w:t>
      </w:r>
      <w:r w:rsidR="00D93D53" w:rsidRPr="00816FC2">
        <w:t xml:space="preserve">support to achieve expansionist objectives, and (3) whether Turkey and members of the Gulf Cooperation Council are willing to </w:t>
      </w:r>
      <w:r w:rsidR="005A603E">
        <w:t xml:space="preserve">reduce </w:t>
      </w:r>
      <w:r w:rsidR="00D93D53" w:rsidRPr="00816FC2">
        <w:t xml:space="preserve">support to </w:t>
      </w:r>
      <w:r w:rsidR="005A603E">
        <w:t xml:space="preserve">the </w:t>
      </w:r>
      <w:r w:rsidR="00E954E4">
        <w:t xml:space="preserve">armed </w:t>
      </w:r>
      <w:r w:rsidR="00D93D53" w:rsidRPr="00816FC2">
        <w:t xml:space="preserve">opposition. </w:t>
      </w:r>
    </w:p>
    <w:p w:rsidR="00E87275" w:rsidRPr="00816FC2" w:rsidRDefault="006759DD" w:rsidP="00ED0964">
      <w:r w:rsidRPr="00816FC2">
        <w:t xml:space="preserve">The </w:t>
      </w:r>
      <w:r w:rsidR="008E3AD3" w:rsidRPr="00816FC2">
        <w:t>a</w:t>
      </w:r>
      <w:r w:rsidR="00D93D53" w:rsidRPr="00816FC2">
        <w:t xml:space="preserve">nalysis </w:t>
      </w:r>
      <w:r w:rsidRPr="00816FC2">
        <w:t xml:space="preserve">undertaken during the formulation process </w:t>
      </w:r>
      <w:r w:rsidR="00D93D53" w:rsidRPr="00816FC2">
        <w:t xml:space="preserve">points to three </w:t>
      </w:r>
      <w:r w:rsidR="00CE6C35" w:rsidRPr="00816FC2">
        <w:t xml:space="preserve">potential </w:t>
      </w:r>
      <w:r w:rsidR="00D93D53" w:rsidRPr="00816FC2">
        <w:t>scenarios</w:t>
      </w:r>
      <w:r w:rsidR="005279A5" w:rsidRPr="00816FC2">
        <w:t xml:space="preserve"> in order o</w:t>
      </w:r>
      <w:r w:rsidR="008E3AD3" w:rsidRPr="00816FC2">
        <w:t>f</w:t>
      </w:r>
      <w:r w:rsidR="005279A5" w:rsidRPr="00816FC2">
        <w:t xml:space="preserve"> likelihood</w:t>
      </w:r>
      <w:r w:rsidR="000F41E9" w:rsidRPr="00816FC2">
        <w:t>,</w:t>
      </w:r>
      <w:r w:rsidR="00CE6C35" w:rsidRPr="00816FC2">
        <w:t xml:space="preserve"> with Scenario 1 being most likely</w:t>
      </w:r>
      <w:r w:rsidR="00D93D53" w:rsidRPr="00816FC2">
        <w:t>:</w:t>
      </w:r>
    </w:p>
    <w:p w:rsidR="008E7CB5" w:rsidRPr="00816FC2" w:rsidRDefault="008E7CB5" w:rsidP="0080400C">
      <w:r w:rsidRPr="00816FC2">
        <w:rPr>
          <w:noProof/>
          <w:lang w:val="da-DK" w:eastAsia="da-DK"/>
        </w:rPr>
        <w:drawing>
          <wp:inline distT="0" distB="0" distL="0" distR="0" wp14:anchorId="0B1E3683" wp14:editId="211DE6EE">
            <wp:extent cx="6116320" cy="1329552"/>
            <wp:effectExtent l="0" t="0" r="55880" b="444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E6C35" w:rsidRPr="00816FC2" w:rsidRDefault="000D759E" w:rsidP="000D759E">
      <w:r w:rsidRPr="00816FC2">
        <w:t xml:space="preserve"> These scenarios have the following overall features</w:t>
      </w:r>
      <w:r w:rsidR="00D362DE" w:rsidRPr="00816FC2">
        <w:t xml:space="preserve">: </w:t>
      </w:r>
    </w:p>
    <w:p w:rsidR="005279A5" w:rsidRPr="005A603E" w:rsidRDefault="00CE6C35" w:rsidP="00A91592">
      <w:pPr>
        <w:pStyle w:val="Listeafsnit"/>
        <w:numPr>
          <w:ilvl w:val="0"/>
          <w:numId w:val="14"/>
        </w:numPr>
      </w:pPr>
      <w:r w:rsidRPr="003A277A">
        <w:rPr>
          <w:b/>
          <w:bCs/>
        </w:rPr>
        <w:t>Scenario 1 (Static)</w:t>
      </w:r>
      <w:r w:rsidR="00D8118C" w:rsidRPr="003A277A">
        <w:rPr>
          <w:b/>
          <w:bCs/>
          <w:sz w:val="28"/>
          <w:szCs w:val="28"/>
        </w:rPr>
        <w:t xml:space="preserve">: </w:t>
      </w:r>
      <w:r w:rsidR="000C0971" w:rsidRPr="007F2463">
        <w:rPr>
          <w:bCs/>
          <w:sz w:val="28"/>
          <w:szCs w:val="28"/>
        </w:rPr>
        <w:t>The r</w:t>
      </w:r>
      <w:r w:rsidRPr="003A277A">
        <w:t xml:space="preserve">egime </w:t>
      </w:r>
      <w:r w:rsidR="00A50A81">
        <w:t xml:space="preserve">de facto </w:t>
      </w:r>
      <w:r w:rsidR="005A603E">
        <w:t>accepts</w:t>
      </w:r>
      <w:r w:rsidR="009A449B">
        <w:t xml:space="preserve"> </w:t>
      </w:r>
      <w:r w:rsidR="00A91592">
        <w:t xml:space="preserve">an </w:t>
      </w:r>
      <w:r w:rsidRPr="003A277A">
        <w:t xml:space="preserve">opposition-held ‘buffer zone’ </w:t>
      </w:r>
      <w:r w:rsidR="005A603E">
        <w:t xml:space="preserve">with </w:t>
      </w:r>
      <w:r w:rsidR="006C1CC1" w:rsidRPr="005A603E">
        <w:t>Da’esh</w:t>
      </w:r>
      <w:r w:rsidR="009A449B">
        <w:t xml:space="preserve"> </w:t>
      </w:r>
      <w:r w:rsidRPr="005A603E">
        <w:t>territor</w:t>
      </w:r>
      <w:r w:rsidR="006C1CC1" w:rsidRPr="005A603E">
        <w:t xml:space="preserve">y. The </w:t>
      </w:r>
      <w:r w:rsidR="00CA2B45" w:rsidRPr="005A603E">
        <w:t xml:space="preserve">humanitarian </w:t>
      </w:r>
      <w:r w:rsidR="006C1CC1" w:rsidRPr="005A603E">
        <w:t xml:space="preserve">and displacement </w:t>
      </w:r>
      <w:r w:rsidR="00CA2B45" w:rsidRPr="005A603E">
        <w:t>crisis continue</w:t>
      </w:r>
      <w:r w:rsidR="005A603E">
        <w:t>s</w:t>
      </w:r>
      <w:r w:rsidR="00CA2B45" w:rsidRPr="005A603E">
        <w:t xml:space="preserve"> as regime </w:t>
      </w:r>
      <w:r w:rsidR="005A603E">
        <w:t xml:space="preserve">forces </w:t>
      </w:r>
      <w:r w:rsidR="00CA2B45" w:rsidRPr="005A603E">
        <w:t xml:space="preserve">push </w:t>
      </w:r>
      <w:r w:rsidR="006C1CC1" w:rsidRPr="005A603E">
        <w:t xml:space="preserve">for </w:t>
      </w:r>
      <w:r w:rsidR="005A603E">
        <w:t xml:space="preserve">Aleppo and Idlib </w:t>
      </w:r>
      <w:r w:rsidR="00A70977" w:rsidRPr="005A603E">
        <w:t>under cover of targeting DTOs (currently excluded from the CoH)</w:t>
      </w:r>
      <w:r w:rsidR="00CA2B45" w:rsidRPr="005A603E">
        <w:t xml:space="preserve">. </w:t>
      </w:r>
      <w:r w:rsidR="002C64DE" w:rsidRPr="005A603E">
        <w:t>Syria breaks into three elements: Kurdish, regime</w:t>
      </w:r>
      <w:r w:rsidR="00EF0575" w:rsidRPr="005A603E">
        <w:t xml:space="preserve"> and opposition, with </w:t>
      </w:r>
      <w:r w:rsidR="00A91592">
        <w:t xml:space="preserve">moderate opposition </w:t>
      </w:r>
      <w:r w:rsidR="00485F3F">
        <w:t xml:space="preserve">ground </w:t>
      </w:r>
      <w:r w:rsidR="00A91592">
        <w:t xml:space="preserve">increasingly squeezed and potentially becoming </w:t>
      </w:r>
      <w:r w:rsidR="006C1CC1" w:rsidRPr="005A603E">
        <w:t xml:space="preserve">increasingly </w:t>
      </w:r>
      <w:r w:rsidR="000D759E" w:rsidRPr="005A603E">
        <w:t>radical</w:t>
      </w:r>
      <w:r w:rsidR="002C64DE" w:rsidRPr="005A603E">
        <w:t>.</w:t>
      </w:r>
      <w:r w:rsidR="000D759E" w:rsidRPr="005A603E">
        <w:t xml:space="preserve"> The conflict </w:t>
      </w:r>
      <w:r w:rsidR="00485F3F">
        <w:t xml:space="preserve">develops </w:t>
      </w:r>
      <w:r w:rsidR="000C0971">
        <w:t xml:space="preserve">an </w:t>
      </w:r>
      <w:r w:rsidR="000D759E" w:rsidRPr="005A603E">
        <w:t>asymmetric character.</w:t>
      </w:r>
      <w:r w:rsidR="004368BF">
        <w:t xml:space="preserve"> </w:t>
      </w:r>
      <w:r w:rsidR="00245CBE">
        <w:t>At the same time, the struggle against Da’esh begins to show slow progress with the gradual liberation of territory from Da’esh control.</w:t>
      </w:r>
    </w:p>
    <w:p w:rsidR="005279A5" w:rsidRPr="00816FC2" w:rsidRDefault="00CE6C35" w:rsidP="00A91592">
      <w:pPr>
        <w:pStyle w:val="Listeafsnit"/>
        <w:numPr>
          <w:ilvl w:val="0"/>
          <w:numId w:val="14"/>
        </w:numPr>
        <w:rPr>
          <w:b/>
          <w:bCs/>
        </w:rPr>
      </w:pPr>
      <w:r w:rsidRPr="00816FC2">
        <w:rPr>
          <w:b/>
          <w:bCs/>
        </w:rPr>
        <w:t>Scenario 2 (</w:t>
      </w:r>
      <w:r w:rsidRPr="008227BE">
        <w:rPr>
          <w:b/>
          <w:bCs/>
          <w:szCs w:val="24"/>
        </w:rPr>
        <w:t>Regressive</w:t>
      </w:r>
      <w:r w:rsidRPr="00816FC2">
        <w:rPr>
          <w:b/>
          <w:bCs/>
        </w:rPr>
        <w:t>)</w:t>
      </w:r>
      <w:r w:rsidR="0080400C" w:rsidRPr="00816FC2">
        <w:rPr>
          <w:b/>
          <w:bCs/>
        </w:rPr>
        <w:t xml:space="preserve">: </w:t>
      </w:r>
      <w:r w:rsidR="00217848" w:rsidRPr="00816FC2">
        <w:rPr>
          <w:bCs/>
        </w:rPr>
        <w:t>T</w:t>
      </w:r>
      <w:r w:rsidR="005279A5" w:rsidRPr="00816FC2">
        <w:rPr>
          <w:bCs/>
        </w:rPr>
        <w:t>he r</w:t>
      </w:r>
      <w:r w:rsidR="005279A5" w:rsidRPr="00816FC2">
        <w:t>egime aggressive</w:t>
      </w:r>
      <w:r w:rsidR="00485F3F">
        <w:t xml:space="preserve">ly pursues </w:t>
      </w:r>
      <w:r w:rsidR="009A449B">
        <w:t>control beyond Idlib</w:t>
      </w:r>
      <w:r w:rsidR="00E975C9">
        <w:t xml:space="preserve"> triggering a commensurate acceleration in</w:t>
      </w:r>
      <w:r w:rsidR="009A449B">
        <w:t xml:space="preserve"> </w:t>
      </w:r>
      <w:r w:rsidR="00217848" w:rsidRPr="00816FC2">
        <w:t xml:space="preserve">Turkey and </w:t>
      </w:r>
      <w:r w:rsidR="005279A5" w:rsidRPr="00816FC2">
        <w:t xml:space="preserve">GCC </w:t>
      </w:r>
      <w:r w:rsidR="00217848" w:rsidRPr="00816FC2">
        <w:t xml:space="preserve">support </w:t>
      </w:r>
      <w:r w:rsidR="00E975C9">
        <w:t xml:space="preserve">to </w:t>
      </w:r>
      <w:r w:rsidR="00217848" w:rsidRPr="00816FC2">
        <w:t>proxie</w:t>
      </w:r>
      <w:r w:rsidR="009A449B">
        <w:t>s.</w:t>
      </w:r>
      <w:r w:rsidR="005279A5" w:rsidRPr="00816FC2">
        <w:t xml:space="preserve"> The humanitarian crisis </w:t>
      </w:r>
      <w:r w:rsidR="009A449B">
        <w:t xml:space="preserve">escalates as </w:t>
      </w:r>
      <w:r w:rsidR="005279A5" w:rsidRPr="00816FC2">
        <w:t xml:space="preserve">regional stability </w:t>
      </w:r>
      <w:r w:rsidR="005A603E">
        <w:t>deteriorate</w:t>
      </w:r>
      <w:r w:rsidR="009A449B">
        <w:t>s</w:t>
      </w:r>
      <w:r w:rsidR="005279A5" w:rsidRPr="00816FC2">
        <w:t>. Turkey continues targeting YPG positions in Syria</w:t>
      </w:r>
      <w:r w:rsidR="00A91592">
        <w:t xml:space="preserve"> as </w:t>
      </w:r>
      <w:r w:rsidR="009A449B">
        <w:t>t</w:t>
      </w:r>
      <w:r w:rsidR="003E52AA" w:rsidRPr="00816FC2">
        <w:t>he SDF continue</w:t>
      </w:r>
      <w:r w:rsidR="005A603E">
        <w:t>s</w:t>
      </w:r>
      <w:r w:rsidR="003E52AA" w:rsidRPr="00816FC2">
        <w:t xml:space="preserve"> to advance </w:t>
      </w:r>
      <w:r w:rsidR="009A449B">
        <w:t xml:space="preserve">on </w:t>
      </w:r>
      <w:r w:rsidR="003E52AA" w:rsidRPr="00816FC2">
        <w:t xml:space="preserve">Da’esh positions backed by </w:t>
      </w:r>
      <w:r w:rsidR="009A449B">
        <w:t>C</w:t>
      </w:r>
      <w:r w:rsidR="003E52AA" w:rsidRPr="00816FC2">
        <w:t xml:space="preserve">oalition </w:t>
      </w:r>
      <w:r w:rsidR="009A449B">
        <w:t>members</w:t>
      </w:r>
      <w:r w:rsidR="005279A5" w:rsidRPr="00816FC2">
        <w:t>.</w:t>
      </w:r>
      <w:r w:rsidR="005A603E">
        <w:t xml:space="preserve"> </w:t>
      </w:r>
      <w:r w:rsidR="00A70977" w:rsidRPr="00816FC2">
        <w:t>Syria is embroiled in a length</w:t>
      </w:r>
      <w:r w:rsidR="0071543C" w:rsidRPr="00816FC2">
        <w:t>y</w:t>
      </w:r>
      <w:r w:rsidR="00A70977" w:rsidRPr="00816FC2">
        <w:t xml:space="preserve"> civil war involving regional actors and breaks into three elements: Kurdish</w:t>
      </w:r>
      <w:r w:rsidR="008D6A98" w:rsidRPr="00816FC2">
        <w:t xml:space="preserve"> north</w:t>
      </w:r>
      <w:r w:rsidR="00A70977" w:rsidRPr="00816FC2">
        <w:t xml:space="preserve">, </w:t>
      </w:r>
      <w:r w:rsidR="009A449B">
        <w:t>r</w:t>
      </w:r>
      <w:r w:rsidR="00A70977" w:rsidRPr="00816FC2">
        <w:t>egime</w:t>
      </w:r>
      <w:r w:rsidR="009A449B">
        <w:t xml:space="preserve"> </w:t>
      </w:r>
      <w:r w:rsidR="008D6A98" w:rsidRPr="00816FC2">
        <w:t>w</w:t>
      </w:r>
      <w:r w:rsidR="00A70977" w:rsidRPr="00816FC2">
        <w:t xml:space="preserve">est and </w:t>
      </w:r>
      <w:r w:rsidR="003E52AA" w:rsidRPr="00816FC2">
        <w:t xml:space="preserve">an increasingly radicalised </w:t>
      </w:r>
      <w:r w:rsidR="00A70977" w:rsidRPr="00816FC2">
        <w:t xml:space="preserve">opposition-held </w:t>
      </w:r>
      <w:r w:rsidR="00A60A10" w:rsidRPr="00816FC2">
        <w:t>e</w:t>
      </w:r>
      <w:r w:rsidR="00A70977" w:rsidRPr="00816FC2">
        <w:t>ast.</w:t>
      </w:r>
      <w:r w:rsidR="00E954E4">
        <w:t xml:space="preserve"> </w:t>
      </w:r>
      <w:r w:rsidR="009A449B">
        <w:t>P</w:t>
      </w:r>
      <w:r w:rsidR="00E954E4">
        <w:t xml:space="preserve">ressure on the moderate opposition </w:t>
      </w:r>
      <w:r w:rsidR="00A91592">
        <w:t xml:space="preserve">increases, </w:t>
      </w:r>
      <w:r w:rsidR="00E954E4">
        <w:t>limit</w:t>
      </w:r>
      <w:r w:rsidR="00A91592">
        <w:t>ing</w:t>
      </w:r>
      <w:r w:rsidR="00B8476B">
        <w:t xml:space="preserve"> the </w:t>
      </w:r>
      <w:r w:rsidR="005A603E">
        <w:t xml:space="preserve">feasibility of </w:t>
      </w:r>
      <w:r w:rsidR="00B8476B">
        <w:t>stabili</w:t>
      </w:r>
      <w:r w:rsidR="005A603E">
        <w:t>s</w:t>
      </w:r>
      <w:r w:rsidR="00B8476B">
        <w:t>ation activities in opposition-held areas.</w:t>
      </w:r>
      <w:r w:rsidR="00E954E4">
        <w:t xml:space="preserve"> </w:t>
      </w:r>
    </w:p>
    <w:p w:rsidR="00EB1F7C" w:rsidRPr="00816FC2" w:rsidRDefault="00CA7A9F" w:rsidP="00A91592">
      <w:pPr>
        <w:pStyle w:val="Listeafsnit"/>
        <w:numPr>
          <w:ilvl w:val="0"/>
          <w:numId w:val="14"/>
        </w:numPr>
        <w:rPr>
          <w:b/>
          <w:bCs/>
        </w:rPr>
      </w:pPr>
      <w:r w:rsidRPr="00816FC2">
        <w:rPr>
          <w:b/>
          <w:bCs/>
        </w:rPr>
        <w:t>Scenario 3 (Progressive)</w:t>
      </w:r>
      <w:r w:rsidR="0080400C" w:rsidRPr="00816FC2">
        <w:rPr>
          <w:b/>
          <w:bCs/>
        </w:rPr>
        <w:t>:</w:t>
      </w:r>
      <w:r w:rsidR="00134752" w:rsidRPr="00816FC2">
        <w:rPr>
          <w:b/>
          <w:bCs/>
        </w:rPr>
        <w:t xml:space="preserve"> </w:t>
      </w:r>
      <w:r w:rsidR="00BE70CC" w:rsidRPr="007F2463">
        <w:rPr>
          <w:bCs/>
        </w:rPr>
        <w:t>Areas</w:t>
      </w:r>
      <w:r w:rsidR="00BE70CC">
        <w:rPr>
          <w:b/>
          <w:bCs/>
        </w:rPr>
        <w:t xml:space="preserve"> </w:t>
      </w:r>
      <w:r w:rsidR="00113A44">
        <w:t xml:space="preserve">of </w:t>
      </w:r>
      <w:r w:rsidR="00D93D53" w:rsidRPr="00816FC2">
        <w:t>opposition territor</w:t>
      </w:r>
      <w:r w:rsidR="00113A44">
        <w:t>y</w:t>
      </w:r>
      <w:r w:rsidR="00D93D53" w:rsidRPr="00816FC2">
        <w:t xml:space="preserve"> are gradually reintegrated under a transitional governing body</w:t>
      </w:r>
      <w:r w:rsidR="00113A44">
        <w:t xml:space="preserve"> as groups strike deals with </w:t>
      </w:r>
      <w:r w:rsidR="009A449B">
        <w:t xml:space="preserve">the </w:t>
      </w:r>
      <w:r w:rsidR="00113A44">
        <w:t>new political order</w:t>
      </w:r>
      <w:r w:rsidR="009A449B">
        <w:t>.</w:t>
      </w:r>
      <w:r w:rsidR="00D93D53" w:rsidRPr="00816FC2">
        <w:t xml:space="preserve"> </w:t>
      </w:r>
      <w:r w:rsidR="00217848" w:rsidRPr="00816FC2">
        <w:t>Da’esh</w:t>
      </w:r>
      <w:r w:rsidR="00D93D53" w:rsidRPr="00816FC2">
        <w:t xml:space="preserve"> </w:t>
      </w:r>
      <w:r w:rsidR="00E975C9">
        <w:t xml:space="preserve">is </w:t>
      </w:r>
      <w:r w:rsidR="009A449B">
        <w:t xml:space="preserve">pushed back by </w:t>
      </w:r>
      <w:r w:rsidR="00113A44">
        <w:t>airstrikes</w:t>
      </w:r>
      <w:r w:rsidR="00E975C9">
        <w:t xml:space="preserve">, </w:t>
      </w:r>
      <w:r w:rsidR="00BE70CC">
        <w:t xml:space="preserve">the </w:t>
      </w:r>
      <w:r w:rsidR="00A91592">
        <w:t xml:space="preserve">front line </w:t>
      </w:r>
      <w:r w:rsidR="00217848" w:rsidRPr="00816FC2">
        <w:t>become</w:t>
      </w:r>
      <w:r w:rsidR="00A91592">
        <w:t>s</w:t>
      </w:r>
      <w:r w:rsidR="00217848" w:rsidRPr="00816FC2">
        <w:t xml:space="preserve"> temporarily static</w:t>
      </w:r>
      <w:r w:rsidR="00E975C9">
        <w:t>,</w:t>
      </w:r>
      <w:r w:rsidR="00113A44">
        <w:t xml:space="preserve"> and t</w:t>
      </w:r>
      <w:r w:rsidR="00D93D53" w:rsidRPr="00816FC2">
        <w:t xml:space="preserve">he UN begins to </w:t>
      </w:r>
      <w:r w:rsidR="00113A44">
        <w:t xml:space="preserve">assume </w:t>
      </w:r>
      <w:r w:rsidR="00D93D53" w:rsidRPr="00816FC2">
        <w:t>a</w:t>
      </w:r>
      <w:r w:rsidR="004368BF">
        <w:t xml:space="preserve">n increased </w:t>
      </w:r>
      <w:r w:rsidR="00113A44">
        <w:t xml:space="preserve">coordination role </w:t>
      </w:r>
      <w:r w:rsidR="00E975C9">
        <w:t xml:space="preserve">in </w:t>
      </w:r>
      <w:r w:rsidR="005A603E" w:rsidRPr="00816FC2">
        <w:t>stabilisation</w:t>
      </w:r>
      <w:r w:rsidR="00D93D53" w:rsidRPr="00816FC2">
        <w:t xml:space="preserve">. </w:t>
      </w:r>
      <w:r w:rsidR="009A449B">
        <w:t>P</w:t>
      </w:r>
      <w:r w:rsidR="00113A44">
        <w:t xml:space="preserve">olitical </w:t>
      </w:r>
      <w:r w:rsidR="00D93D53" w:rsidRPr="00816FC2">
        <w:t xml:space="preserve">reform </w:t>
      </w:r>
      <w:r w:rsidR="009A449B">
        <w:t xml:space="preserve">may </w:t>
      </w:r>
      <w:r w:rsidR="00113A44">
        <w:t xml:space="preserve">result in some </w:t>
      </w:r>
      <w:r w:rsidR="009A449B">
        <w:t xml:space="preserve">regional </w:t>
      </w:r>
      <w:r w:rsidR="00D93D53" w:rsidRPr="00816FC2">
        <w:t>devol</w:t>
      </w:r>
      <w:r w:rsidR="00113A44">
        <w:t xml:space="preserve">ution </w:t>
      </w:r>
      <w:r w:rsidR="00113A44">
        <w:lastRenderedPageBreak/>
        <w:t>of</w:t>
      </w:r>
      <w:r w:rsidR="00D93D53" w:rsidRPr="00816FC2">
        <w:t xml:space="preserve"> </w:t>
      </w:r>
      <w:r w:rsidR="00113A44">
        <w:t>power</w:t>
      </w:r>
      <w:r w:rsidR="00B4274F">
        <w:t>,</w:t>
      </w:r>
      <w:r w:rsidR="009A449B">
        <w:t xml:space="preserve">, </w:t>
      </w:r>
      <w:r w:rsidR="00A91592">
        <w:t xml:space="preserve">but </w:t>
      </w:r>
      <w:r w:rsidR="009A449B">
        <w:t>c</w:t>
      </w:r>
      <w:r w:rsidR="00D93D53" w:rsidRPr="00816FC2">
        <w:t>ivil dissent continues</w:t>
      </w:r>
      <w:r w:rsidR="009A449B">
        <w:t xml:space="preserve">. Political </w:t>
      </w:r>
      <w:r w:rsidR="00EB1F7C" w:rsidRPr="00816FC2">
        <w:t xml:space="preserve">agreement </w:t>
      </w:r>
      <w:r w:rsidR="00A91592">
        <w:t xml:space="preserve">under </w:t>
      </w:r>
      <w:r w:rsidR="00EB1F7C" w:rsidRPr="00816FC2">
        <w:t xml:space="preserve">the </w:t>
      </w:r>
      <w:r w:rsidR="00A91592">
        <w:t xml:space="preserve"> </w:t>
      </w:r>
      <w:r w:rsidR="00113A44">
        <w:t xml:space="preserve">military </w:t>
      </w:r>
      <w:r w:rsidR="00EB1F7C" w:rsidRPr="00816FC2">
        <w:t xml:space="preserve">context </w:t>
      </w:r>
      <w:r w:rsidR="00113A44">
        <w:t>(</w:t>
      </w:r>
      <w:r w:rsidR="00EB1F7C" w:rsidRPr="00816FC2">
        <w:t xml:space="preserve">which favours the </w:t>
      </w:r>
      <w:r w:rsidR="005268A2" w:rsidRPr="00816FC2">
        <w:t>regime</w:t>
      </w:r>
      <w:r w:rsidR="00113A44">
        <w:t>)</w:t>
      </w:r>
      <w:r w:rsidR="005268A2" w:rsidRPr="00816FC2">
        <w:t xml:space="preserve"> </w:t>
      </w:r>
      <w:r w:rsidR="003E52AA" w:rsidRPr="00816FC2">
        <w:t>undermine</w:t>
      </w:r>
      <w:r w:rsidR="00A91592">
        <w:t>s</w:t>
      </w:r>
      <w:r w:rsidR="003E52AA" w:rsidRPr="00816FC2">
        <w:t xml:space="preserve"> the </w:t>
      </w:r>
      <w:r w:rsidR="00EB1F7C" w:rsidRPr="00816FC2">
        <w:t>opposition</w:t>
      </w:r>
      <w:r w:rsidR="003E52AA" w:rsidRPr="00816FC2">
        <w:t>’s</w:t>
      </w:r>
      <w:r w:rsidR="00EB1F7C" w:rsidRPr="00816FC2">
        <w:t xml:space="preserve"> long-term</w:t>
      </w:r>
      <w:r w:rsidR="009A449B">
        <w:t xml:space="preserve"> viability</w:t>
      </w:r>
      <w:r w:rsidR="00EB1F7C" w:rsidRPr="00816FC2">
        <w:t>.</w:t>
      </w:r>
    </w:p>
    <w:p w:rsidR="00F856E9" w:rsidRPr="00816FC2" w:rsidRDefault="00600EFB" w:rsidP="00600EFB">
      <w:r>
        <w:rPr>
          <w:b/>
          <w:bCs/>
        </w:rPr>
        <w:t xml:space="preserve">Implications for Danish </w:t>
      </w:r>
      <w:r w:rsidR="005D4B6F">
        <w:rPr>
          <w:b/>
          <w:bCs/>
        </w:rPr>
        <w:t>p</w:t>
      </w:r>
      <w:r>
        <w:rPr>
          <w:b/>
          <w:bCs/>
        </w:rPr>
        <w:t xml:space="preserve">rogramming: </w:t>
      </w:r>
      <w:r w:rsidR="003372E1" w:rsidRPr="007F2463">
        <w:t>Analysis</w:t>
      </w:r>
      <w:r w:rsidR="003372E1">
        <w:rPr>
          <w:b/>
          <w:bCs/>
        </w:rPr>
        <w:t xml:space="preserve"> </w:t>
      </w:r>
      <w:r w:rsidR="00F856E9" w:rsidRPr="00816FC2">
        <w:t>indicate</w:t>
      </w:r>
      <w:r w:rsidR="003372E1">
        <w:t>s</w:t>
      </w:r>
      <w:r w:rsidR="00F856E9" w:rsidRPr="00816FC2">
        <w:t xml:space="preserve"> </w:t>
      </w:r>
      <w:r w:rsidR="00E975C9">
        <w:t xml:space="preserve">that </w:t>
      </w:r>
      <w:r w:rsidR="00F856E9" w:rsidRPr="00816FC2">
        <w:t>support to civil society, peace</w:t>
      </w:r>
      <w:r w:rsidR="006A445C">
        <w:t xml:space="preserve"> </w:t>
      </w:r>
      <w:r w:rsidR="00F856E9" w:rsidRPr="00816FC2">
        <w:t>process</w:t>
      </w:r>
      <w:r w:rsidR="003372E1">
        <w:t>es</w:t>
      </w:r>
      <w:r w:rsidR="00F856E9" w:rsidRPr="00816FC2">
        <w:t xml:space="preserve">, stabilisation and reconstruction will be most relevant and sustainable across </w:t>
      </w:r>
      <w:r w:rsidR="00113A44">
        <w:t>the</w:t>
      </w:r>
      <w:r w:rsidR="00A91592">
        <w:t xml:space="preserve"> scenario</w:t>
      </w:r>
      <w:r w:rsidR="00B4274F">
        <w:t>s during</w:t>
      </w:r>
      <w:r w:rsidR="00A91592">
        <w:t xml:space="preserve"> the p</w:t>
      </w:r>
      <w:r w:rsidR="00113A44">
        <w:t>rogramme’s timeframe</w:t>
      </w:r>
      <w:r w:rsidR="00F856E9" w:rsidRPr="00816FC2">
        <w:t>.</w:t>
      </w:r>
      <w:r w:rsidR="00113A44">
        <w:t xml:space="preserve"> </w:t>
      </w:r>
      <w:r w:rsidR="006A445C">
        <w:t xml:space="preserve">As </w:t>
      </w:r>
      <w:r w:rsidR="00E975C9" w:rsidRPr="00816FC2">
        <w:t xml:space="preserve">DTOs </w:t>
      </w:r>
      <w:r w:rsidR="006A445C">
        <w:t xml:space="preserve">remain prominent, </w:t>
      </w:r>
      <w:r w:rsidR="00E975C9">
        <w:t>Da’esh is pushed back and elements go underground in opposition areas</w:t>
      </w:r>
      <w:r w:rsidR="00F856E9" w:rsidRPr="00816FC2">
        <w:t xml:space="preserve">, </w:t>
      </w:r>
      <w:r w:rsidR="00F856E9" w:rsidRPr="00816FC2">
        <w:rPr>
          <w:b/>
          <w:bCs/>
          <w:i/>
          <w:iCs/>
        </w:rPr>
        <w:t>civil society</w:t>
      </w:r>
      <w:r w:rsidR="00F856E9" w:rsidRPr="00816FC2">
        <w:t xml:space="preserve"> plays a vital role in challenging </w:t>
      </w:r>
      <w:r w:rsidR="00113A44">
        <w:t xml:space="preserve">Da’esh and </w:t>
      </w:r>
      <w:r w:rsidR="004368BF">
        <w:t>extremist</w:t>
      </w:r>
      <w:r w:rsidR="00A91592">
        <w:t xml:space="preserve"> </w:t>
      </w:r>
      <w:r w:rsidR="00F856E9" w:rsidRPr="00816FC2">
        <w:t>ideolog</w:t>
      </w:r>
      <w:r w:rsidR="00113A44">
        <w:t>ies</w:t>
      </w:r>
      <w:r w:rsidR="00F856E9" w:rsidRPr="00816FC2">
        <w:t xml:space="preserve">, pressuring the regime into concessions and advocating </w:t>
      </w:r>
      <w:r w:rsidR="00A91592">
        <w:t xml:space="preserve">for </w:t>
      </w:r>
      <w:r w:rsidR="00F856E9" w:rsidRPr="00816FC2">
        <w:t xml:space="preserve">democratic values in </w:t>
      </w:r>
      <w:r w:rsidR="00A91592">
        <w:t xml:space="preserve">transition </w:t>
      </w:r>
      <w:r w:rsidR="00F856E9" w:rsidRPr="00816FC2">
        <w:t xml:space="preserve">processes. </w:t>
      </w:r>
      <w:r w:rsidR="006A445C">
        <w:t>F</w:t>
      </w:r>
      <w:r w:rsidR="00F856E9" w:rsidRPr="00816FC2">
        <w:t>lexibl</w:t>
      </w:r>
      <w:r w:rsidR="00A91592">
        <w:t xml:space="preserve">e and effective provision of </w:t>
      </w:r>
      <w:r w:rsidR="00F856E9" w:rsidRPr="00816FC2">
        <w:rPr>
          <w:b/>
          <w:bCs/>
          <w:i/>
          <w:iCs/>
        </w:rPr>
        <w:t>stabilisation support</w:t>
      </w:r>
      <w:r w:rsidR="00F856E9" w:rsidRPr="00816FC2">
        <w:t xml:space="preserve"> to moderate opposition actors</w:t>
      </w:r>
      <w:r w:rsidR="00A91592">
        <w:t xml:space="preserve"> to</w:t>
      </w:r>
      <w:r w:rsidR="00F856E9" w:rsidRPr="00816FC2">
        <w:t xml:space="preserve"> preserve civil space and support </w:t>
      </w:r>
      <w:r w:rsidR="00A91592">
        <w:t xml:space="preserve">the recovery of </w:t>
      </w:r>
      <w:r w:rsidR="00F856E9" w:rsidRPr="00816FC2">
        <w:t>local communities</w:t>
      </w:r>
      <w:r w:rsidR="0075555C">
        <w:t>, including in areas that may be liberated from Da’esh and other extremist groups,</w:t>
      </w:r>
      <w:r w:rsidR="00F856E9" w:rsidRPr="00816FC2">
        <w:t xml:space="preserve"> </w:t>
      </w:r>
      <w:r w:rsidR="00A91592">
        <w:t xml:space="preserve">remains </w:t>
      </w:r>
      <w:r w:rsidR="00F856E9" w:rsidRPr="00816FC2">
        <w:t>relevant</w:t>
      </w:r>
      <w:r w:rsidR="00F856E9" w:rsidRPr="00816FC2">
        <w:rPr>
          <w:rFonts w:cs="Arial"/>
          <w:szCs w:val="22"/>
        </w:rPr>
        <w:t>. Conv</w:t>
      </w:r>
      <w:r w:rsidR="00F856E9" w:rsidRPr="00816FC2">
        <w:t xml:space="preserve">ersely, </w:t>
      </w:r>
      <w:r w:rsidR="00F856E9" w:rsidRPr="00816FC2">
        <w:rPr>
          <w:b/>
          <w:i/>
          <w:iCs/>
        </w:rPr>
        <w:t>reconstruction</w:t>
      </w:r>
      <w:r w:rsidR="00F856E9" w:rsidRPr="00816FC2">
        <w:rPr>
          <w:bCs/>
        </w:rPr>
        <w:t xml:space="preserve"> and </w:t>
      </w:r>
      <w:r w:rsidR="00F856E9" w:rsidRPr="00816FC2">
        <w:rPr>
          <w:b/>
          <w:i/>
          <w:iCs/>
        </w:rPr>
        <w:t>governance</w:t>
      </w:r>
      <w:r w:rsidR="00F856E9" w:rsidRPr="00816FC2">
        <w:rPr>
          <w:b/>
          <w:bCs/>
        </w:rPr>
        <w:t xml:space="preserve"> </w:t>
      </w:r>
      <w:r w:rsidR="00F856E9" w:rsidRPr="00816FC2">
        <w:t xml:space="preserve">programmes are more relevant under </w:t>
      </w:r>
      <w:r w:rsidR="00627376">
        <w:t xml:space="preserve">the </w:t>
      </w:r>
      <w:r w:rsidR="00A91592" w:rsidRPr="00816FC2">
        <w:t xml:space="preserve">progressive </w:t>
      </w:r>
      <w:r w:rsidR="00A91592">
        <w:t>s</w:t>
      </w:r>
      <w:r w:rsidR="00F856E9" w:rsidRPr="00816FC2">
        <w:t>cenario</w:t>
      </w:r>
      <w:r w:rsidR="00627376">
        <w:t xml:space="preserve">, </w:t>
      </w:r>
      <w:r w:rsidR="00A91592">
        <w:t>3</w:t>
      </w:r>
      <w:r w:rsidR="00F856E9" w:rsidRPr="00816FC2">
        <w:t>. In the m</w:t>
      </w:r>
      <w:r w:rsidR="006A445C">
        <w:t>e</w:t>
      </w:r>
      <w:r w:rsidR="00F856E9" w:rsidRPr="00816FC2">
        <w:t>d</w:t>
      </w:r>
      <w:r w:rsidR="006A445C">
        <w:t xml:space="preserve">ium </w:t>
      </w:r>
      <w:r w:rsidR="00F856E9" w:rsidRPr="00816FC2">
        <w:t>term, scenarios</w:t>
      </w:r>
      <w:r w:rsidR="003372E1">
        <w:t xml:space="preserve"> </w:t>
      </w:r>
      <w:r w:rsidR="00F856E9" w:rsidRPr="00816FC2">
        <w:t>1 and 3</w:t>
      </w:r>
      <w:r w:rsidR="003372E1">
        <w:t xml:space="preserve"> </w:t>
      </w:r>
      <w:r w:rsidR="00627376">
        <w:t xml:space="preserve">both </w:t>
      </w:r>
      <w:r w:rsidR="003372E1">
        <w:t xml:space="preserve">posit </w:t>
      </w:r>
      <w:r w:rsidR="006A445C">
        <w:t xml:space="preserve">the prospect of </w:t>
      </w:r>
      <w:r w:rsidR="00F856E9" w:rsidRPr="00816FC2">
        <w:t xml:space="preserve">a </w:t>
      </w:r>
      <w:r w:rsidR="00994EDB">
        <w:t>regime</w:t>
      </w:r>
      <w:r w:rsidR="00F856E9" w:rsidRPr="00816FC2">
        <w:t>-led transitional governing body</w:t>
      </w:r>
      <w:r w:rsidR="00627376">
        <w:t xml:space="preserve">, which is </w:t>
      </w:r>
      <w:r w:rsidR="003372E1">
        <w:t xml:space="preserve">likely to be </w:t>
      </w:r>
      <w:r w:rsidR="00F856E9" w:rsidRPr="00816FC2">
        <w:t xml:space="preserve">opposed by </w:t>
      </w:r>
      <w:r w:rsidR="00994EDB">
        <w:t xml:space="preserve">large parts </w:t>
      </w:r>
      <w:r w:rsidR="00F856E9" w:rsidRPr="00816FC2">
        <w:t>of the opposition</w:t>
      </w:r>
      <w:r w:rsidR="003372E1">
        <w:t xml:space="preserve"> </w:t>
      </w:r>
      <w:r w:rsidR="00627376">
        <w:t xml:space="preserve">particularly if </w:t>
      </w:r>
      <w:r w:rsidR="0075555C">
        <w:t xml:space="preserve">it </w:t>
      </w:r>
      <w:r w:rsidR="00627376">
        <w:t>lacks the support of regional actors. A</w:t>
      </w:r>
      <w:r w:rsidR="003372E1">
        <w:t xml:space="preserve">symmetric methods </w:t>
      </w:r>
      <w:r w:rsidR="00627376">
        <w:t xml:space="preserve">are likely to be increasingly applied </w:t>
      </w:r>
      <w:r w:rsidR="003372E1">
        <w:t xml:space="preserve">against the regime and </w:t>
      </w:r>
      <w:r w:rsidR="006A445C">
        <w:t>‘defectors’.</w:t>
      </w:r>
      <w:r w:rsidR="00E975C9">
        <w:t xml:space="preserve"> </w:t>
      </w:r>
      <w:r w:rsidR="006A445C">
        <w:t xml:space="preserve">At this point, </w:t>
      </w:r>
      <w:r w:rsidR="00E975C9">
        <w:t>Danish</w:t>
      </w:r>
      <w:r w:rsidR="00F856E9" w:rsidRPr="00816FC2">
        <w:t xml:space="preserve"> support to the UN</w:t>
      </w:r>
      <w:r w:rsidR="00627376">
        <w:t xml:space="preserve">’s </w:t>
      </w:r>
      <w:r w:rsidR="00F856E9" w:rsidRPr="00816FC2">
        <w:t>transitional arrangements</w:t>
      </w:r>
      <w:r w:rsidR="006A445C">
        <w:t xml:space="preserve"> will </w:t>
      </w:r>
      <w:r w:rsidR="00F856E9" w:rsidRPr="00816FC2">
        <w:t xml:space="preserve">be critical, </w:t>
      </w:r>
      <w:r w:rsidR="006A445C">
        <w:t xml:space="preserve">and </w:t>
      </w:r>
      <w:r w:rsidR="00F856E9" w:rsidRPr="00816FC2">
        <w:t xml:space="preserve">Denmark </w:t>
      </w:r>
      <w:r w:rsidR="006A445C">
        <w:t xml:space="preserve">will </w:t>
      </w:r>
      <w:r w:rsidR="00F856E9" w:rsidRPr="00816FC2">
        <w:t xml:space="preserve">need to review </w:t>
      </w:r>
      <w:r w:rsidR="00722958" w:rsidRPr="00816FC2">
        <w:t>the</w:t>
      </w:r>
      <w:r w:rsidR="00F856E9" w:rsidRPr="00816FC2">
        <w:t xml:space="preserve"> programme’s Syria-related activities</w:t>
      </w:r>
      <w:r w:rsidR="00E975C9">
        <w:t>.</w:t>
      </w:r>
    </w:p>
    <w:p w:rsidR="006972FC" w:rsidRPr="00816FC2" w:rsidRDefault="006972FC" w:rsidP="008770FD">
      <w:pPr>
        <w:pStyle w:val="Overskrift3"/>
      </w:pPr>
      <w:r w:rsidRPr="00816FC2">
        <w:t>Iraq</w:t>
      </w:r>
    </w:p>
    <w:p w:rsidR="007B3FD7" w:rsidRPr="00816FC2" w:rsidRDefault="00D93D53" w:rsidP="00627376">
      <w:r w:rsidRPr="00816FC2">
        <w:t>Iraq</w:t>
      </w:r>
      <w:r w:rsidR="006972FC" w:rsidRPr="00816FC2">
        <w:t>’s</w:t>
      </w:r>
      <w:r w:rsidRPr="00816FC2">
        <w:t xml:space="preserve"> ability to survive as a homogenous entity rests on </w:t>
      </w:r>
      <w:r w:rsidR="006972FC" w:rsidRPr="00816FC2">
        <w:t xml:space="preserve">the </w:t>
      </w:r>
      <w:r w:rsidR="00651B11">
        <w:t xml:space="preserve">GoI’s </w:t>
      </w:r>
      <w:r w:rsidRPr="00816FC2">
        <w:t xml:space="preserve">ability to address </w:t>
      </w:r>
      <w:r w:rsidR="00651B11">
        <w:t xml:space="preserve">conditions which enabled </w:t>
      </w:r>
      <w:r w:rsidRPr="00816FC2">
        <w:t xml:space="preserve">Da’esh </w:t>
      </w:r>
      <w:r w:rsidR="00651B11">
        <w:t xml:space="preserve">to </w:t>
      </w:r>
      <w:r w:rsidRPr="00816FC2">
        <w:t xml:space="preserve">emerge. </w:t>
      </w:r>
      <w:r w:rsidR="00627376">
        <w:t>S</w:t>
      </w:r>
      <w:r w:rsidRPr="00816FC2">
        <w:t xml:space="preserve">cenarios take as a starting point the continued advance by Iraq’s military, Kurdish, PMUs and Sunni tribal forces against Da’esh, and assume an intention by </w:t>
      </w:r>
      <w:r w:rsidR="006972FC" w:rsidRPr="00816FC2">
        <w:t xml:space="preserve">PM </w:t>
      </w:r>
      <w:r w:rsidR="00D15D0F" w:rsidRPr="00816FC2">
        <w:t>A</w:t>
      </w:r>
      <w:r w:rsidR="006972FC" w:rsidRPr="00816FC2">
        <w:t>badi to reform institutions.</w:t>
      </w:r>
      <w:r w:rsidR="00CA2B45" w:rsidRPr="00816FC2">
        <w:t xml:space="preserve"> </w:t>
      </w:r>
      <w:r w:rsidR="006972FC" w:rsidRPr="00816FC2">
        <w:t>Analysis points to three potential scenarios, with Scenario 1 being most likely:</w:t>
      </w:r>
    </w:p>
    <w:p w:rsidR="006972FC" w:rsidRPr="00816FC2" w:rsidRDefault="006972FC" w:rsidP="0080400C">
      <w:r w:rsidRPr="00816FC2">
        <w:rPr>
          <w:noProof/>
          <w:lang w:val="da-DK" w:eastAsia="da-DK"/>
        </w:rPr>
        <w:drawing>
          <wp:inline distT="0" distB="0" distL="0" distR="0" wp14:anchorId="1330F9CD" wp14:editId="58EBEFEF">
            <wp:extent cx="6116955" cy="1485900"/>
            <wp:effectExtent l="19050" t="0" r="55245"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A228E" w:rsidRPr="00816FC2" w:rsidRDefault="00FA228E" w:rsidP="00FA228E">
      <w:r w:rsidRPr="00816FC2">
        <w:t xml:space="preserve">These scenarios </w:t>
      </w:r>
      <w:r w:rsidR="007B3FD7" w:rsidRPr="00816FC2">
        <w:t>have the following overall features</w:t>
      </w:r>
      <w:r w:rsidRPr="00816FC2">
        <w:t>:</w:t>
      </w:r>
    </w:p>
    <w:p w:rsidR="006972FC" w:rsidRPr="00816FC2" w:rsidRDefault="006972FC" w:rsidP="00744051">
      <w:pPr>
        <w:pStyle w:val="Listeafsnit"/>
        <w:numPr>
          <w:ilvl w:val="0"/>
          <w:numId w:val="38"/>
        </w:numPr>
      </w:pPr>
      <w:r w:rsidRPr="00816FC2">
        <w:rPr>
          <w:b/>
          <w:bCs/>
        </w:rPr>
        <w:t xml:space="preserve">Scenario </w:t>
      </w:r>
      <w:r w:rsidR="003A5877" w:rsidRPr="00816FC2">
        <w:rPr>
          <w:b/>
          <w:bCs/>
        </w:rPr>
        <w:t>1</w:t>
      </w:r>
      <w:r w:rsidRPr="00816FC2">
        <w:rPr>
          <w:b/>
          <w:bCs/>
        </w:rPr>
        <w:t xml:space="preserve"> (Static)</w:t>
      </w:r>
      <w:r w:rsidRPr="00816FC2">
        <w:rPr>
          <w:sz w:val="28"/>
          <w:szCs w:val="28"/>
        </w:rPr>
        <w:t xml:space="preserve">: </w:t>
      </w:r>
      <w:r w:rsidRPr="00816FC2">
        <w:t xml:space="preserve">Protests against Abadi </w:t>
      </w:r>
      <w:r w:rsidR="00190AA8" w:rsidRPr="00816FC2">
        <w:t xml:space="preserve">undermine the government </w:t>
      </w:r>
      <w:r w:rsidR="00592BFD" w:rsidRPr="00816FC2">
        <w:t>and may</w:t>
      </w:r>
      <w:r w:rsidR="00190AA8" w:rsidRPr="00816FC2">
        <w:t xml:space="preserve"> lead to</w:t>
      </w:r>
      <w:r w:rsidRPr="00816FC2">
        <w:t xml:space="preserve"> </w:t>
      </w:r>
      <w:r w:rsidR="00190AA8" w:rsidRPr="00816FC2">
        <w:t xml:space="preserve">its </w:t>
      </w:r>
      <w:r w:rsidRPr="00816FC2">
        <w:t>collapse; Shi’a – Kurdish and/or intra-Kurdish fighting commences.</w:t>
      </w:r>
      <w:r w:rsidR="00EA75CA" w:rsidRPr="00816FC2">
        <w:t xml:space="preserve"> </w:t>
      </w:r>
      <w:r w:rsidR="00651B11">
        <w:t>L</w:t>
      </w:r>
      <w:r w:rsidR="00EA75CA" w:rsidRPr="00816FC2">
        <w:t>arge-scale destruction in Mosul and neighbouring regions</w:t>
      </w:r>
      <w:r w:rsidR="00651B11">
        <w:t xml:space="preserve"> exacerbates the stabilisation challenge</w:t>
      </w:r>
      <w:r w:rsidR="00EA75CA" w:rsidRPr="00816FC2">
        <w:t>; fighting between</w:t>
      </w:r>
      <w:r w:rsidR="00027411" w:rsidRPr="00816FC2">
        <w:t xml:space="preserve"> </w:t>
      </w:r>
      <w:r w:rsidR="008817D4">
        <w:t xml:space="preserve">ISF and some </w:t>
      </w:r>
      <w:r w:rsidR="00EA75CA" w:rsidRPr="00816FC2">
        <w:t>PMUs</w:t>
      </w:r>
      <w:r w:rsidR="00571124" w:rsidRPr="00816FC2">
        <w:t xml:space="preserve"> </w:t>
      </w:r>
      <w:r w:rsidR="00627376">
        <w:t xml:space="preserve">and resultant civil unrest further undermine </w:t>
      </w:r>
      <w:r w:rsidR="00EA75CA" w:rsidRPr="00816FC2">
        <w:t>Abadi’s government. The Kurdish region moves to vote for self-determination and may act on the outcome of this vote.</w:t>
      </w:r>
    </w:p>
    <w:p w:rsidR="003A5877" w:rsidRPr="00816FC2" w:rsidRDefault="003A5877" w:rsidP="00744051">
      <w:pPr>
        <w:pStyle w:val="Listeafsnit"/>
        <w:numPr>
          <w:ilvl w:val="0"/>
          <w:numId w:val="38"/>
        </w:numPr>
      </w:pPr>
      <w:r w:rsidRPr="00816FC2">
        <w:rPr>
          <w:b/>
          <w:bCs/>
        </w:rPr>
        <w:t>Scenario 2 (Regressive)</w:t>
      </w:r>
      <w:r w:rsidRPr="00816FC2">
        <w:rPr>
          <w:sz w:val="28"/>
          <w:szCs w:val="28"/>
        </w:rPr>
        <w:t xml:space="preserve">: </w:t>
      </w:r>
      <w:r w:rsidR="00627376" w:rsidRPr="00744051">
        <w:t>ISF’s</w:t>
      </w:r>
      <w:r w:rsidR="00627376">
        <w:t xml:space="preserve"> assault on Mosul results in its destruction on a l</w:t>
      </w:r>
      <w:r w:rsidR="00EA75CA" w:rsidRPr="00816FC2">
        <w:t>arge-scale</w:t>
      </w:r>
      <w:r w:rsidR="00627376">
        <w:t xml:space="preserve"> and/or </w:t>
      </w:r>
      <w:r w:rsidR="00EA75CA" w:rsidRPr="00816FC2">
        <w:t>parts remaining under Da’esh control</w:t>
      </w:r>
      <w:r w:rsidR="00651B11">
        <w:t xml:space="preserve">, </w:t>
      </w:r>
      <w:r w:rsidR="004C6030" w:rsidRPr="00816FC2">
        <w:t>undermin</w:t>
      </w:r>
      <w:r w:rsidR="00651B11">
        <w:t>ing the GoI</w:t>
      </w:r>
      <w:r w:rsidR="004C6030" w:rsidRPr="00816FC2">
        <w:t xml:space="preserve"> and </w:t>
      </w:r>
      <w:r w:rsidR="00651B11">
        <w:t xml:space="preserve">reinforcing the </w:t>
      </w:r>
      <w:r w:rsidR="004C6030" w:rsidRPr="00816FC2">
        <w:t>role of PMUs</w:t>
      </w:r>
      <w:r w:rsidR="00EA75CA" w:rsidRPr="00816FC2">
        <w:t>. Kurd</w:t>
      </w:r>
      <w:r w:rsidR="00627376">
        <w:t>s</w:t>
      </w:r>
      <w:r w:rsidR="00EA75CA" w:rsidRPr="00816FC2">
        <w:t xml:space="preserve"> vote for self-determination and </w:t>
      </w:r>
      <w:r w:rsidR="00627376">
        <w:t>look</w:t>
      </w:r>
      <w:r w:rsidR="008817D4">
        <w:t xml:space="preserve"> </w:t>
      </w:r>
      <w:r w:rsidR="00651B11">
        <w:t xml:space="preserve">set </w:t>
      </w:r>
      <w:r w:rsidR="008817D4">
        <w:t xml:space="preserve">to </w:t>
      </w:r>
      <w:r w:rsidR="00EA75CA" w:rsidRPr="00816FC2">
        <w:t xml:space="preserve">act on </w:t>
      </w:r>
      <w:r w:rsidR="008817D4">
        <w:t xml:space="preserve">the </w:t>
      </w:r>
      <w:r w:rsidR="00EA75CA" w:rsidRPr="00816FC2">
        <w:t xml:space="preserve">outcome of </w:t>
      </w:r>
      <w:r w:rsidR="00651B11">
        <w:t xml:space="preserve">the </w:t>
      </w:r>
      <w:r w:rsidR="00EA75CA" w:rsidRPr="00816FC2">
        <w:t>vote, triggering intra-Kurdish fighting</w:t>
      </w:r>
      <w:r w:rsidR="008817D4">
        <w:t>;</w:t>
      </w:r>
      <w:r w:rsidR="00EA75CA" w:rsidRPr="00816FC2">
        <w:t xml:space="preserve"> mass protests trigger the downfall of the government and intra-Shi’a fighting. In Sunni areas, inter-tribal fighting will increase</w:t>
      </w:r>
      <w:r w:rsidR="002A6CDA" w:rsidRPr="00816FC2">
        <w:t xml:space="preserve">. </w:t>
      </w:r>
      <w:r w:rsidR="008817D4">
        <w:t xml:space="preserve">The </w:t>
      </w:r>
      <w:r w:rsidR="000D759E" w:rsidRPr="00816FC2">
        <w:t>disintegration of the Iraqi state</w:t>
      </w:r>
      <w:r w:rsidR="008817D4">
        <w:t xml:space="preserve"> is likely</w:t>
      </w:r>
      <w:r w:rsidR="000D759E" w:rsidRPr="00816FC2">
        <w:t>.</w:t>
      </w:r>
    </w:p>
    <w:p w:rsidR="00D93D53" w:rsidRPr="00816FC2" w:rsidRDefault="006972FC" w:rsidP="00744051">
      <w:pPr>
        <w:pStyle w:val="Listeafsnit"/>
        <w:numPr>
          <w:ilvl w:val="0"/>
          <w:numId w:val="38"/>
        </w:numPr>
      </w:pPr>
      <w:r w:rsidRPr="00816FC2">
        <w:rPr>
          <w:b/>
          <w:bCs/>
        </w:rPr>
        <w:t>Scenario 3 (Progressive)</w:t>
      </w:r>
      <w:r w:rsidRPr="00816FC2">
        <w:rPr>
          <w:sz w:val="28"/>
          <w:szCs w:val="28"/>
        </w:rPr>
        <w:t xml:space="preserve">: </w:t>
      </w:r>
      <w:r w:rsidR="00627376">
        <w:rPr>
          <w:szCs w:val="24"/>
        </w:rPr>
        <w:t>C</w:t>
      </w:r>
      <w:r w:rsidR="00994EDB" w:rsidRPr="008227BE">
        <w:rPr>
          <w:szCs w:val="24"/>
        </w:rPr>
        <w:t xml:space="preserve">oalition </w:t>
      </w:r>
      <w:r w:rsidR="00627376">
        <w:rPr>
          <w:szCs w:val="24"/>
        </w:rPr>
        <w:t xml:space="preserve">and ISF forces </w:t>
      </w:r>
      <w:r w:rsidR="00994EDB">
        <w:rPr>
          <w:szCs w:val="24"/>
        </w:rPr>
        <w:t xml:space="preserve">push Da’esh out of all central population centres, including Mosul. Stabilisation measures keep </w:t>
      </w:r>
      <w:r w:rsidR="008817D4">
        <w:rPr>
          <w:szCs w:val="24"/>
        </w:rPr>
        <w:t xml:space="preserve">pace </w:t>
      </w:r>
      <w:r w:rsidR="00994EDB">
        <w:rPr>
          <w:szCs w:val="24"/>
        </w:rPr>
        <w:t xml:space="preserve">with military progress and </w:t>
      </w:r>
      <w:r w:rsidR="008817D4">
        <w:rPr>
          <w:szCs w:val="24"/>
        </w:rPr>
        <w:t xml:space="preserve">IDPs </w:t>
      </w:r>
      <w:r w:rsidR="00627376">
        <w:rPr>
          <w:szCs w:val="24"/>
        </w:rPr>
        <w:t xml:space="preserve">begin to </w:t>
      </w:r>
      <w:r w:rsidR="00994EDB">
        <w:rPr>
          <w:szCs w:val="24"/>
        </w:rPr>
        <w:t xml:space="preserve">return. </w:t>
      </w:r>
      <w:r w:rsidR="00FA228E" w:rsidRPr="00994EDB">
        <w:rPr>
          <w:szCs w:val="24"/>
        </w:rPr>
        <w:t xml:space="preserve">Popular reforms increase </w:t>
      </w:r>
      <w:r w:rsidR="000D759E" w:rsidRPr="00994EDB">
        <w:rPr>
          <w:szCs w:val="24"/>
        </w:rPr>
        <w:t xml:space="preserve">GoI </w:t>
      </w:r>
      <w:r w:rsidR="00FA228E" w:rsidRPr="00994EDB">
        <w:rPr>
          <w:szCs w:val="24"/>
        </w:rPr>
        <w:t>stability and legitimacy</w:t>
      </w:r>
      <w:r w:rsidR="00600EFB">
        <w:rPr>
          <w:szCs w:val="24"/>
        </w:rPr>
        <w:t>:</w:t>
      </w:r>
      <w:r w:rsidR="00FA228E" w:rsidRPr="00994EDB">
        <w:rPr>
          <w:szCs w:val="24"/>
        </w:rPr>
        <w:t xml:space="preserve"> </w:t>
      </w:r>
      <w:r w:rsidRPr="00994EDB">
        <w:rPr>
          <w:szCs w:val="24"/>
        </w:rPr>
        <w:t>Abadi oversees a</w:t>
      </w:r>
      <w:r w:rsidR="00FA228E" w:rsidRPr="00994EDB">
        <w:rPr>
          <w:szCs w:val="24"/>
        </w:rPr>
        <w:t xml:space="preserve"> transition towards federalism</w:t>
      </w:r>
      <w:r w:rsidR="00627376">
        <w:rPr>
          <w:szCs w:val="24"/>
        </w:rPr>
        <w:t xml:space="preserve">; </w:t>
      </w:r>
      <w:r w:rsidRPr="00994EDB">
        <w:rPr>
          <w:szCs w:val="24"/>
        </w:rPr>
        <w:t xml:space="preserve">low-level insurgency continues </w:t>
      </w:r>
      <w:r w:rsidR="00FA228E" w:rsidRPr="00994EDB">
        <w:rPr>
          <w:szCs w:val="24"/>
        </w:rPr>
        <w:t xml:space="preserve">resulting in </w:t>
      </w:r>
      <w:r w:rsidRPr="00994EDB">
        <w:rPr>
          <w:szCs w:val="24"/>
        </w:rPr>
        <w:t>some intra-Sunni fighting. Increased inclusion of Sunni and Kurd in central government reduces the likelihood of mid-term instability.</w:t>
      </w:r>
      <w:r w:rsidR="00FA228E" w:rsidRPr="00994EDB">
        <w:rPr>
          <w:szCs w:val="24"/>
        </w:rPr>
        <w:t xml:space="preserve"> </w:t>
      </w:r>
      <w:r w:rsidR="00EA75CA" w:rsidRPr="00994EDB">
        <w:rPr>
          <w:szCs w:val="24"/>
        </w:rPr>
        <w:t>The Kurdish region may vote for self-determination but does not act on the outcome of this vote.</w:t>
      </w:r>
    </w:p>
    <w:p w:rsidR="00190AA8" w:rsidRPr="00816FC2" w:rsidRDefault="003A5877" w:rsidP="00744051">
      <w:pPr>
        <w:rPr>
          <w:b/>
          <w:noProof/>
          <w:sz w:val="30"/>
          <w:szCs w:val="30"/>
          <w:lang w:eastAsia="da-DK"/>
        </w:rPr>
      </w:pPr>
      <w:r w:rsidRPr="00816FC2">
        <w:rPr>
          <w:b/>
          <w:bCs/>
        </w:rPr>
        <w:t xml:space="preserve">Implications </w:t>
      </w:r>
      <w:r w:rsidR="0011672C" w:rsidRPr="00816FC2">
        <w:rPr>
          <w:b/>
          <w:bCs/>
        </w:rPr>
        <w:t xml:space="preserve">for </w:t>
      </w:r>
      <w:r w:rsidR="008E47B4" w:rsidRPr="00816FC2">
        <w:rPr>
          <w:b/>
          <w:bCs/>
        </w:rPr>
        <w:t xml:space="preserve">Danish </w:t>
      </w:r>
      <w:r w:rsidR="005D4B6F">
        <w:rPr>
          <w:b/>
          <w:bCs/>
        </w:rPr>
        <w:t>p</w:t>
      </w:r>
      <w:r w:rsidRPr="00816FC2">
        <w:rPr>
          <w:b/>
          <w:bCs/>
        </w:rPr>
        <w:t>rogramming</w:t>
      </w:r>
      <w:r w:rsidR="00F856E9" w:rsidRPr="00816FC2">
        <w:rPr>
          <w:b/>
          <w:bCs/>
        </w:rPr>
        <w:t>:</w:t>
      </w:r>
      <w:r w:rsidR="00696171" w:rsidRPr="00816FC2">
        <w:rPr>
          <w:b/>
          <w:bCs/>
        </w:rPr>
        <w:t xml:space="preserve"> </w:t>
      </w:r>
      <w:r w:rsidR="006C5290">
        <w:t>S</w:t>
      </w:r>
      <w:r w:rsidR="00123BB9" w:rsidRPr="00816FC2">
        <w:t xml:space="preserve">upport to </w:t>
      </w:r>
      <w:r w:rsidR="00E823D8" w:rsidRPr="00816FC2">
        <w:t xml:space="preserve">stabilisation, </w:t>
      </w:r>
      <w:r w:rsidR="00123BB9" w:rsidRPr="00816FC2">
        <w:t xml:space="preserve">governance, </w:t>
      </w:r>
      <w:r w:rsidR="00E823D8" w:rsidRPr="00816FC2">
        <w:t xml:space="preserve">and </w:t>
      </w:r>
      <w:r w:rsidR="00123BB9" w:rsidRPr="00816FC2">
        <w:t xml:space="preserve">civil society </w:t>
      </w:r>
      <w:r w:rsidR="00D93D53" w:rsidRPr="00816FC2">
        <w:t>will</w:t>
      </w:r>
      <w:r w:rsidR="00651B11">
        <w:t xml:space="preserve">, </w:t>
      </w:r>
      <w:r w:rsidR="00603CAA" w:rsidRPr="00816FC2">
        <w:t>with some variatio</w:t>
      </w:r>
      <w:r w:rsidR="00651B11">
        <w:t>n,</w:t>
      </w:r>
      <w:r w:rsidR="00603CAA" w:rsidRPr="00816FC2">
        <w:t xml:space="preserve"> </w:t>
      </w:r>
      <w:r w:rsidR="00D93D53" w:rsidRPr="00816FC2">
        <w:t>be most sustaina</w:t>
      </w:r>
      <w:r w:rsidR="00865D1B" w:rsidRPr="00816FC2">
        <w:t>ble across the three scenarios.</w:t>
      </w:r>
      <w:r w:rsidR="008817D4">
        <w:rPr>
          <w:b/>
          <w:bCs/>
          <w:i/>
          <w:iCs/>
        </w:rPr>
        <w:t xml:space="preserve"> </w:t>
      </w:r>
      <w:r w:rsidR="00D93D53" w:rsidRPr="00816FC2">
        <w:rPr>
          <w:b/>
          <w:bCs/>
          <w:i/>
          <w:iCs/>
        </w:rPr>
        <w:t>Stabilisation</w:t>
      </w:r>
      <w:r w:rsidR="00D93D53" w:rsidRPr="00816FC2">
        <w:t xml:space="preserve"> </w:t>
      </w:r>
      <w:r w:rsidR="008817D4">
        <w:t>mitigate</w:t>
      </w:r>
      <w:r w:rsidR="00651B11">
        <w:t>s</w:t>
      </w:r>
      <w:r w:rsidR="008817D4">
        <w:t xml:space="preserve"> the impact of the </w:t>
      </w:r>
      <w:r w:rsidR="00D93D53" w:rsidRPr="00816FC2">
        <w:t xml:space="preserve">destruction caused by airstrikes, </w:t>
      </w:r>
      <w:r w:rsidR="006C5290">
        <w:t xml:space="preserve">helps meet </w:t>
      </w:r>
      <w:r w:rsidR="00F73045" w:rsidRPr="00816FC2">
        <w:t xml:space="preserve">the Counter-IED challenge and </w:t>
      </w:r>
      <w:r w:rsidR="006C5290">
        <w:t xml:space="preserve">enables return of </w:t>
      </w:r>
      <w:r w:rsidR="00D93D53" w:rsidRPr="00816FC2">
        <w:lastRenderedPageBreak/>
        <w:t>IDPs. This</w:t>
      </w:r>
      <w:r w:rsidR="008817D4">
        <w:t xml:space="preserve"> </w:t>
      </w:r>
      <w:r w:rsidR="00D93D53" w:rsidRPr="00816FC2">
        <w:t xml:space="preserve">needs to be delivered through </w:t>
      </w:r>
      <w:r w:rsidR="007C6B28" w:rsidRPr="00816FC2">
        <w:t xml:space="preserve">a reformed </w:t>
      </w:r>
      <w:r w:rsidR="00D93D53" w:rsidRPr="00816FC2">
        <w:t xml:space="preserve">Iraqi state </w:t>
      </w:r>
      <w:r w:rsidR="007C6B28" w:rsidRPr="00816FC2">
        <w:t xml:space="preserve">with improved </w:t>
      </w:r>
      <w:r w:rsidR="007C6B28" w:rsidRPr="00816FC2">
        <w:rPr>
          <w:b/>
          <w:bCs/>
          <w:i/>
          <w:iCs/>
        </w:rPr>
        <w:t>governance</w:t>
      </w:r>
      <w:r w:rsidR="007C6B28" w:rsidRPr="00816FC2">
        <w:t xml:space="preserve"> </w:t>
      </w:r>
      <w:r w:rsidR="00600EFB">
        <w:t xml:space="preserve">in order to bolster </w:t>
      </w:r>
      <w:r w:rsidR="007C6B28" w:rsidRPr="00816FC2">
        <w:t>the</w:t>
      </w:r>
      <w:r w:rsidR="007C6B28" w:rsidRPr="00816FC2">
        <w:rPr>
          <w:b/>
          <w:bCs/>
          <w:i/>
          <w:iCs/>
        </w:rPr>
        <w:t xml:space="preserve"> </w:t>
      </w:r>
      <w:r w:rsidR="00865D1B" w:rsidRPr="00816FC2">
        <w:t>viability of the Iraqi state.</w:t>
      </w:r>
      <w:r w:rsidRPr="00816FC2">
        <w:t xml:space="preserve"> </w:t>
      </w:r>
      <w:r w:rsidR="00D93D53" w:rsidRPr="00816FC2">
        <w:rPr>
          <w:b/>
          <w:bCs/>
          <w:i/>
          <w:iCs/>
        </w:rPr>
        <w:t>Political dialogue</w:t>
      </w:r>
      <w:r w:rsidR="00D93D53" w:rsidRPr="00816FC2">
        <w:t>,</w:t>
      </w:r>
      <w:r w:rsidR="00D93D53" w:rsidRPr="00816FC2">
        <w:rPr>
          <w:b/>
          <w:bCs/>
        </w:rPr>
        <w:t xml:space="preserve"> </w:t>
      </w:r>
      <w:r w:rsidR="00D93D53" w:rsidRPr="00816FC2">
        <w:rPr>
          <w:b/>
          <w:bCs/>
          <w:i/>
          <w:iCs/>
        </w:rPr>
        <w:t>reconciliation</w:t>
      </w:r>
      <w:r w:rsidR="00D93D53" w:rsidRPr="006C5290">
        <w:t>,</w:t>
      </w:r>
      <w:r w:rsidR="00D93D53" w:rsidRPr="007F2463">
        <w:rPr>
          <w:bCs/>
        </w:rPr>
        <w:t xml:space="preserve"> and</w:t>
      </w:r>
      <w:r w:rsidR="00D93D53" w:rsidRPr="007F2463">
        <w:rPr>
          <w:bCs/>
          <w:u w:val="single"/>
        </w:rPr>
        <w:t xml:space="preserve"> </w:t>
      </w:r>
      <w:r w:rsidR="00EB6674" w:rsidRPr="007F2463">
        <w:rPr>
          <w:bCs/>
          <w:u w:val="single"/>
        </w:rPr>
        <w:t xml:space="preserve">an active </w:t>
      </w:r>
      <w:r w:rsidR="00D93D53" w:rsidRPr="00816FC2">
        <w:rPr>
          <w:b/>
          <w:bCs/>
          <w:i/>
          <w:iCs/>
        </w:rPr>
        <w:t>civil society</w:t>
      </w:r>
      <w:r w:rsidR="00D93D53" w:rsidRPr="00816FC2">
        <w:rPr>
          <w:b/>
          <w:bCs/>
        </w:rPr>
        <w:t xml:space="preserve"> </w:t>
      </w:r>
      <w:r w:rsidR="00D93D53" w:rsidRPr="00816FC2">
        <w:t xml:space="preserve">are necessary to address causes of instability. </w:t>
      </w:r>
      <w:r w:rsidR="00D93D53" w:rsidRPr="00816FC2">
        <w:rPr>
          <w:bCs/>
        </w:rPr>
        <w:t xml:space="preserve">In the longer term, </w:t>
      </w:r>
      <w:r w:rsidR="00D93D53" w:rsidRPr="00816FC2">
        <w:rPr>
          <w:b/>
          <w:i/>
          <w:iCs/>
        </w:rPr>
        <w:t>reconstruction</w:t>
      </w:r>
      <w:r w:rsidR="00D93D53" w:rsidRPr="00816FC2">
        <w:rPr>
          <w:bCs/>
        </w:rPr>
        <w:t xml:space="preserve"> </w:t>
      </w:r>
      <w:r w:rsidR="008A116F">
        <w:rPr>
          <w:bCs/>
        </w:rPr>
        <w:t xml:space="preserve">will </w:t>
      </w:r>
      <w:r w:rsidR="008A116F">
        <w:rPr>
          <w:bCs/>
          <w:u w:val="single"/>
        </w:rPr>
        <w:t xml:space="preserve">need to address </w:t>
      </w:r>
      <w:r w:rsidR="00600EFB">
        <w:t xml:space="preserve"> </w:t>
      </w:r>
      <w:r w:rsidR="00D93D53" w:rsidRPr="00816FC2">
        <w:t>historical imbalances caused by Saddam</w:t>
      </w:r>
      <w:r w:rsidR="00600EFB">
        <w:t>.</w:t>
      </w:r>
      <w:r w:rsidR="007C6B28" w:rsidRPr="00816FC2">
        <w:t xml:space="preserve"> </w:t>
      </w:r>
      <w:r w:rsidR="00600EFB">
        <w:t>T</w:t>
      </w:r>
      <w:r w:rsidR="007C6B28" w:rsidRPr="00816FC2">
        <w:t>his</w:t>
      </w:r>
      <w:r w:rsidR="00D93D53" w:rsidRPr="00816FC2">
        <w:t xml:space="preserve">, however, is least relevant under a regressive scenario where instability </w:t>
      </w:r>
      <w:r w:rsidR="008A116F">
        <w:t>is widespread</w:t>
      </w:r>
      <w:r w:rsidR="00D93D53" w:rsidRPr="00816FC2">
        <w:t xml:space="preserve">. </w:t>
      </w:r>
      <w:r w:rsidR="00C970B0">
        <w:rPr>
          <w:rFonts w:eastAsia="SimSun"/>
        </w:rPr>
        <w:t>I</w:t>
      </w:r>
      <w:r w:rsidR="00C970B0" w:rsidRPr="00816FC2">
        <w:rPr>
          <w:rFonts w:eastAsia="SimSun"/>
        </w:rPr>
        <w:t xml:space="preserve">n the mid-term </w:t>
      </w:r>
      <w:r w:rsidR="00C970B0">
        <w:rPr>
          <w:b/>
          <w:i/>
          <w:iCs/>
        </w:rPr>
        <w:t>c</w:t>
      </w:r>
      <w:r w:rsidR="00D93D53" w:rsidRPr="00816FC2">
        <w:rPr>
          <w:b/>
          <w:i/>
          <w:iCs/>
        </w:rPr>
        <w:t xml:space="preserve">ommunity </w:t>
      </w:r>
      <w:r w:rsidR="00C970B0">
        <w:rPr>
          <w:b/>
          <w:i/>
          <w:iCs/>
        </w:rPr>
        <w:t>s</w:t>
      </w:r>
      <w:r w:rsidR="00D93D53" w:rsidRPr="00816FC2">
        <w:rPr>
          <w:b/>
          <w:i/>
          <w:iCs/>
        </w:rPr>
        <w:t>ecurity</w:t>
      </w:r>
      <w:r w:rsidR="00D93D53" w:rsidRPr="00816FC2">
        <w:t xml:space="preserve"> </w:t>
      </w:r>
      <w:r w:rsidR="00C970B0">
        <w:t xml:space="preserve">will be </w:t>
      </w:r>
      <w:r w:rsidR="00D93D53" w:rsidRPr="00816FC2">
        <w:rPr>
          <w:rFonts w:eastAsia="SimSun"/>
        </w:rPr>
        <w:t xml:space="preserve">relevant </w:t>
      </w:r>
      <w:r w:rsidR="008A116F">
        <w:rPr>
          <w:rFonts w:eastAsia="SimSun"/>
        </w:rPr>
        <w:t xml:space="preserve">to </w:t>
      </w:r>
      <w:r w:rsidR="00600EFB">
        <w:rPr>
          <w:rFonts w:eastAsia="SimSun"/>
        </w:rPr>
        <w:t>encourag</w:t>
      </w:r>
      <w:r w:rsidR="008A116F">
        <w:rPr>
          <w:rFonts w:eastAsia="SimSun"/>
        </w:rPr>
        <w:t>e t</w:t>
      </w:r>
      <w:r w:rsidR="00600EFB">
        <w:rPr>
          <w:rFonts w:eastAsia="SimSun"/>
        </w:rPr>
        <w:t xml:space="preserve">he return of IDPs </w:t>
      </w:r>
      <w:r w:rsidR="008817D4">
        <w:rPr>
          <w:rFonts w:eastAsia="SimSun"/>
        </w:rPr>
        <w:t xml:space="preserve">once areas </w:t>
      </w:r>
      <w:r w:rsidR="001C2083" w:rsidRPr="00816FC2">
        <w:rPr>
          <w:rFonts w:eastAsia="SimSun"/>
        </w:rPr>
        <w:t>are cleared from I</w:t>
      </w:r>
      <w:r w:rsidR="00DA66A6" w:rsidRPr="00816FC2">
        <w:rPr>
          <w:rFonts w:eastAsia="SimSun"/>
        </w:rPr>
        <w:t>ED</w:t>
      </w:r>
      <w:r w:rsidR="001C2083" w:rsidRPr="00816FC2">
        <w:rPr>
          <w:rFonts w:eastAsia="SimSun"/>
        </w:rPr>
        <w:t>s</w:t>
      </w:r>
      <w:r w:rsidR="00600EFB">
        <w:rPr>
          <w:rFonts w:eastAsia="SimSun"/>
        </w:rPr>
        <w:t xml:space="preserve"> and </w:t>
      </w:r>
      <w:r w:rsidR="001C2083" w:rsidRPr="00816FC2">
        <w:rPr>
          <w:rFonts w:eastAsia="SimSun"/>
        </w:rPr>
        <w:t>immediate stabilisation needs are catered for.</w:t>
      </w:r>
      <w:bookmarkEnd w:id="23"/>
    </w:p>
    <w:p w:rsidR="00141999" w:rsidRPr="007F2463" w:rsidRDefault="00D31837" w:rsidP="007B2E4E">
      <w:pPr>
        <w:pStyle w:val="Overskrift1"/>
        <w:rPr>
          <w:lang w:val="en-GB"/>
        </w:rPr>
      </w:pPr>
      <w:bookmarkStart w:id="24" w:name="_Toc332370506"/>
      <w:r w:rsidRPr="007F2463">
        <w:rPr>
          <w:lang w:val="en-GB"/>
        </w:rPr>
        <w:lastRenderedPageBreak/>
        <w:t>Previous Danish support, experience and lessons</w:t>
      </w:r>
      <w:bookmarkEnd w:id="24"/>
    </w:p>
    <w:p w:rsidR="00F3637A" w:rsidRPr="00816FC2" w:rsidRDefault="00F3637A" w:rsidP="00822406">
      <w:pPr>
        <w:spacing w:after="0"/>
      </w:pPr>
      <w:r w:rsidRPr="00816FC2">
        <w:t xml:space="preserve">This section provides an overview of the policy </w:t>
      </w:r>
      <w:r w:rsidR="00B17EA0" w:rsidRPr="00816FC2">
        <w:t>context and summarises the experiences from recent stabilisation support to both countries that have influenced the design of the new programme.</w:t>
      </w:r>
    </w:p>
    <w:p w:rsidR="00E124DD" w:rsidRPr="00816FC2" w:rsidRDefault="00E124DD" w:rsidP="00E124DD">
      <w:pPr>
        <w:pStyle w:val="Overskrift2"/>
      </w:pPr>
      <w:bookmarkStart w:id="25" w:name="_Toc332370507"/>
      <w:r w:rsidRPr="00816FC2">
        <w:t>Policy Context</w:t>
      </w:r>
      <w:bookmarkEnd w:id="25"/>
    </w:p>
    <w:p w:rsidR="001401AC" w:rsidRPr="00816FC2" w:rsidRDefault="00877F98" w:rsidP="003B7603">
      <w:pPr>
        <w:rPr>
          <w:color w:val="auto"/>
        </w:rPr>
      </w:pPr>
      <w:r>
        <w:t>International</w:t>
      </w:r>
      <w:r w:rsidRPr="00816FC2">
        <w:t xml:space="preserve"> </w:t>
      </w:r>
      <w:r w:rsidR="00E124DD" w:rsidRPr="00816FC2">
        <w:t xml:space="preserve">efforts against Da’esh in Syria and Iraq </w:t>
      </w:r>
      <w:r>
        <w:t xml:space="preserve">are in part based </w:t>
      </w:r>
      <w:r w:rsidR="00E124DD" w:rsidRPr="00816FC2">
        <w:t>UNSCR 2249</w:t>
      </w:r>
      <w:r>
        <w:t xml:space="preserve"> </w:t>
      </w:r>
      <w:r w:rsidR="00E124DD" w:rsidRPr="00816FC2">
        <w:t xml:space="preserve">(2015) and has resulted in </w:t>
      </w:r>
      <w:r>
        <w:t xml:space="preserve">the creation of </w:t>
      </w:r>
      <w:r w:rsidR="00E124DD" w:rsidRPr="00816FC2">
        <w:t>a Global Coalition of 66 countries</w:t>
      </w:r>
      <w:r w:rsidR="00CB6993">
        <w:t xml:space="preserve"> and organisations</w:t>
      </w:r>
      <w:r w:rsidR="00E124DD" w:rsidRPr="00816FC2">
        <w:t xml:space="preserve"> working to achieve the “core vision” of degrading and defeating Da’esh.</w:t>
      </w:r>
      <w:r w:rsidR="00E124DD" w:rsidRPr="00816FC2">
        <w:rPr>
          <w:rStyle w:val="Fodnotehenvisning"/>
          <w:rFonts w:ascii="Garamond" w:hAnsi="Garamond"/>
          <w:sz w:val="24"/>
        </w:rPr>
        <w:footnoteReference w:id="7"/>
      </w:r>
      <w:r w:rsidR="00E124DD" w:rsidRPr="00816FC2">
        <w:t xml:space="preserve"> The Coalition’s activities centre upon five lines of effort: </w:t>
      </w:r>
      <w:r w:rsidR="001401AC" w:rsidRPr="00816FC2">
        <w:rPr>
          <w:color w:val="auto"/>
        </w:rPr>
        <w:t xml:space="preserve">1) military efforts; 2) stabilisation efforts; 3) stopping the flow of foreign terrorist fighters; 4) cutting of ISIL’s financing sources; 5) delegitimizing ISIL’s brand and </w:t>
      </w:r>
      <w:r w:rsidR="001401AC" w:rsidRPr="00816FC2">
        <w:t>narrative</w:t>
      </w:r>
      <w:r w:rsidR="001401AC" w:rsidRPr="00816FC2">
        <w:rPr>
          <w:color w:val="auto"/>
        </w:rPr>
        <w:t xml:space="preserve">. </w:t>
      </w:r>
    </w:p>
    <w:p w:rsidR="00E124DD" w:rsidRPr="00816FC2" w:rsidRDefault="00E124DD" w:rsidP="00CB02E3">
      <w:r w:rsidRPr="00816FC2">
        <w:t xml:space="preserve">Cognisant of the need to </w:t>
      </w:r>
      <w:r w:rsidR="00877F98" w:rsidRPr="00816FC2">
        <w:t>c</w:t>
      </w:r>
      <w:r w:rsidR="00877F98">
        <w:t xml:space="preserve">onnect </w:t>
      </w:r>
      <w:r w:rsidRPr="00816FC2">
        <w:t xml:space="preserve">counter-Da’esh efforts with activities </w:t>
      </w:r>
      <w:r w:rsidR="00CB02E3">
        <w:t xml:space="preserve">to </w:t>
      </w:r>
      <w:r w:rsidRPr="00816FC2">
        <w:t>address the causes of conflict, the UN</w:t>
      </w:r>
      <w:r w:rsidR="00964520" w:rsidRPr="00816FC2">
        <w:t xml:space="preserve"> </w:t>
      </w:r>
      <w:r w:rsidRPr="00816FC2">
        <w:t>S</w:t>
      </w:r>
      <w:r w:rsidR="00964520" w:rsidRPr="00816FC2">
        <w:t xml:space="preserve">ecurity </w:t>
      </w:r>
      <w:r w:rsidRPr="00816FC2">
        <w:t>C</w:t>
      </w:r>
      <w:r w:rsidR="00964520" w:rsidRPr="00816FC2">
        <w:t>ouncil</w:t>
      </w:r>
      <w:r w:rsidRPr="00816FC2">
        <w:t xml:space="preserve">, European Union (EU) and national policy instruments have called upon States to support measures that create conditions for lasting stability and inclusive political settlements in Iraq and Syria. </w:t>
      </w:r>
      <w:r w:rsidR="001C2893" w:rsidRPr="00816FC2">
        <w:t>Inter alia, t</w:t>
      </w:r>
      <w:r w:rsidRPr="00816FC2">
        <w:t xml:space="preserve">he Coalition’s Working Group on Stabilisation has underscored the need for a framework </w:t>
      </w:r>
      <w:r w:rsidR="00CB6993">
        <w:t>that can coordinate</w:t>
      </w:r>
      <w:r w:rsidR="00CB6993" w:rsidRPr="00816FC2">
        <w:t xml:space="preserve"> </w:t>
      </w:r>
      <w:r w:rsidRPr="00816FC2">
        <w:t>stabilisation activities in newly-liberated area</w:t>
      </w:r>
      <w:r w:rsidR="00E535BA" w:rsidRPr="00816FC2">
        <w:t>s</w:t>
      </w:r>
      <w:r w:rsidRPr="00816FC2">
        <w:t xml:space="preserve">, including service delivery, mine action, policing, infrastructure regeneration, IDP return, accountability and </w:t>
      </w:r>
      <w:r w:rsidR="00CB02E3">
        <w:t>reconciliation.</w:t>
      </w:r>
      <w:r w:rsidRPr="00816FC2">
        <w:rPr>
          <w:rStyle w:val="Fodnotehenvisning"/>
          <w:rFonts w:ascii="Garamond" w:hAnsi="Garamond"/>
          <w:sz w:val="24"/>
        </w:rPr>
        <w:footnoteReference w:id="8"/>
      </w:r>
      <w:r w:rsidRPr="00816FC2">
        <w:t xml:space="preserve"> </w:t>
      </w:r>
      <w:r w:rsidR="001C2893" w:rsidRPr="00816FC2">
        <w:t xml:space="preserve">In relation to Syria, </w:t>
      </w:r>
      <w:r w:rsidRPr="00816FC2">
        <w:t>UNSCR 2254(2015) has called for the implementation of the 2012 Geneva Communiqué working towards a political resolution of the Syrian conflict, and the EU’s regional strategy for Syria and Iraq (March 2015) is focused on measures to create conditions for lasting stability in the region</w:t>
      </w:r>
      <w:r w:rsidR="00C70450" w:rsidRPr="00816FC2">
        <w:t>, reaffirmed in the EU Foreign Affairs Council</w:t>
      </w:r>
      <w:r w:rsidR="00CB02E3">
        <w:t>’s</w:t>
      </w:r>
      <w:r w:rsidR="00C70450" w:rsidRPr="00816FC2">
        <w:t xml:space="preserve"> Conclusions in May 2016</w:t>
      </w:r>
      <w:r w:rsidR="002556A8" w:rsidRPr="00816FC2">
        <w:t>.</w:t>
      </w:r>
      <w:r w:rsidRPr="00816FC2">
        <w:t xml:space="preserve"> </w:t>
      </w:r>
    </w:p>
    <w:p w:rsidR="00571124" w:rsidRPr="00816FC2" w:rsidRDefault="00571124" w:rsidP="00D22FAE">
      <w:r w:rsidRPr="00816FC2">
        <w:rPr>
          <w:b/>
        </w:rPr>
        <w:t>Danish policy</w:t>
      </w:r>
      <w:r w:rsidRPr="00816FC2">
        <w:t xml:space="preserve"> </w:t>
      </w:r>
      <w:r w:rsidR="00CB02E3">
        <w:t xml:space="preserve">in </w:t>
      </w:r>
      <w:r w:rsidRPr="00816FC2">
        <w:t>Syria and Iraq is closely aligned with the policy framework</w:t>
      </w:r>
      <w:r w:rsidR="00877F98">
        <w:t>s</w:t>
      </w:r>
      <w:r w:rsidRPr="00816FC2">
        <w:t xml:space="preserve"> set out by the UN</w:t>
      </w:r>
      <w:r w:rsidR="00CB02E3">
        <w:t>SC</w:t>
      </w:r>
      <w:r w:rsidRPr="00816FC2">
        <w:t>, the EU Foreign Affairs Council and the Global Coalition against Da’esh. Denmark has supported the rebuilding of the Iraqi state since 2003</w:t>
      </w:r>
      <w:r w:rsidR="00CB02E3">
        <w:t xml:space="preserve"> and has </w:t>
      </w:r>
      <w:r w:rsidRPr="00816FC2">
        <w:t>actively supported the Coalition’s military campaign against Da’esh</w:t>
      </w:r>
      <w:r w:rsidR="00CB02E3">
        <w:t xml:space="preserve"> since 2014</w:t>
      </w:r>
      <w:r w:rsidRPr="00816FC2">
        <w:t xml:space="preserve">, </w:t>
      </w:r>
      <w:r w:rsidR="00CB02E3">
        <w:t xml:space="preserve">including with a </w:t>
      </w:r>
      <w:r w:rsidRPr="00816FC2">
        <w:t>building partner capacity contingent and mobile air control radar, both located at Al-Asad Air Base.</w:t>
      </w:r>
      <w:r w:rsidR="00CB02E3">
        <w:t xml:space="preserve"> In April 2016, t</w:t>
      </w:r>
      <w:r w:rsidRPr="00816FC2">
        <w:t xml:space="preserve">he Danish Parliament </w:t>
      </w:r>
      <w:r w:rsidR="00CB02E3">
        <w:t xml:space="preserve">also </w:t>
      </w:r>
      <w:r w:rsidRPr="00816FC2">
        <w:t xml:space="preserve">approved Parliamentary Decision B 108 which authorized the re-deployment of F-16 fighter </w:t>
      </w:r>
      <w:r w:rsidR="00CB02E3">
        <w:t xml:space="preserve">and </w:t>
      </w:r>
      <w:r w:rsidRPr="00816FC2">
        <w:t>C-130J transportation aircraft</w:t>
      </w:r>
      <w:r w:rsidR="00CB02E3">
        <w:t xml:space="preserve">s </w:t>
      </w:r>
      <w:r w:rsidRPr="00816FC2">
        <w:t xml:space="preserve">with </w:t>
      </w:r>
      <w:r w:rsidR="00CB02E3">
        <w:t xml:space="preserve">the </w:t>
      </w:r>
      <w:r w:rsidRPr="00816FC2">
        <w:t>mandate to operate in Syria and Iraq</w:t>
      </w:r>
      <w:r w:rsidR="00CB02E3">
        <w:t xml:space="preserve">. The Danish </w:t>
      </w:r>
      <w:r w:rsidR="009E2CB7">
        <w:t>G</w:t>
      </w:r>
      <w:r w:rsidR="00CB02E3">
        <w:t xml:space="preserve">overnment has also authorised the deployment of a Special Forces </w:t>
      </w:r>
      <w:r w:rsidRPr="00816FC2">
        <w:t xml:space="preserve">contingent to train, advise and assist selected Iraqi </w:t>
      </w:r>
      <w:r w:rsidR="00CB02E3">
        <w:t>f</w:t>
      </w:r>
      <w:r w:rsidRPr="00816FC2">
        <w:t>orce</w:t>
      </w:r>
      <w:r w:rsidR="00CB02E3">
        <w:t>s and</w:t>
      </w:r>
      <w:r w:rsidRPr="00816FC2">
        <w:t xml:space="preserve"> with a mandate to </w:t>
      </w:r>
      <w:r w:rsidR="00877F98">
        <w:t xml:space="preserve">potentially </w:t>
      </w:r>
      <w:r w:rsidRPr="00816FC2">
        <w:t xml:space="preserve">operate in Syria at a later stage. </w:t>
      </w:r>
    </w:p>
    <w:p w:rsidR="00973091" w:rsidRPr="00816FC2" w:rsidRDefault="00973091" w:rsidP="00C50093">
      <w:r w:rsidRPr="00816FC2">
        <w:t>In Syria, Denmark has consistently supported UN-led efforts to promote a political solution to the conflict based on the 2012 Geneva Communiqué. Most recently Denmark has supported UN talks within the framework of UNSCR 2254</w:t>
      </w:r>
      <w:r w:rsidR="00CB02E3">
        <w:t>;</w:t>
      </w:r>
      <w:r w:rsidRPr="00816FC2">
        <w:t xml:space="preserve"> Denmark recogni</w:t>
      </w:r>
      <w:r w:rsidR="00CB02E3">
        <w:t>s</w:t>
      </w:r>
      <w:r w:rsidRPr="00816FC2">
        <w:t xml:space="preserve">ed the SOC as </w:t>
      </w:r>
      <w:r w:rsidRPr="00816FC2">
        <w:rPr>
          <w:iCs/>
        </w:rPr>
        <w:t>the</w:t>
      </w:r>
      <w:r w:rsidRPr="00816FC2">
        <w:t xml:space="preserve"> legitimate representative of the Syrian people in Marrakesh in 2012 and has since been providing non-humanitarian support to help moderate political opposition actors</w:t>
      </w:r>
      <w:r w:rsidR="00877F98">
        <w:t xml:space="preserve"> in Syria</w:t>
      </w:r>
      <w:r w:rsidRPr="00816FC2">
        <w:t xml:space="preserve">. In 2014, this included the establishment of a programme to help advance democratic transition with a clear principle being the provision of support to the </w:t>
      </w:r>
      <w:r w:rsidR="00CB02E3">
        <w:t xml:space="preserve">SIG </w:t>
      </w:r>
      <w:r w:rsidRPr="00816FC2">
        <w:t>and SOC. In 2013 Denmark assigned a special envoy to the opposition</w:t>
      </w:r>
      <w:r w:rsidR="00B66CCA" w:rsidRPr="00816FC2">
        <w:t xml:space="preserve"> </w:t>
      </w:r>
      <w:r w:rsidR="00CB02E3">
        <w:t xml:space="preserve">whose </w:t>
      </w:r>
      <w:r w:rsidR="00B66CCA" w:rsidRPr="00816FC2">
        <w:t xml:space="preserve">role remains relevant given continued efforts to develop a negotiated settlement </w:t>
      </w:r>
      <w:r w:rsidR="0043585F" w:rsidRPr="00816FC2">
        <w:t>and a transition that is Syrian-led and owned</w:t>
      </w:r>
      <w:r w:rsidRPr="00816FC2">
        <w:t xml:space="preserve">. With the continuation of the conflict, Danish priorities have shifted to focus on the stabilisation of opposition-held territory and the need to provide basic protection to local populations. </w:t>
      </w:r>
    </w:p>
    <w:p w:rsidR="00751FEE" w:rsidRPr="00816FC2" w:rsidRDefault="00E124DD" w:rsidP="00726188">
      <w:r w:rsidRPr="00816FC2">
        <w:t>Denmark’s support has been par</w:t>
      </w:r>
      <w:r w:rsidR="001C2893" w:rsidRPr="00816FC2">
        <w:t xml:space="preserve">ticularly aligned to the </w:t>
      </w:r>
      <w:r w:rsidRPr="00816FC2">
        <w:t>C</w:t>
      </w:r>
      <w:r w:rsidR="009542DB" w:rsidRPr="00816FC2">
        <w:t>oalition’s five lines of effort</w:t>
      </w:r>
      <w:r w:rsidRPr="00816FC2">
        <w:t xml:space="preserve"> and</w:t>
      </w:r>
      <w:r w:rsidR="009542DB" w:rsidRPr="00816FC2">
        <w:t xml:space="preserve"> has </w:t>
      </w:r>
      <w:r w:rsidRPr="00816FC2">
        <w:t>complemented its military effort with non-military stabilisation interventions</w:t>
      </w:r>
      <w:r w:rsidR="00052FE1" w:rsidRPr="00816FC2">
        <w:t xml:space="preserve">, as well as humanitarian </w:t>
      </w:r>
      <w:r w:rsidR="00052FE1" w:rsidRPr="00816FC2">
        <w:lastRenderedPageBreak/>
        <w:t>support</w:t>
      </w:r>
      <w:r w:rsidRPr="00816FC2">
        <w:t xml:space="preserve">. </w:t>
      </w:r>
      <w:r w:rsidR="00726188" w:rsidRPr="00816FC2">
        <w:t xml:space="preserve">Danish policy is anchored in the Danish Government’s </w:t>
      </w:r>
      <w:r w:rsidR="00283C4D">
        <w:t>new</w:t>
      </w:r>
      <w:r w:rsidR="00283C4D" w:rsidRPr="00816FC2">
        <w:t xml:space="preserve"> development </w:t>
      </w:r>
      <w:r w:rsidR="00283C4D">
        <w:t xml:space="preserve">strategy (2016), </w:t>
      </w:r>
      <w:r w:rsidR="002D45C3">
        <w:t>which maintains the previous priority attached to promoting peace and security and a</w:t>
      </w:r>
      <w:r w:rsidR="004C4AE8">
        <w:t xml:space="preserve">ligns this with the new Sustainable Development </w:t>
      </w:r>
      <w:r w:rsidR="00827D95">
        <w:t xml:space="preserve">Goals (SDGs), </w:t>
      </w:r>
      <w:r w:rsidR="00C81513">
        <w:t xml:space="preserve">where </w:t>
      </w:r>
      <w:r w:rsidR="00827D95">
        <w:t>SDG 16 on peace, justice and strong institutions</w:t>
      </w:r>
      <w:r w:rsidR="00C81513">
        <w:t xml:space="preserve"> is particularly relevant to the programme</w:t>
      </w:r>
      <w:r w:rsidR="00827D95">
        <w:t>.</w:t>
      </w:r>
      <w:r w:rsidR="00331BD0">
        <w:t xml:space="preserve"> The programme is also fully aligned with </w:t>
      </w:r>
      <w:r w:rsidR="00726188" w:rsidRPr="00816FC2">
        <w:rPr>
          <w:i/>
        </w:rPr>
        <w:t>‘Denmark’s stabilisation engagement in fragile and conflict-affected areas of the world’</w:t>
      </w:r>
      <w:r w:rsidR="00726188" w:rsidRPr="00816FC2">
        <w:t xml:space="preserve"> (2013)</w:t>
      </w:r>
      <w:r w:rsidR="00331BD0">
        <w:t xml:space="preserve">, which highlights </w:t>
      </w:r>
      <w:r w:rsidR="00726188" w:rsidRPr="00816FC2">
        <w:t>the importance of ensuring that interventions comply with the principles of integrated approach, regional focus, risk, flexibility, programmatic app</w:t>
      </w:r>
      <w:r w:rsidR="00E823D8" w:rsidRPr="00816FC2">
        <w:t>roach and complementarity. They</w:t>
      </w:r>
      <w:r w:rsidR="00726188" w:rsidRPr="00816FC2">
        <w:t xml:space="preserve"> are in line with the OECD/DAC principles for “</w:t>
      </w:r>
      <w:r w:rsidR="00726188" w:rsidRPr="00816FC2">
        <w:rPr>
          <w:i/>
        </w:rPr>
        <w:t>Good International Engagement in Fragile States and Situations</w:t>
      </w:r>
      <w:r w:rsidR="00726188" w:rsidRPr="00816FC2">
        <w:t>” and the “</w:t>
      </w:r>
      <w:r w:rsidR="00726188" w:rsidRPr="00816FC2">
        <w:rPr>
          <w:i/>
        </w:rPr>
        <w:t>New Deal for Engagement in Fragile States”</w:t>
      </w:r>
      <w:r w:rsidR="00726188" w:rsidRPr="00816FC2">
        <w:t>.</w:t>
      </w:r>
      <w:r w:rsidR="00794615" w:rsidRPr="00816FC2">
        <w:t xml:space="preserve"> Finally, the programme is aligned with the </w:t>
      </w:r>
      <w:r w:rsidR="00794615" w:rsidRPr="00816FC2">
        <w:rPr>
          <w:i/>
        </w:rPr>
        <w:t>Danish Action Plan on UNSCR 1325</w:t>
      </w:r>
      <w:r w:rsidR="005F13AD" w:rsidRPr="00816FC2">
        <w:t>.</w:t>
      </w:r>
      <w:r w:rsidR="00794615" w:rsidRPr="00816FC2">
        <w:t xml:space="preserve"> </w:t>
      </w:r>
    </w:p>
    <w:p w:rsidR="00602F4E" w:rsidRPr="00816FC2" w:rsidRDefault="00602F4E" w:rsidP="0080400C">
      <w:pPr>
        <w:pStyle w:val="Overskrift2"/>
      </w:pPr>
      <w:bookmarkStart w:id="26" w:name="_Toc332370508"/>
      <w:r w:rsidRPr="00816FC2">
        <w:t xml:space="preserve">Previous Danish </w:t>
      </w:r>
      <w:r w:rsidR="00301FEC" w:rsidRPr="00816FC2">
        <w:t xml:space="preserve">Stabilisation </w:t>
      </w:r>
      <w:r w:rsidRPr="00816FC2">
        <w:t>Support</w:t>
      </w:r>
      <w:bookmarkEnd w:id="26"/>
      <w:r w:rsidRPr="00816FC2">
        <w:t xml:space="preserve"> </w:t>
      </w:r>
    </w:p>
    <w:p w:rsidR="00096095" w:rsidRPr="00816FC2" w:rsidRDefault="00973091" w:rsidP="009E7A05">
      <w:r w:rsidRPr="00816FC2">
        <w:t xml:space="preserve">To date, Denmark’s support to Syria and Iraq has been channelled through two separate programmes. </w:t>
      </w:r>
      <w:r w:rsidR="00783C70">
        <w:t xml:space="preserve">Since 2014, </w:t>
      </w:r>
      <w:r w:rsidR="00783C70" w:rsidRPr="00744051">
        <w:rPr>
          <w:b/>
          <w:bCs/>
        </w:rPr>
        <w:t>Syria</w:t>
      </w:r>
      <w:r w:rsidR="00783C70">
        <w:t xml:space="preserve"> programmes have</w:t>
      </w:r>
      <w:r w:rsidR="008F5A2A" w:rsidRPr="00816FC2">
        <w:t xml:space="preserve"> supported</w:t>
      </w:r>
      <w:r w:rsidR="00696171" w:rsidRPr="00816FC2">
        <w:t xml:space="preserve">, amongst others, activities relating to the peace process, civil society, </w:t>
      </w:r>
      <w:r w:rsidR="00783C70">
        <w:t xml:space="preserve">transitional justice, </w:t>
      </w:r>
      <w:r w:rsidR="00696171" w:rsidRPr="00816FC2">
        <w:t xml:space="preserve">early recovery, civil defence, and the Free Syrian Police, drawing DKK </w:t>
      </w:r>
      <w:r w:rsidR="00783C70">
        <w:t>213</w:t>
      </w:r>
      <w:r w:rsidR="00696171" w:rsidRPr="00816FC2">
        <w:t xml:space="preserve"> million from the PSF and Danish Arab Partnership Programme (DAPP</w:t>
      </w:r>
      <w:r w:rsidR="006E5AE8">
        <w:t>)</w:t>
      </w:r>
      <w:r w:rsidR="00696171" w:rsidRPr="00816FC2">
        <w:t>.</w:t>
      </w:r>
      <w:r w:rsidR="00696171" w:rsidRPr="00816FC2" w:rsidDel="001C6820">
        <w:t xml:space="preserve"> </w:t>
      </w:r>
      <w:r w:rsidR="00CB02E3">
        <w:t xml:space="preserve">Denmark’s </w:t>
      </w:r>
      <w:r w:rsidR="00E13483" w:rsidRPr="00816FC2">
        <w:t xml:space="preserve">contribution has </w:t>
      </w:r>
      <w:r w:rsidR="006E5AE8">
        <w:t>supported UN</w:t>
      </w:r>
      <w:r w:rsidR="00084D5A">
        <w:t xml:space="preserve"> Syria Special Envoys on an ongoing basis. </w:t>
      </w:r>
      <w:r w:rsidR="00E13483" w:rsidRPr="00816FC2">
        <w:t xml:space="preserve">Track II initiatives have </w:t>
      </w:r>
      <w:r w:rsidR="006E5AE8">
        <w:t xml:space="preserve">supported the </w:t>
      </w:r>
      <w:r w:rsidR="00E13483" w:rsidRPr="00816FC2">
        <w:t xml:space="preserve">political process by gathering key stakeholders around specific issues that </w:t>
      </w:r>
      <w:r w:rsidR="006E5AE8">
        <w:t xml:space="preserve">are critical to Syria’s </w:t>
      </w:r>
      <w:r w:rsidR="00E13483" w:rsidRPr="00816FC2">
        <w:t>eventual political transition.</w:t>
      </w:r>
      <w:r w:rsidR="00480EFA" w:rsidRPr="00816FC2">
        <w:t xml:space="preserve"> </w:t>
      </w:r>
      <w:r w:rsidR="00096095" w:rsidRPr="00816FC2">
        <w:t xml:space="preserve">Denmark has also supported </w:t>
      </w:r>
      <w:r w:rsidR="00084D5A">
        <w:t>significant</w:t>
      </w:r>
      <w:r w:rsidR="00084D5A" w:rsidRPr="00816FC2">
        <w:t xml:space="preserve"> </w:t>
      </w:r>
      <w:r w:rsidR="00096095" w:rsidRPr="00816FC2">
        <w:t xml:space="preserve">Syrian civil society initiatives including The Day After </w:t>
      </w:r>
      <w:r w:rsidR="009D3E3E">
        <w:t xml:space="preserve">(TDA) which </w:t>
      </w:r>
      <w:r w:rsidR="009D3E3E" w:rsidRPr="00816FC2">
        <w:t>focu</w:t>
      </w:r>
      <w:r w:rsidR="009D3E3E">
        <w:t>s</w:t>
      </w:r>
      <w:r w:rsidR="009D3E3E" w:rsidRPr="00816FC2">
        <w:t>e</w:t>
      </w:r>
      <w:r w:rsidR="009D3E3E">
        <w:t>s</w:t>
      </w:r>
      <w:r w:rsidR="00096095" w:rsidRPr="00816FC2">
        <w:t xml:space="preserve"> on transitional justice, and Baytna which </w:t>
      </w:r>
      <w:r w:rsidR="00E4508F">
        <w:t xml:space="preserve">has </w:t>
      </w:r>
      <w:r w:rsidR="00096095" w:rsidRPr="00816FC2">
        <w:t>matured into a hub for Syrian civil society actors</w:t>
      </w:r>
      <w:r w:rsidR="00E4508F">
        <w:t xml:space="preserve"> since </w:t>
      </w:r>
      <w:r w:rsidR="006E5AE8">
        <w:t xml:space="preserve">its set up </w:t>
      </w:r>
      <w:r w:rsidR="00E4508F">
        <w:t>w</w:t>
      </w:r>
      <w:r w:rsidR="00E4508F" w:rsidRPr="00816FC2">
        <w:t>ith Danish funding in 201</w:t>
      </w:r>
      <w:r w:rsidR="00084D5A">
        <w:t>3</w:t>
      </w:r>
      <w:r w:rsidR="00096095" w:rsidRPr="00816FC2">
        <w:t>.</w:t>
      </w:r>
    </w:p>
    <w:p w:rsidR="00E13483" w:rsidRPr="00816FC2" w:rsidRDefault="00E13483" w:rsidP="009E7A05">
      <w:r w:rsidRPr="00816FC2">
        <w:t>The police and justice</w:t>
      </w:r>
      <w:r w:rsidR="009D3E3E">
        <w:t xml:space="preserve"> support delivered through AJACS </w:t>
      </w:r>
      <w:r w:rsidRPr="00816FC2">
        <w:t>has support</w:t>
      </w:r>
      <w:r w:rsidR="00CB02E3">
        <w:t>ed</w:t>
      </w:r>
      <w:r w:rsidRPr="00816FC2">
        <w:t xml:space="preserve"> 2</w:t>
      </w:r>
      <w:r w:rsidR="00CB6993">
        <w:t>,</w:t>
      </w:r>
      <w:r w:rsidRPr="00816FC2">
        <w:t xml:space="preserve">974 Free Syrian Police </w:t>
      </w:r>
      <w:r w:rsidR="00CB02E3">
        <w:t xml:space="preserve">(FSP) </w:t>
      </w:r>
      <w:r w:rsidR="00084D5A">
        <w:t xml:space="preserve">officers </w:t>
      </w:r>
      <w:r w:rsidRPr="00816FC2">
        <w:t>in 81 stations in Idlib and Aleppo</w:t>
      </w:r>
      <w:r w:rsidR="006E5AE8">
        <w:t xml:space="preserve"> </w:t>
      </w:r>
      <w:r w:rsidR="00835029">
        <w:t>prevent</w:t>
      </w:r>
      <w:r w:rsidR="00835029" w:rsidRPr="00816FC2">
        <w:t xml:space="preserve"> a security vacuum in opposition areas by providing non-contentious community security</w:t>
      </w:r>
      <w:r w:rsidR="00835029">
        <w:t xml:space="preserve"> and </w:t>
      </w:r>
      <w:r w:rsidR="009D3E3E">
        <w:t xml:space="preserve">finance </w:t>
      </w:r>
      <w:r w:rsidR="00835029" w:rsidRPr="00816FC2">
        <w:t>minor infrastructure works, such as air raid shelters and sniper curtains</w:t>
      </w:r>
      <w:r w:rsidR="00835029">
        <w:t xml:space="preserve">. This project has also supported </w:t>
      </w:r>
      <w:r w:rsidR="00CB02E3">
        <w:t xml:space="preserve">efforts to </w:t>
      </w:r>
      <w:r w:rsidR="00E4508F">
        <w:t>preserve</w:t>
      </w:r>
      <w:r w:rsidR="00CB02E3">
        <w:t xml:space="preserve"> civil records </w:t>
      </w:r>
      <w:r w:rsidR="00E4508F">
        <w:t>through the Gaziantep-based National Documentation Office</w:t>
      </w:r>
      <w:r w:rsidR="006E5AE8">
        <w:t>, paving the way for a post-transition justice and complementing Denmark’s support to The Day After</w:t>
      </w:r>
      <w:r w:rsidRPr="00816FC2">
        <w:t xml:space="preserve">. </w:t>
      </w:r>
      <w:r w:rsidR="00835029">
        <w:t xml:space="preserve">At the same time, Denmark, in partnership with the UK, has </w:t>
      </w:r>
      <w:r w:rsidRPr="00816FC2">
        <w:t>support</w:t>
      </w:r>
      <w:r w:rsidR="00835029">
        <w:t>ed</w:t>
      </w:r>
      <w:r w:rsidRPr="00816FC2">
        <w:t xml:space="preserve"> </w:t>
      </w:r>
      <w:r w:rsidR="00E4508F" w:rsidRPr="00816FC2">
        <w:t xml:space="preserve">Syrian civil defence </w:t>
      </w:r>
      <w:r w:rsidRPr="00816FC2">
        <w:t>through Mayday Rescue</w:t>
      </w:r>
      <w:r w:rsidR="00E4508F">
        <w:t xml:space="preserve"> </w:t>
      </w:r>
      <w:r w:rsidR="00711F8C">
        <w:t xml:space="preserve">to </w:t>
      </w:r>
      <w:r w:rsidR="00835029">
        <w:t xml:space="preserve"> </w:t>
      </w:r>
      <w:r w:rsidRPr="00816FC2">
        <w:t>respon</w:t>
      </w:r>
      <w:r w:rsidR="00711F8C">
        <w:t>d</w:t>
      </w:r>
      <w:r w:rsidRPr="00816FC2">
        <w:t xml:space="preserve"> to urgent civil needs such as rescue, fire-fighting, utility restoration and ambulance services in key urban centres, including Aleppo, Idlib, Latakia, Homs and Damascus.</w:t>
      </w:r>
      <w:r w:rsidR="00907D80" w:rsidRPr="00816FC2">
        <w:t xml:space="preserve"> </w:t>
      </w:r>
      <w:r w:rsidR="00096095" w:rsidRPr="00816FC2">
        <w:t>Finally, t</w:t>
      </w:r>
      <w:r w:rsidR="00907D80" w:rsidRPr="00816FC2">
        <w:t>he Syria Reconstruction Trust Fund</w:t>
      </w:r>
      <w:r w:rsidR="00F15103" w:rsidRPr="00816FC2">
        <w:t xml:space="preserve"> </w:t>
      </w:r>
      <w:r w:rsidR="00907D80" w:rsidRPr="00816FC2">
        <w:t>continues to invest in the reconstruction of critical infrastructure across opposition-held areas</w:t>
      </w:r>
      <w:r w:rsidR="00096095" w:rsidRPr="00816FC2">
        <w:t>.</w:t>
      </w:r>
    </w:p>
    <w:p w:rsidR="00696171" w:rsidRPr="00816FC2" w:rsidRDefault="00696171" w:rsidP="009D3E3E">
      <w:r w:rsidRPr="00816FC2">
        <w:t xml:space="preserve">Danish civilian stabilisation support to </w:t>
      </w:r>
      <w:r w:rsidRPr="00816FC2">
        <w:rPr>
          <w:b/>
        </w:rPr>
        <w:t>Iraq</w:t>
      </w:r>
      <w:r w:rsidRPr="00816FC2">
        <w:t xml:space="preserve"> </w:t>
      </w:r>
      <w:r w:rsidR="00F2402D" w:rsidRPr="00816FC2">
        <w:t xml:space="preserve">has to date been </w:t>
      </w:r>
      <w:r w:rsidRPr="00816FC2">
        <w:t xml:space="preserve">channelled through the 2015 start-up stabilisation programme with a budget of DKK 32.5 million. </w:t>
      </w:r>
      <w:r w:rsidR="009D3E3E">
        <w:t xml:space="preserve">This support </w:t>
      </w:r>
      <w:r w:rsidR="00973091" w:rsidRPr="00816FC2">
        <w:t xml:space="preserve">has included </w:t>
      </w:r>
      <w:r w:rsidRPr="00816FC2">
        <w:t>fast</w:t>
      </w:r>
      <w:r w:rsidR="00973091" w:rsidRPr="00816FC2">
        <w:t>-</w:t>
      </w:r>
      <w:r w:rsidRPr="00816FC2">
        <w:t>track stabilisation for newly liberated areas (</w:t>
      </w:r>
      <w:r w:rsidR="009D3E3E">
        <w:t xml:space="preserve">under </w:t>
      </w:r>
      <w:r w:rsidRPr="00816FC2">
        <w:t>UNDP’s FFIS programme); support to security sector reform (UNDP’s SSR programme), participatory and accountability governance (UNDP’s SPAG programme), and support to independent media (through I</w:t>
      </w:r>
      <w:r w:rsidR="00A42A62" w:rsidRPr="00816FC2">
        <w:t xml:space="preserve">nternational </w:t>
      </w:r>
      <w:r w:rsidRPr="00816FC2">
        <w:t>M</w:t>
      </w:r>
      <w:r w:rsidR="00A42A62" w:rsidRPr="00816FC2">
        <w:t xml:space="preserve">edia </w:t>
      </w:r>
      <w:r w:rsidRPr="00816FC2">
        <w:t>S</w:t>
      </w:r>
      <w:r w:rsidR="00A42A62" w:rsidRPr="00816FC2">
        <w:t>upport</w:t>
      </w:r>
      <w:r w:rsidR="009D3E3E">
        <w:t xml:space="preserve">, </w:t>
      </w:r>
      <w:r w:rsidR="00A42A62" w:rsidRPr="00816FC2">
        <w:t>IMS</w:t>
      </w:r>
      <w:r w:rsidRPr="00816FC2">
        <w:t xml:space="preserve">). </w:t>
      </w:r>
      <w:r w:rsidR="00CB03CC">
        <w:t>T</w:t>
      </w:r>
      <w:r w:rsidR="009D3E3E">
        <w:t xml:space="preserve">hese </w:t>
      </w:r>
      <w:r w:rsidR="008F5A2A" w:rsidRPr="00816FC2">
        <w:t>contributions run until mid-2017 and are thus already funded for half of the</w:t>
      </w:r>
      <w:r w:rsidR="00B44923" w:rsidRPr="00816FC2">
        <w:t xml:space="preserve"> current programme period. </w:t>
      </w:r>
      <w:r w:rsidR="00DE3C8E" w:rsidRPr="00816FC2">
        <w:t>In addition, s</w:t>
      </w:r>
      <w:r w:rsidR="00A42A62" w:rsidRPr="00816FC2">
        <w:t>ince April 2016, t</w:t>
      </w:r>
      <w:r w:rsidRPr="00816FC2">
        <w:t xml:space="preserve">he Danish National Police have </w:t>
      </w:r>
      <w:r w:rsidR="00182DD3" w:rsidRPr="00816FC2">
        <w:t>assigned</w:t>
      </w:r>
      <w:r w:rsidRPr="00816FC2">
        <w:t xml:space="preserve"> a Danish police adviser to the </w:t>
      </w:r>
      <w:r w:rsidR="00C26F9E" w:rsidRPr="00816FC2">
        <w:t xml:space="preserve">UNDP SSR programme </w:t>
      </w:r>
      <w:r w:rsidR="00DE3C8E" w:rsidRPr="00816FC2">
        <w:t xml:space="preserve">and Denmark’s </w:t>
      </w:r>
      <w:r w:rsidR="00AB0789" w:rsidRPr="00816FC2">
        <w:t>2015-</w:t>
      </w:r>
      <w:r w:rsidR="00DE3C8E" w:rsidRPr="00816FC2">
        <w:t xml:space="preserve">2016 </w:t>
      </w:r>
      <w:r w:rsidR="00AB0789" w:rsidRPr="00816FC2">
        <w:t xml:space="preserve">core </w:t>
      </w:r>
      <w:r w:rsidR="00DE3C8E" w:rsidRPr="00816FC2">
        <w:t xml:space="preserve">contribution to UNMAS has been earmarked (by UNMAS) to </w:t>
      </w:r>
      <w:r w:rsidR="006233C2" w:rsidRPr="00816FC2">
        <w:t>costs associated with start-up mine action activities in Iraq (and Syria)</w:t>
      </w:r>
      <w:r w:rsidRPr="00816FC2">
        <w:t xml:space="preserve">. </w:t>
      </w:r>
    </w:p>
    <w:p w:rsidR="00602F4E" w:rsidRPr="00816FC2" w:rsidRDefault="00EF719A" w:rsidP="009D3E3E">
      <w:r w:rsidRPr="00816FC2">
        <w:t xml:space="preserve">Important results have been achieved through </w:t>
      </w:r>
      <w:r w:rsidR="00E13483" w:rsidRPr="00816FC2">
        <w:t xml:space="preserve">the </w:t>
      </w:r>
      <w:r w:rsidR="004A7B35" w:rsidRPr="00816FC2">
        <w:t>UNDP’s immediate stabilisation (</w:t>
      </w:r>
      <w:r w:rsidR="00602F4E" w:rsidRPr="00816FC2">
        <w:t>FFIS</w:t>
      </w:r>
      <w:r w:rsidR="004A7B35" w:rsidRPr="00816FC2">
        <w:t>)</w:t>
      </w:r>
      <w:r w:rsidR="00602F4E" w:rsidRPr="00816FC2">
        <w:t xml:space="preserve"> programme</w:t>
      </w:r>
      <w:r w:rsidR="00E13483" w:rsidRPr="00816FC2">
        <w:t xml:space="preserve"> which, after some start-up problems, </w:t>
      </w:r>
      <w:r w:rsidR="00602F4E" w:rsidRPr="00816FC2">
        <w:t>is now fully engaged with Iraqi counterparts and is delivering urgent support to areas now liberated from Da’esh, including Sinjar and Ramadi, and is taking steps to improve response times (e.g. through pre-positioning of equipment). Useful results have also been achieved in relation to security sector reform, where the UNDP programme is closely linked to the key Office of the National Security Advisor</w:t>
      </w:r>
      <w:r w:rsidR="009D3E3E">
        <w:t xml:space="preserve"> and </w:t>
      </w:r>
      <w:r w:rsidR="009C5E8D" w:rsidRPr="00816FC2">
        <w:t xml:space="preserve">has succeeded in </w:t>
      </w:r>
      <w:r w:rsidR="00BE28E6" w:rsidRPr="00816FC2">
        <w:t xml:space="preserve">engaging and </w:t>
      </w:r>
      <w:r w:rsidR="00602F4E" w:rsidRPr="00816FC2">
        <w:t xml:space="preserve">generating consensus amongst major government and non-government stakeholders regarding </w:t>
      </w:r>
      <w:r w:rsidR="005C52D7" w:rsidRPr="00816FC2">
        <w:t xml:space="preserve">overall security goals </w:t>
      </w:r>
      <w:r w:rsidR="009D3E3E">
        <w:t xml:space="preserve">as outlined </w:t>
      </w:r>
      <w:r w:rsidR="005C52D7" w:rsidRPr="00816FC2">
        <w:t xml:space="preserve">in </w:t>
      </w:r>
      <w:r w:rsidR="00602F4E" w:rsidRPr="00816FC2">
        <w:t>the new national security strategy.</w:t>
      </w:r>
      <w:r w:rsidR="00912A17" w:rsidRPr="00816FC2">
        <w:t xml:space="preserve"> </w:t>
      </w:r>
      <w:r w:rsidR="006233C2" w:rsidRPr="00816FC2">
        <w:t xml:space="preserve">Utilising part of the Danish contribution to UNMAS core funds, UNMAS in Iraq is in the process of establishing </w:t>
      </w:r>
      <w:r w:rsidR="003E31DC">
        <w:t xml:space="preserve">its operations </w:t>
      </w:r>
      <w:r w:rsidR="00CB38D3" w:rsidRPr="00816FC2">
        <w:t>in Baghdad and Erbil.</w:t>
      </w:r>
    </w:p>
    <w:p w:rsidR="00602F4E" w:rsidRPr="00816FC2" w:rsidRDefault="00602F4E" w:rsidP="008770FD">
      <w:pPr>
        <w:pStyle w:val="Overskrift3"/>
      </w:pPr>
      <w:r w:rsidRPr="00816FC2">
        <w:lastRenderedPageBreak/>
        <w:t>Lessons Learnt</w:t>
      </w:r>
    </w:p>
    <w:p w:rsidR="00602F4E" w:rsidRPr="00816FC2" w:rsidRDefault="009D3E3E" w:rsidP="00E0665C">
      <w:r>
        <w:t xml:space="preserve">Denmark’s </w:t>
      </w:r>
      <w:r w:rsidR="00602F4E" w:rsidRPr="00816FC2">
        <w:t xml:space="preserve">contributions have yielded a variety of useful lessons that </w:t>
      </w:r>
      <w:r w:rsidR="00D323FE" w:rsidRPr="00816FC2">
        <w:t xml:space="preserve">have </w:t>
      </w:r>
      <w:r w:rsidR="00602F4E" w:rsidRPr="00816FC2">
        <w:t>be</w:t>
      </w:r>
      <w:r w:rsidR="00D323FE" w:rsidRPr="00816FC2">
        <w:t>en</w:t>
      </w:r>
      <w:r w:rsidR="00602F4E" w:rsidRPr="00816FC2">
        <w:t xml:space="preserve"> applied in the design of the new regional programme. Thematically, immediate stabilisation efforts that promote </w:t>
      </w:r>
      <w:r w:rsidR="00602F4E" w:rsidRPr="007F2463">
        <w:rPr>
          <w:b/>
          <w:bCs/>
          <w:iCs/>
        </w:rPr>
        <w:t>community safety</w:t>
      </w:r>
      <w:r w:rsidR="00602F4E" w:rsidRPr="00816FC2">
        <w:t xml:space="preserve"> and help to secure </w:t>
      </w:r>
      <w:r w:rsidR="00602F4E" w:rsidRPr="007F2463">
        <w:rPr>
          <w:b/>
          <w:bCs/>
          <w:iCs/>
        </w:rPr>
        <w:t>priority services</w:t>
      </w:r>
      <w:r w:rsidR="0014063B">
        <w:t xml:space="preserve"> are particularly relevant: they</w:t>
      </w:r>
      <w:r>
        <w:t xml:space="preserve"> </w:t>
      </w:r>
      <w:r w:rsidR="00602F4E" w:rsidRPr="00816FC2">
        <w:t xml:space="preserve">contribute to </w:t>
      </w:r>
      <w:r w:rsidR="00E0665C">
        <w:t xml:space="preserve">local </w:t>
      </w:r>
      <w:r w:rsidR="00602F4E" w:rsidRPr="00816FC2">
        <w:t>resilience</w:t>
      </w:r>
      <w:r w:rsidR="0014063B">
        <w:t xml:space="preserve">, </w:t>
      </w:r>
      <w:r w:rsidR="00602F4E" w:rsidRPr="00816FC2">
        <w:t xml:space="preserve">enabling </w:t>
      </w:r>
      <w:r w:rsidR="0014063B">
        <w:t xml:space="preserve">citizens </w:t>
      </w:r>
      <w:r w:rsidR="00602F4E" w:rsidRPr="00816FC2">
        <w:t xml:space="preserve">to stay in </w:t>
      </w:r>
      <w:r w:rsidR="0014063B">
        <w:t xml:space="preserve">situ </w:t>
      </w:r>
      <w:r w:rsidR="00602F4E" w:rsidRPr="00816FC2">
        <w:t xml:space="preserve">or return. </w:t>
      </w:r>
      <w:r w:rsidR="0014063B">
        <w:t>W</w:t>
      </w:r>
      <w:r w:rsidR="00602F4E" w:rsidRPr="00816FC2">
        <w:t xml:space="preserve">hen undertaken </w:t>
      </w:r>
      <w:r w:rsidR="0014063B">
        <w:t xml:space="preserve">in an inclusive and non-discriminatory </w:t>
      </w:r>
      <w:r w:rsidR="00602F4E" w:rsidRPr="00816FC2">
        <w:t>manner, the</w:t>
      </w:r>
      <w:r w:rsidR="0014063B">
        <w:t>se</w:t>
      </w:r>
      <w:r w:rsidR="00602F4E" w:rsidRPr="00816FC2">
        <w:t xml:space="preserve"> help counter extremist narratives by tangibly demonstrating </w:t>
      </w:r>
      <w:r>
        <w:t xml:space="preserve">the value of </w:t>
      </w:r>
      <w:r w:rsidR="00602F4E" w:rsidRPr="00816FC2">
        <w:t xml:space="preserve">alternatives. </w:t>
      </w:r>
      <w:r w:rsidR="0014063B">
        <w:t>A</w:t>
      </w:r>
      <w:r w:rsidR="00602F4E" w:rsidRPr="00816FC2">
        <w:t xml:space="preserve">pproaches that </w:t>
      </w:r>
      <w:r w:rsidR="00602F4E" w:rsidRPr="007F2463">
        <w:rPr>
          <w:iCs/>
        </w:rPr>
        <w:t>demonstrate</w:t>
      </w:r>
      <w:r w:rsidR="00602F4E" w:rsidRPr="007F2463">
        <w:rPr>
          <w:b/>
          <w:bCs/>
          <w:iCs/>
        </w:rPr>
        <w:t xml:space="preserve"> accountability</w:t>
      </w:r>
      <w:r w:rsidR="00E0665C">
        <w:rPr>
          <w:b/>
          <w:bCs/>
          <w:iCs/>
        </w:rPr>
        <w:t xml:space="preserve"> </w:t>
      </w:r>
      <w:r w:rsidR="00602F4E" w:rsidRPr="00781DD5">
        <w:rPr>
          <w:b/>
          <w:bCs/>
          <w:iCs/>
        </w:rPr>
        <w:t>and participation</w:t>
      </w:r>
      <w:r w:rsidR="00602F4E" w:rsidRPr="00816FC2">
        <w:t xml:space="preserve"> through moderate </w:t>
      </w:r>
      <w:r w:rsidR="0014063B">
        <w:t xml:space="preserve">CSO </w:t>
      </w:r>
      <w:r w:rsidR="00602F4E" w:rsidRPr="00816FC2">
        <w:t xml:space="preserve">engagement </w:t>
      </w:r>
      <w:r w:rsidR="0014063B">
        <w:t xml:space="preserve">reinforce </w:t>
      </w:r>
      <w:r w:rsidR="00602F4E" w:rsidRPr="00816FC2">
        <w:t>demand-driven governance</w:t>
      </w:r>
      <w:r w:rsidR="0014063B">
        <w:t xml:space="preserve"> and contribute to the long-term stability of both countries</w:t>
      </w:r>
      <w:r w:rsidR="00602F4E" w:rsidRPr="00816FC2">
        <w:t>.</w:t>
      </w:r>
    </w:p>
    <w:p w:rsidR="00E0665C" w:rsidRPr="00816FC2" w:rsidRDefault="003962E0" w:rsidP="00E0665C">
      <w:r>
        <w:t>O</w:t>
      </w:r>
      <w:r w:rsidR="008E3AD3" w:rsidRPr="00816FC2">
        <w:t xml:space="preserve">ur experience </w:t>
      </w:r>
      <w:r w:rsidR="00602F4E" w:rsidRPr="00816FC2">
        <w:t xml:space="preserve">supporting partners working inside Syria has demonstrated the need to </w:t>
      </w:r>
      <w:r w:rsidR="00602F4E" w:rsidRPr="00781DD5">
        <w:rPr>
          <w:b/>
          <w:bCs/>
          <w:iCs/>
        </w:rPr>
        <w:t>be prepared to take risks</w:t>
      </w:r>
      <w:r w:rsidR="00602F4E" w:rsidRPr="00816FC2">
        <w:t xml:space="preserve">. </w:t>
      </w:r>
      <w:r>
        <w:t>S</w:t>
      </w:r>
      <w:r w:rsidR="00602F4E" w:rsidRPr="00816FC2">
        <w:t>upport to civil defence and the FSP has helped save lives, strengthen local resilience and keep hope alive</w:t>
      </w:r>
      <w:r>
        <w:t xml:space="preserve">, but </w:t>
      </w:r>
      <w:r w:rsidR="00602F4E" w:rsidRPr="00816FC2">
        <w:t xml:space="preserve">implementation </w:t>
      </w:r>
      <w:r>
        <w:t xml:space="preserve">can be </w:t>
      </w:r>
      <w:r w:rsidR="00602F4E" w:rsidRPr="00816FC2">
        <w:t xml:space="preserve">imperfect due to </w:t>
      </w:r>
      <w:r>
        <w:t xml:space="preserve">lack </w:t>
      </w:r>
      <w:r w:rsidR="00602F4E" w:rsidRPr="00816FC2">
        <w:t>of access, insecurity and spoilers</w:t>
      </w:r>
      <w:r>
        <w:t>.</w:t>
      </w:r>
      <w:r w:rsidR="00602F4E" w:rsidRPr="00816FC2">
        <w:t xml:space="preserve"> </w:t>
      </w:r>
      <w:r>
        <w:t>D</w:t>
      </w:r>
      <w:r w:rsidR="00602F4E" w:rsidRPr="00816FC2">
        <w:t>onors therefore need to</w:t>
      </w:r>
      <w:r w:rsidR="00602F4E" w:rsidRPr="00816FC2">
        <w:rPr>
          <w:i/>
        </w:rPr>
        <w:t xml:space="preserve"> </w:t>
      </w:r>
      <w:r w:rsidR="00602F4E" w:rsidRPr="00781DD5">
        <w:rPr>
          <w:b/>
          <w:bCs/>
          <w:iCs/>
        </w:rPr>
        <w:t xml:space="preserve">be realistic </w:t>
      </w:r>
      <w:r w:rsidR="00602F4E" w:rsidRPr="00816FC2">
        <w:t xml:space="preserve">about what is achievable within a relatively short timeframe. Experience </w:t>
      </w:r>
      <w:r w:rsidR="0014063B">
        <w:t xml:space="preserve">in Idlib reinforces the need for </w:t>
      </w:r>
      <w:r w:rsidR="00602F4E" w:rsidRPr="00816FC2">
        <w:t xml:space="preserve">partners </w:t>
      </w:r>
      <w:r w:rsidR="0014063B">
        <w:t xml:space="preserve">to be empowered to </w:t>
      </w:r>
      <w:r w:rsidR="0014063B" w:rsidRPr="00781DD5">
        <w:rPr>
          <w:b/>
          <w:bCs/>
        </w:rPr>
        <w:t>adapt and respond</w:t>
      </w:r>
      <w:r w:rsidR="0014063B">
        <w:t xml:space="preserve"> </w:t>
      </w:r>
      <w:r w:rsidR="00602F4E" w:rsidRPr="00816FC2">
        <w:t xml:space="preserve">to changes in the local environment, </w:t>
      </w:r>
      <w:r>
        <w:t xml:space="preserve">particularly </w:t>
      </w:r>
      <w:r w:rsidR="00602F4E" w:rsidRPr="00816FC2">
        <w:t xml:space="preserve">a shrinking geographical space. </w:t>
      </w:r>
      <w:r>
        <w:t xml:space="preserve">This reality has led to </w:t>
      </w:r>
      <w:r w:rsidR="00602F4E" w:rsidRPr="00816FC2">
        <w:t xml:space="preserve">innovations in risk management, </w:t>
      </w:r>
      <w:r>
        <w:t xml:space="preserve">agile management, </w:t>
      </w:r>
      <w:r w:rsidR="00602F4E" w:rsidRPr="00816FC2">
        <w:t xml:space="preserve">the use of field officers and of technologies for monitoring and training. Again, support to civil defence and the FSP has highlighted the challenge to support civil space while managing competing power brokers including, at times, </w:t>
      </w:r>
      <w:r w:rsidR="0014063B">
        <w:t>DTOs</w:t>
      </w:r>
      <w:r w:rsidR="00602F4E" w:rsidRPr="00816FC2">
        <w:t xml:space="preserve">. </w:t>
      </w:r>
      <w:r>
        <w:t>Ad</w:t>
      </w:r>
      <w:r w:rsidR="00602F4E" w:rsidRPr="00816FC2">
        <w:t xml:space="preserve">vanced conflict sensitivity </w:t>
      </w:r>
      <w:r>
        <w:t xml:space="preserve">and human terrain awareness is </w:t>
      </w:r>
      <w:r w:rsidR="0014063B">
        <w:t>necessary</w:t>
      </w:r>
      <w:r>
        <w:t xml:space="preserve">, and projects in Syria now heavily invest in their knowledge platforms to understand and manage </w:t>
      </w:r>
      <w:r w:rsidR="00602F4E" w:rsidRPr="00816FC2">
        <w:t>risks.</w:t>
      </w:r>
      <w:r w:rsidR="00CB03CC">
        <w:t xml:space="preserve"> </w:t>
      </w:r>
      <w:r w:rsidR="00A905CF">
        <w:t xml:space="preserve">Previous cooperation with </w:t>
      </w:r>
      <w:r w:rsidR="00E0665C" w:rsidRPr="00816FC2">
        <w:t>civil society</w:t>
      </w:r>
      <w:r w:rsidR="00E0665C">
        <w:t xml:space="preserve"> has </w:t>
      </w:r>
      <w:r w:rsidR="00A905CF">
        <w:t xml:space="preserve">found </w:t>
      </w:r>
      <w:r w:rsidR="00E0665C">
        <w:t xml:space="preserve">that </w:t>
      </w:r>
      <w:r w:rsidR="00E0665C" w:rsidRPr="00816FC2">
        <w:rPr>
          <w:rFonts w:cs="Arial"/>
          <w:szCs w:val="22"/>
        </w:rPr>
        <w:t>CSOs</w:t>
      </w:r>
      <w:r w:rsidR="00E0665C" w:rsidRPr="00816FC2">
        <w:t xml:space="preserve"> are often weak and lack the capacity to achieve the results they desire. While several of those su</w:t>
      </w:r>
      <w:r w:rsidR="00E0665C">
        <w:t xml:space="preserve">pported by previous programmes, </w:t>
      </w:r>
      <w:r w:rsidR="00E0665C" w:rsidRPr="00816FC2">
        <w:t>n</w:t>
      </w:r>
      <w:r w:rsidR="00E0665C">
        <w:t>otably Baytna and TDA,</w:t>
      </w:r>
      <w:r w:rsidR="00E0665C" w:rsidRPr="00816FC2">
        <w:t xml:space="preserve"> have become more self-reliant,</w:t>
      </w:r>
      <w:r w:rsidR="00E0665C">
        <w:t xml:space="preserve"> a degree of</w:t>
      </w:r>
      <w:r w:rsidR="00E0665C" w:rsidRPr="00816FC2">
        <w:t xml:space="preserve"> </w:t>
      </w:r>
      <w:r w:rsidR="00E0665C" w:rsidRPr="00781DD5">
        <w:rPr>
          <w:b/>
          <w:bCs/>
        </w:rPr>
        <w:t>mentoring</w:t>
      </w:r>
      <w:r w:rsidR="00E0665C" w:rsidRPr="00816FC2">
        <w:t xml:space="preserve"> continue</w:t>
      </w:r>
      <w:r w:rsidR="00E0665C">
        <w:t>s</w:t>
      </w:r>
      <w:r w:rsidR="00E0665C" w:rsidRPr="00816FC2">
        <w:t xml:space="preserve"> to be relevant. The 2015 </w:t>
      </w:r>
      <w:r w:rsidR="00E0665C">
        <w:t>MTR</w:t>
      </w:r>
      <w:r w:rsidR="00E0665C" w:rsidRPr="00816FC2">
        <w:t xml:space="preserve"> of Danish support to Syria also highlighted the importance of actors involved in implementation of major stabilisation activities (such as AJACS) having an adequate understanding of development processes. In Iraq, a key lesson learnt is the need to declare areas safe before service delivery related stabilisation activities can begin (i.e. through FFIS)</w:t>
      </w:r>
      <w:r w:rsidR="00E0665C">
        <w:t>;</w:t>
      </w:r>
      <w:r w:rsidR="00E0665C" w:rsidRPr="00816FC2">
        <w:t xml:space="preserve"> </w:t>
      </w:r>
      <w:r w:rsidR="00E0665C" w:rsidRPr="00816FC2">
        <w:rPr>
          <w:b/>
        </w:rPr>
        <w:t xml:space="preserve">this requires complementary inputs </w:t>
      </w:r>
      <w:r w:rsidR="00E0665C" w:rsidRPr="00781DD5">
        <w:rPr>
          <w:bCs/>
        </w:rPr>
        <w:t>relating to mine action</w:t>
      </w:r>
      <w:r w:rsidR="00E0665C">
        <w:rPr>
          <w:bCs/>
        </w:rPr>
        <w:t xml:space="preserve"> and </w:t>
      </w:r>
      <w:r w:rsidR="00E0665C" w:rsidRPr="00781DD5">
        <w:rPr>
          <w:bCs/>
        </w:rPr>
        <w:t>C-IED efforts</w:t>
      </w:r>
      <w:r w:rsidR="00E0665C">
        <w:rPr>
          <w:bCs/>
        </w:rPr>
        <w:t xml:space="preserve">: this forms </w:t>
      </w:r>
      <w:r w:rsidR="00E0665C" w:rsidRPr="00816FC2">
        <w:t xml:space="preserve">a </w:t>
      </w:r>
      <w:r w:rsidR="00E0665C">
        <w:t xml:space="preserve">core component of </w:t>
      </w:r>
      <w:r w:rsidR="00E0665C" w:rsidRPr="00816FC2">
        <w:t xml:space="preserve">this programme. </w:t>
      </w:r>
    </w:p>
    <w:p w:rsidR="0045145F" w:rsidRPr="00816FC2" w:rsidRDefault="00781447" w:rsidP="00781447">
      <w:r>
        <w:t xml:space="preserve">A </w:t>
      </w:r>
      <w:r w:rsidR="00602F4E" w:rsidRPr="00816FC2">
        <w:t xml:space="preserve">significant lesson </w:t>
      </w:r>
      <w:r>
        <w:t xml:space="preserve">relating to programming </w:t>
      </w:r>
      <w:r w:rsidR="00602F4E" w:rsidRPr="00816FC2">
        <w:t xml:space="preserve">is that short </w:t>
      </w:r>
      <w:r w:rsidR="00602F4E" w:rsidRPr="00781DD5">
        <w:rPr>
          <w:b/>
          <w:bCs/>
        </w:rPr>
        <w:t>funding cycles</w:t>
      </w:r>
      <w:r w:rsidR="00602F4E" w:rsidRPr="00816FC2">
        <w:t xml:space="preserve"> of three, six or even </w:t>
      </w:r>
      <w:r>
        <w:t>12</w:t>
      </w:r>
      <w:r w:rsidRPr="00816FC2">
        <w:t xml:space="preserve"> </w:t>
      </w:r>
      <w:r w:rsidR="00602F4E" w:rsidRPr="00816FC2">
        <w:t>months do not provide sufficient continuity to produce meaningful results</w:t>
      </w:r>
      <w:r>
        <w:t xml:space="preserve"> in the current contexts</w:t>
      </w:r>
      <w:r w:rsidR="00602F4E" w:rsidRPr="00816FC2">
        <w:t xml:space="preserve">. </w:t>
      </w:r>
      <w:r>
        <w:t>A</w:t>
      </w:r>
      <w:r w:rsidR="00C6675B" w:rsidRPr="00816FC2">
        <w:t xml:space="preserve"> </w:t>
      </w:r>
      <w:r w:rsidR="00602F4E" w:rsidRPr="00816FC2">
        <w:t xml:space="preserve">multi-year funding framework </w:t>
      </w:r>
      <w:r>
        <w:t xml:space="preserve">is therefore advantageous </w:t>
      </w:r>
      <w:r w:rsidR="00C6675B" w:rsidRPr="00816FC2">
        <w:t xml:space="preserve">provided that it is sufficiently flexible to accommodate changes in context. </w:t>
      </w:r>
      <w:r w:rsidR="00602F4E" w:rsidRPr="00816FC2">
        <w:t xml:space="preserve">In relation to support modalities, recent programmes have benefited from a mix of </w:t>
      </w:r>
      <w:r w:rsidR="00602F4E" w:rsidRPr="00781DD5">
        <w:rPr>
          <w:b/>
          <w:bCs/>
          <w:iCs/>
        </w:rPr>
        <w:t>joint and delegated partnership</w:t>
      </w:r>
      <w:r w:rsidRPr="00711F8C">
        <w:rPr>
          <w:b/>
          <w:bCs/>
        </w:rPr>
        <w:t>s</w:t>
      </w:r>
      <w:r>
        <w:t xml:space="preserve"> </w:t>
      </w:r>
      <w:r w:rsidR="00602F4E" w:rsidRPr="00816FC2">
        <w:t xml:space="preserve">that have increased the </w:t>
      </w:r>
      <w:r w:rsidR="00F55906" w:rsidRPr="00816FC2">
        <w:t xml:space="preserve">overall </w:t>
      </w:r>
      <w:r w:rsidR="00602F4E" w:rsidRPr="00816FC2">
        <w:t xml:space="preserve">volume of funds available, reduced transaction costs, provided dedicated and local supervision and monitoring, and reduced risks. </w:t>
      </w:r>
      <w:r>
        <w:t xml:space="preserve">This programme </w:t>
      </w:r>
      <w:r w:rsidR="00602F4E" w:rsidRPr="00816FC2">
        <w:t>utilise</w:t>
      </w:r>
      <w:r>
        <w:t>s</w:t>
      </w:r>
      <w:r w:rsidR="00602F4E" w:rsidRPr="00816FC2">
        <w:t xml:space="preserve"> </w:t>
      </w:r>
      <w:r>
        <w:t xml:space="preserve">these </w:t>
      </w:r>
      <w:r w:rsidR="00602F4E" w:rsidRPr="00816FC2">
        <w:t>arrangements</w:t>
      </w:r>
      <w:r>
        <w:t xml:space="preserve"> whilst acknowledging limitation</w:t>
      </w:r>
      <w:r w:rsidR="00631E32" w:rsidRPr="00816FC2">
        <w:t xml:space="preserve"> particularly </w:t>
      </w:r>
      <w:r>
        <w:t xml:space="preserve">relevant to </w:t>
      </w:r>
      <w:r w:rsidR="00631E32" w:rsidRPr="00816FC2">
        <w:t>in delegated arrangements</w:t>
      </w:r>
      <w:r>
        <w:t xml:space="preserve">, that </w:t>
      </w:r>
      <w:r w:rsidR="00134C59">
        <w:t xml:space="preserve">Denmark will enjoy less </w:t>
      </w:r>
      <w:r w:rsidR="00631E32" w:rsidRPr="00816FC2">
        <w:t>visibility</w:t>
      </w:r>
      <w:r w:rsidR="0045145F" w:rsidRPr="00816FC2">
        <w:t xml:space="preserve"> and control</w:t>
      </w:r>
      <w:r w:rsidR="00602F4E" w:rsidRPr="00816FC2">
        <w:t xml:space="preserve">. </w:t>
      </w:r>
    </w:p>
    <w:p w:rsidR="00602F4E" w:rsidRPr="00816FC2" w:rsidRDefault="00781447" w:rsidP="00781447">
      <w:r>
        <w:t xml:space="preserve">This risk, however, will be mitigated through the deployment of </w:t>
      </w:r>
      <w:r w:rsidRPr="00711F8C">
        <w:rPr>
          <w:b/>
          <w:bCs/>
        </w:rPr>
        <w:t>senior Danish representatives</w:t>
      </w:r>
      <w:r>
        <w:t xml:space="preserve">. </w:t>
      </w:r>
      <w:r w:rsidR="00602F4E" w:rsidRPr="00816FC2">
        <w:t xml:space="preserve">The </w:t>
      </w:r>
      <w:r w:rsidR="002D4527">
        <w:t xml:space="preserve">2015 </w:t>
      </w:r>
      <w:r w:rsidR="00602F4E" w:rsidRPr="00816FC2">
        <w:t xml:space="preserve">MTR </w:t>
      </w:r>
      <w:r w:rsidR="00E0665C">
        <w:t xml:space="preserve">highlighted the benefits </w:t>
      </w:r>
      <w:r w:rsidR="002C5896">
        <w:t xml:space="preserve">to be gained from the deployment of </w:t>
      </w:r>
      <w:r w:rsidR="00602F4E" w:rsidRPr="00781447">
        <w:t>representatives</w:t>
      </w:r>
      <w:r w:rsidR="00602F4E" w:rsidRPr="00816FC2">
        <w:t xml:space="preserve"> </w:t>
      </w:r>
      <w:r w:rsidR="002C5896">
        <w:t xml:space="preserve">able to </w:t>
      </w:r>
      <w:r w:rsidR="00602F4E" w:rsidRPr="00816FC2">
        <w:t xml:space="preserve">follow </w:t>
      </w:r>
      <w:r w:rsidR="002C5896">
        <w:t xml:space="preserve">project progress </w:t>
      </w:r>
      <w:r w:rsidR="00602F4E" w:rsidRPr="00816FC2">
        <w:t xml:space="preserve">and participate in management meetings </w:t>
      </w:r>
      <w:r w:rsidR="002C5896">
        <w:t xml:space="preserve">for projects </w:t>
      </w:r>
      <w:r w:rsidR="00602F4E" w:rsidRPr="00816FC2">
        <w:t xml:space="preserve">such as AJACS and the </w:t>
      </w:r>
      <w:r w:rsidR="00E0665C">
        <w:t>SRTF</w:t>
      </w:r>
      <w:r w:rsidR="00602F4E" w:rsidRPr="00816FC2">
        <w:t xml:space="preserve">, although this would require an increase in the human resources available. </w:t>
      </w:r>
      <w:r>
        <w:t>L</w:t>
      </w:r>
      <w:r w:rsidR="00602F4E" w:rsidRPr="00816FC2">
        <w:t xml:space="preserve">ocal presence </w:t>
      </w:r>
      <w:r w:rsidR="002C5896">
        <w:t xml:space="preserve">mitigates the risks of reduced </w:t>
      </w:r>
      <w:r w:rsidR="0045145F" w:rsidRPr="00816FC2">
        <w:t xml:space="preserve">visibility </w:t>
      </w:r>
      <w:r w:rsidR="002C5896">
        <w:t xml:space="preserve">into projects </w:t>
      </w:r>
      <w:r w:rsidR="0045145F" w:rsidRPr="00816FC2">
        <w:t xml:space="preserve">and help </w:t>
      </w:r>
      <w:r w:rsidR="00602F4E" w:rsidRPr="00816FC2">
        <w:t xml:space="preserve">build </w:t>
      </w:r>
      <w:r>
        <w:t xml:space="preserve">Denmark’s </w:t>
      </w:r>
      <w:r w:rsidR="00602F4E" w:rsidRPr="00816FC2">
        <w:t>understanding of different donors</w:t>
      </w:r>
      <w:r w:rsidR="00F55906" w:rsidRPr="00816FC2">
        <w:t>’</w:t>
      </w:r>
      <w:r w:rsidR="00602F4E" w:rsidRPr="00816FC2">
        <w:t xml:space="preserve"> political and legal “red lines” to be taken into account during </w:t>
      </w:r>
      <w:r>
        <w:t>design</w:t>
      </w:r>
      <w:r w:rsidRPr="00816FC2">
        <w:t xml:space="preserve"> </w:t>
      </w:r>
      <w:r w:rsidR="00602F4E" w:rsidRPr="00816FC2">
        <w:t>and implementation.</w:t>
      </w:r>
    </w:p>
    <w:p w:rsidR="00D93D53" w:rsidRPr="00816FC2" w:rsidRDefault="00B84D7C" w:rsidP="0034198E">
      <w:pPr>
        <w:pStyle w:val="Overskrift2"/>
      </w:pPr>
      <w:bookmarkStart w:id="27" w:name="_Toc319260418"/>
      <w:bookmarkStart w:id="28" w:name="_Toc446332707"/>
      <w:bookmarkStart w:id="29" w:name="_Toc332370509"/>
      <w:r w:rsidRPr="00816FC2">
        <w:t>Guiding principles used in programme design</w:t>
      </w:r>
      <w:bookmarkEnd w:id="27"/>
      <w:bookmarkEnd w:id="28"/>
      <w:bookmarkEnd w:id="29"/>
      <w:r w:rsidR="0034198E" w:rsidRPr="00816FC2">
        <w:t xml:space="preserve"> </w:t>
      </w:r>
    </w:p>
    <w:p w:rsidR="00B84D7C" w:rsidRPr="00816FC2" w:rsidRDefault="00B84D7C" w:rsidP="002C5896">
      <w:r w:rsidRPr="00816FC2">
        <w:t xml:space="preserve">The programme </w:t>
      </w:r>
      <w:r w:rsidR="002D4527">
        <w:t xml:space="preserve">provides </w:t>
      </w:r>
      <w:r w:rsidRPr="00816FC2">
        <w:t xml:space="preserve">a coherent framework through which immediate </w:t>
      </w:r>
      <w:r w:rsidR="000F2821" w:rsidRPr="00816FC2">
        <w:t xml:space="preserve">civilian </w:t>
      </w:r>
      <w:r w:rsidRPr="00816FC2">
        <w:rPr>
          <w:bCs/>
        </w:rPr>
        <w:t xml:space="preserve">stabilisation </w:t>
      </w:r>
      <w:r w:rsidR="00DE40E6">
        <w:rPr>
          <w:bCs/>
        </w:rPr>
        <w:t xml:space="preserve">will </w:t>
      </w:r>
      <w:r w:rsidRPr="00816FC2">
        <w:rPr>
          <w:bCs/>
        </w:rPr>
        <w:t>be used to achieve Danish policy objectives in Syria and Iraq</w:t>
      </w:r>
      <w:r w:rsidRPr="00816FC2">
        <w:t xml:space="preserve">. This includes enabling communities to recover post-Da’esh, supporting </w:t>
      </w:r>
      <w:r w:rsidR="002C5896">
        <w:t xml:space="preserve">community resilience to Da’esh and other extremist elements </w:t>
      </w:r>
      <w:r w:rsidR="000F2821" w:rsidRPr="00816FC2">
        <w:t xml:space="preserve">in Syria, </w:t>
      </w:r>
      <w:r w:rsidRPr="00816FC2">
        <w:t xml:space="preserve">and meeting short-term needs relating to protection and community safety, rule of law, mine clearance and basic service delivery. The programme </w:t>
      </w:r>
      <w:r w:rsidR="00632598" w:rsidRPr="00816FC2">
        <w:t xml:space="preserve">design has been </w:t>
      </w:r>
      <w:r w:rsidR="002C5896">
        <w:t xml:space="preserve">informed by lessons learnt and </w:t>
      </w:r>
      <w:r w:rsidRPr="00816FC2">
        <w:t>guided by</w:t>
      </w:r>
      <w:r w:rsidR="00632598" w:rsidRPr="00816FC2">
        <w:t xml:space="preserve"> the </w:t>
      </w:r>
      <w:r w:rsidR="00F85B00">
        <w:t>PSF guidelines</w:t>
      </w:r>
      <w:r w:rsidRPr="00816FC2">
        <w:t>:</w:t>
      </w:r>
    </w:p>
    <w:p w:rsidR="00CD21C7" w:rsidRDefault="00905C54" w:rsidP="002C5896">
      <w:pPr>
        <w:pStyle w:val="Listeafsnit"/>
        <w:numPr>
          <w:ilvl w:val="0"/>
          <w:numId w:val="37"/>
        </w:numPr>
        <w:spacing w:before="100" w:beforeAutospacing="1" w:after="100" w:afterAutospacing="1"/>
        <w:ind w:left="567"/>
      </w:pPr>
      <w:r w:rsidRPr="00A27316">
        <w:rPr>
          <w:b/>
        </w:rPr>
        <w:lastRenderedPageBreak/>
        <w:t>Use of an integrated approach</w:t>
      </w:r>
      <w:r>
        <w:t xml:space="preserve"> through which the programme is aligned with Denmark’s other civil and military interventions in the region, particular</w:t>
      </w:r>
      <w:r w:rsidR="002C5896">
        <w:t>ly</w:t>
      </w:r>
      <w:r>
        <w:t xml:space="preserve"> support to the </w:t>
      </w:r>
      <w:r w:rsidR="002C5896">
        <w:t xml:space="preserve">Global </w:t>
      </w:r>
      <w:r>
        <w:t>Coalition</w:t>
      </w:r>
      <w:r w:rsidR="001B4FCE">
        <w:t>, in the CVE area, and to humanitarian support (contributions are described at annex A).</w:t>
      </w:r>
    </w:p>
    <w:p w:rsidR="00A27316" w:rsidRPr="00816FC2" w:rsidRDefault="00A27316" w:rsidP="002C5896">
      <w:pPr>
        <w:pStyle w:val="Listeafsnit"/>
        <w:numPr>
          <w:ilvl w:val="0"/>
          <w:numId w:val="37"/>
        </w:numPr>
        <w:autoSpaceDE/>
        <w:autoSpaceDN/>
        <w:adjustRightInd/>
        <w:spacing w:before="100" w:beforeAutospacing="1" w:after="100" w:afterAutospacing="1"/>
        <w:ind w:left="567"/>
        <w:rPr>
          <w:iCs/>
        </w:rPr>
      </w:pPr>
      <w:r>
        <w:rPr>
          <w:b/>
        </w:rPr>
        <w:t xml:space="preserve">A regional focus </w:t>
      </w:r>
      <w:r w:rsidRPr="00816FC2">
        <w:t>enabl</w:t>
      </w:r>
      <w:r>
        <w:t xml:space="preserve">ing </w:t>
      </w:r>
      <w:r w:rsidRPr="00816FC2">
        <w:t>a common narrative on strategic issues</w:t>
      </w:r>
      <w:r>
        <w:t xml:space="preserve"> (e.g. countering Da’esh)</w:t>
      </w:r>
      <w:r w:rsidRPr="00816FC2">
        <w:t xml:space="preserve">, flexibility to move between engagements and between countries should circumstances require, and more effective communication on lessons learnt and commonalities between the two contexts. That said, the programme acknowledges the need to reflect the factors that also distinguish the two conflicts, involving different actors and being rooted in local grievances. </w:t>
      </w:r>
      <w:r w:rsidR="002C5896">
        <w:t xml:space="preserve">Danish </w:t>
      </w:r>
      <w:r w:rsidRPr="00816FC2">
        <w:t>stabilisation advisers will help knit the regional approach together and facilitate the broader, regional perspective.</w:t>
      </w:r>
    </w:p>
    <w:p w:rsidR="00A27316" w:rsidRPr="00816FC2" w:rsidRDefault="00A27316" w:rsidP="00781447">
      <w:pPr>
        <w:pStyle w:val="Listeafsnit"/>
        <w:numPr>
          <w:ilvl w:val="0"/>
          <w:numId w:val="37"/>
        </w:numPr>
        <w:autoSpaceDE/>
        <w:autoSpaceDN/>
        <w:adjustRightInd/>
        <w:spacing w:before="100" w:beforeAutospacing="1" w:after="100" w:afterAutospacing="1"/>
        <w:ind w:left="567"/>
      </w:pPr>
      <w:r w:rsidRPr="00816FC2">
        <w:rPr>
          <w:b/>
          <w:bCs/>
          <w:iCs/>
        </w:rPr>
        <w:t xml:space="preserve">Risk </w:t>
      </w:r>
      <w:r w:rsidR="00772D23">
        <w:rPr>
          <w:b/>
          <w:bCs/>
          <w:iCs/>
        </w:rPr>
        <w:t>willingness</w:t>
      </w:r>
      <w:r w:rsidR="00BF0D5E">
        <w:rPr>
          <w:bCs/>
          <w:iCs/>
        </w:rPr>
        <w:t>,</w:t>
      </w:r>
      <w:r w:rsidR="00772D23">
        <w:rPr>
          <w:b/>
          <w:bCs/>
          <w:iCs/>
        </w:rPr>
        <w:t xml:space="preserve"> </w:t>
      </w:r>
      <w:r w:rsidR="00772D23">
        <w:rPr>
          <w:bCs/>
          <w:iCs/>
        </w:rPr>
        <w:t xml:space="preserve">accompanied by a systematic approach to risk </w:t>
      </w:r>
      <w:r w:rsidR="002C5896">
        <w:rPr>
          <w:bCs/>
          <w:iCs/>
        </w:rPr>
        <w:t xml:space="preserve">management and </w:t>
      </w:r>
      <w:r w:rsidR="00772D23">
        <w:rPr>
          <w:bCs/>
          <w:iCs/>
        </w:rPr>
        <w:t>mitigation through</w:t>
      </w:r>
      <w:r w:rsidR="002C5896">
        <w:rPr>
          <w:bCs/>
          <w:iCs/>
        </w:rPr>
        <w:t xml:space="preserve"> </w:t>
      </w:r>
      <w:r w:rsidRPr="00816FC2">
        <w:t xml:space="preserve">sharing programme risks with other donors and </w:t>
      </w:r>
      <w:r w:rsidR="00772D23">
        <w:t xml:space="preserve">regular internal and </w:t>
      </w:r>
      <w:r w:rsidR="00781447">
        <w:t xml:space="preserve">external </w:t>
      </w:r>
      <w:r w:rsidR="00772D23">
        <w:t>monitoring.</w:t>
      </w:r>
      <w:r w:rsidRPr="00816FC2">
        <w:t xml:space="preserve"> </w:t>
      </w:r>
    </w:p>
    <w:p w:rsidR="00A27316" w:rsidRPr="001A4415" w:rsidRDefault="00BF0D5E" w:rsidP="00B76BB9">
      <w:pPr>
        <w:pStyle w:val="Listeafsnit"/>
        <w:numPr>
          <w:ilvl w:val="0"/>
          <w:numId w:val="37"/>
        </w:numPr>
        <w:spacing w:before="100" w:beforeAutospacing="1" w:after="100" w:afterAutospacing="1"/>
        <w:ind w:left="567"/>
        <w:rPr>
          <w:b/>
        </w:rPr>
      </w:pPr>
      <w:r w:rsidRPr="00BF0D5E">
        <w:rPr>
          <w:b/>
        </w:rPr>
        <w:t>Flexibility</w:t>
      </w:r>
      <w:r>
        <w:t xml:space="preserve"> enabling the programme to be adjusted to suit changing circumstances</w:t>
      </w:r>
      <w:r w:rsidR="00654C79">
        <w:t xml:space="preserve">. The programme uses an interlinked scenario and risk mechanism (see </w:t>
      </w:r>
      <w:r w:rsidR="00B76BB9" w:rsidRPr="007F2463">
        <w:t>Section</w:t>
      </w:r>
      <w:r w:rsidR="00B76BB9" w:rsidRPr="00B76BB9">
        <w:t xml:space="preserve"> </w:t>
      </w:r>
      <w:r w:rsidR="00B76BB9" w:rsidRPr="007F2463">
        <w:t>4.5</w:t>
      </w:r>
      <w:r w:rsidR="00654C79">
        <w:t xml:space="preserve">) that identifies possible choices. However, this will be accompanied by the active approach to programme management provided through the two regionally-based stabilisation advisers and </w:t>
      </w:r>
      <w:r w:rsidR="001A4415">
        <w:t>regular interaction with partners.</w:t>
      </w:r>
    </w:p>
    <w:p w:rsidR="001A4415" w:rsidRPr="00A15D74" w:rsidRDefault="001A4415" w:rsidP="00781447">
      <w:pPr>
        <w:pStyle w:val="Listeafsnit"/>
        <w:numPr>
          <w:ilvl w:val="0"/>
          <w:numId w:val="37"/>
        </w:numPr>
        <w:spacing w:before="100" w:beforeAutospacing="1" w:after="100" w:afterAutospacing="1"/>
        <w:ind w:left="567"/>
        <w:rPr>
          <w:b/>
        </w:rPr>
      </w:pPr>
      <w:r>
        <w:rPr>
          <w:b/>
        </w:rPr>
        <w:t>A programmatic approach</w:t>
      </w:r>
      <w:r w:rsidR="001E186B">
        <w:rPr>
          <w:b/>
        </w:rPr>
        <w:t xml:space="preserve"> </w:t>
      </w:r>
      <w:r w:rsidR="001E186B" w:rsidRPr="00816FC2">
        <w:rPr>
          <w:iCs/>
        </w:rPr>
        <w:t>draw</w:t>
      </w:r>
      <w:r w:rsidR="001E186B">
        <w:rPr>
          <w:iCs/>
        </w:rPr>
        <w:t>s</w:t>
      </w:r>
      <w:r w:rsidR="001E186B" w:rsidRPr="00816FC2">
        <w:rPr>
          <w:iCs/>
        </w:rPr>
        <w:t xml:space="preserve"> </w:t>
      </w:r>
      <w:r w:rsidR="002C5896">
        <w:rPr>
          <w:iCs/>
        </w:rPr>
        <w:t xml:space="preserve">to a large extent </w:t>
      </w:r>
      <w:r w:rsidR="001E186B" w:rsidRPr="00816FC2">
        <w:rPr>
          <w:iCs/>
        </w:rPr>
        <w:t>on engagements and modalities that have demonstrated their utility in the previous programmes</w:t>
      </w:r>
      <w:r w:rsidR="002C5896">
        <w:rPr>
          <w:iCs/>
        </w:rPr>
        <w:t xml:space="preserve">, </w:t>
      </w:r>
      <w:r w:rsidR="001E186B">
        <w:rPr>
          <w:iCs/>
        </w:rPr>
        <w:t xml:space="preserve">allowing the programme to </w:t>
      </w:r>
      <w:r w:rsidR="002C5896">
        <w:rPr>
          <w:iCs/>
        </w:rPr>
        <w:t xml:space="preserve">leverage </w:t>
      </w:r>
      <w:r w:rsidR="001E186B" w:rsidRPr="00816FC2">
        <w:rPr>
          <w:iCs/>
        </w:rPr>
        <w:t xml:space="preserve">existing knowledge and contacts. </w:t>
      </w:r>
      <w:r w:rsidR="002C5896">
        <w:rPr>
          <w:iCs/>
        </w:rPr>
        <w:t>W</w:t>
      </w:r>
      <w:r w:rsidR="001E186B" w:rsidRPr="00816FC2">
        <w:rPr>
          <w:iCs/>
        </w:rPr>
        <w:t xml:space="preserve">here uncertainty </w:t>
      </w:r>
      <w:r w:rsidR="00781447">
        <w:rPr>
          <w:iCs/>
        </w:rPr>
        <w:t>e</w:t>
      </w:r>
      <w:r w:rsidR="001E186B" w:rsidRPr="00816FC2">
        <w:rPr>
          <w:iCs/>
        </w:rPr>
        <w:t>xists, options are identified and will be examined before commitments are made</w:t>
      </w:r>
      <w:r w:rsidR="00781447">
        <w:rPr>
          <w:iCs/>
        </w:rPr>
        <w:t>;</w:t>
      </w:r>
      <w:r w:rsidR="001E186B" w:rsidRPr="00816FC2">
        <w:rPr>
          <w:iCs/>
        </w:rPr>
        <w:t xml:space="preserve"> </w:t>
      </w:r>
      <w:r w:rsidR="00781447">
        <w:rPr>
          <w:iCs/>
        </w:rPr>
        <w:t>a</w:t>
      </w:r>
      <w:r w:rsidR="0009574B">
        <w:rPr>
          <w:iCs/>
        </w:rPr>
        <w:t xml:space="preserve"> </w:t>
      </w:r>
      <w:r w:rsidR="002C5896">
        <w:rPr>
          <w:iCs/>
        </w:rPr>
        <w:t xml:space="preserve">MTR </w:t>
      </w:r>
      <w:r w:rsidR="0009574B">
        <w:rPr>
          <w:iCs/>
        </w:rPr>
        <w:t xml:space="preserve">will </w:t>
      </w:r>
      <w:r w:rsidR="001E186B" w:rsidRPr="00816FC2">
        <w:rPr>
          <w:iCs/>
        </w:rPr>
        <w:t>provide an opportunity for strategic review.</w:t>
      </w:r>
    </w:p>
    <w:p w:rsidR="00A15D74" w:rsidRDefault="00A15D74" w:rsidP="00A15D74">
      <w:pPr>
        <w:pStyle w:val="Listeafsnit"/>
        <w:spacing w:before="100" w:beforeAutospacing="1" w:after="100" w:afterAutospacing="1"/>
        <w:rPr>
          <w:b/>
        </w:rPr>
      </w:pPr>
    </w:p>
    <w:p w:rsidR="00A15D74" w:rsidRDefault="00A15D74" w:rsidP="00A15D74">
      <w:pPr>
        <w:pStyle w:val="Listeafsnit"/>
        <w:spacing w:before="100" w:beforeAutospacing="1" w:after="100" w:afterAutospacing="1"/>
        <w:ind w:left="0"/>
      </w:pPr>
      <w:r>
        <w:t>In addition, a number of other relevant factors have been applied, including:</w:t>
      </w:r>
    </w:p>
    <w:p w:rsidR="00A15D74" w:rsidRPr="00A15D74" w:rsidRDefault="00A15D74" w:rsidP="00A15D74">
      <w:pPr>
        <w:pStyle w:val="Listeafsnit"/>
        <w:spacing w:before="100" w:beforeAutospacing="1" w:after="100" w:afterAutospacing="1"/>
        <w:ind w:left="0"/>
      </w:pPr>
    </w:p>
    <w:p w:rsidR="00E60B44" w:rsidRPr="00816FC2" w:rsidRDefault="001A1A75" w:rsidP="00781DD5">
      <w:pPr>
        <w:pStyle w:val="Listeafsnit"/>
        <w:numPr>
          <w:ilvl w:val="0"/>
          <w:numId w:val="37"/>
        </w:numPr>
        <w:spacing w:before="100" w:beforeAutospacing="1" w:after="100" w:afterAutospacing="1"/>
        <w:ind w:left="567"/>
      </w:pPr>
      <w:r w:rsidRPr="00816FC2">
        <w:rPr>
          <w:b/>
        </w:rPr>
        <w:t>Immediate stabilisation</w:t>
      </w:r>
      <w:r w:rsidRPr="00816FC2">
        <w:t xml:space="preserve"> provides the programme with a disti</w:t>
      </w:r>
      <w:r w:rsidR="008445CF" w:rsidRPr="00816FC2">
        <w:t xml:space="preserve">nct focus </w:t>
      </w:r>
      <w:r w:rsidR="00BB3CC4">
        <w:t xml:space="preserve">on </w:t>
      </w:r>
      <w:r w:rsidR="00BB3CC4" w:rsidRPr="00CD5F62">
        <w:rPr>
          <w:iCs/>
        </w:rPr>
        <w:t>urgent</w:t>
      </w:r>
      <w:r w:rsidR="00BB3CC4">
        <w:t xml:space="preserve"> issues, such as demining, </w:t>
      </w:r>
      <w:r w:rsidR="008445CF" w:rsidRPr="00816FC2">
        <w:t>and means that longer-</w:t>
      </w:r>
      <w:r w:rsidRPr="00816FC2">
        <w:t xml:space="preserve">term stabilisation and recovery activities are not necessarily the first priority. </w:t>
      </w:r>
    </w:p>
    <w:p w:rsidR="008257F0" w:rsidRPr="00816FC2" w:rsidRDefault="008257F0" w:rsidP="00781DD5">
      <w:pPr>
        <w:pStyle w:val="Listeafsnit"/>
        <w:numPr>
          <w:ilvl w:val="0"/>
          <w:numId w:val="37"/>
        </w:numPr>
        <w:spacing w:before="100" w:beforeAutospacing="1" w:after="100" w:afterAutospacing="1"/>
        <w:ind w:left="567"/>
      </w:pPr>
      <w:r w:rsidRPr="00816FC2">
        <w:t xml:space="preserve">With the programme funding coming </w:t>
      </w:r>
      <w:r w:rsidR="00A95038">
        <w:t xml:space="preserve">mainly </w:t>
      </w:r>
      <w:r w:rsidRPr="00816FC2">
        <w:t xml:space="preserve">from </w:t>
      </w:r>
      <w:r w:rsidR="00E96930" w:rsidRPr="00816FC2">
        <w:t xml:space="preserve">ODA sources, it is necessary to ensure that programme activities </w:t>
      </w:r>
      <w:r w:rsidR="00D6004D" w:rsidRPr="00A947E7">
        <w:rPr>
          <w:b/>
          <w:bCs/>
        </w:rPr>
        <w:t>are DAC-able</w:t>
      </w:r>
      <w:r w:rsidR="00D6004D" w:rsidRPr="00816FC2">
        <w:t xml:space="preserve"> </w:t>
      </w:r>
      <w:r w:rsidR="00D6004D">
        <w:t xml:space="preserve">and </w:t>
      </w:r>
      <w:r w:rsidR="00E96930" w:rsidRPr="00816FC2">
        <w:t xml:space="preserve">lie within the current guidelines concerning </w:t>
      </w:r>
      <w:r w:rsidR="00E96930" w:rsidRPr="00D6004D">
        <w:t>ODA</w:t>
      </w:r>
      <w:r w:rsidR="00E96930" w:rsidRPr="00816FC2">
        <w:t xml:space="preserve">. </w:t>
      </w:r>
    </w:p>
    <w:p w:rsidR="00B84D7C" w:rsidRPr="00816FC2" w:rsidRDefault="00B84D7C" w:rsidP="00781DD5">
      <w:pPr>
        <w:pStyle w:val="Listeafsnit"/>
        <w:numPr>
          <w:ilvl w:val="0"/>
          <w:numId w:val="37"/>
        </w:numPr>
        <w:spacing w:before="100" w:beforeAutospacing="1" w:after="100" w:afterAutospacing="1"/>
        <w:ind w:left="567"/>
        <w:rPr>
          <w:iCs/>
        </w:rPr>
      </w:pPr>
      <w:r w:rsidRPr="00816FC2">
        <w:rPr>
          <w:b/>
          <w:bCs/>
          <w:iCs/>
        </w:rPr>
        <w:t>A common theory of change</w:t>
      </w:r>
      <w:r w:rsidRPr="00816FC2">
        <w:rPr>
          <w:iCs/>
        </w:rPr>
        <w:t xml:space="preserve"> at programme level and a results framework that is coherent across the two contexts, notwithstanding the challenges o</w:t>
      </w:r>
      <w:r w:rsidR="00632598" w:rsidRPr="00816FC2">
        <w:rPr>
          <w:iCs/>
        </w:rPr>
        <w:t>f adopting a regional approach</w:t>
      </w:r>
      <w:r w:rsidRPr="00816FC2">
        <w:rPr>
          <w:iCs/>
        </w:rPr>
        <w:t>.</w:t>
      </w:r>
      <w:r w:rsidR="00C47469">
        <w:rPr>
          <w:iCs/>
        </w:rPr>
        <w:t xml:space="preserve"> Each thematic programme also includes its own theory of change.</w:t>
      </w:r>
      <w:r w:rsidRPr="00816FC2">
        <w:rPr>
          <w:iCs/>
        </w:rPr>
        <w:t xml:space="preserve"> Engagements </w:t>
      </w:r>
      <w:r w:rsidR="00BB3CC4">
        <w:rPr>
          <w:iCs/>
        </w:rPr>
        <w:t xml:space="preserve">are </w:t>
      </w:r>
      <w:r w:rsidRPr="00816FC2">
        <w:rPr>
          <w:iCs/>
        </w:rPr>
        <w:t>spread between the thematic programmes as appropriate.</w:t>
      </w:r>
    </w:p>
    <w:p w:rsidR="00067870" w:rsidRPr="00816FC2" w:rsidRDefault="00067870" w:rsidP="00781DD5">
      <w:pPr>
        <w:pStyle w:val="Listeafsnit"/>
        <w:numPr>
          <w:ilvl w:val="0"/>
          <w:numId w:val="37"/>
        </w:numPr>
        <w:spacing w:before="100" w:beforeAutospacing="1" w:after="100" w:afterAutospacing="1"/>
        <w:ind w:left="567"/>
        <w:rPr>
          <w:b/>
          <w:iCs/>
        </w:rPr>
      </w:pPr>
      <w:r w:rsidRPr="00816FC2">
        <w:rPr>
          <w:b/>
          <w:iCs/>
        </w:rPr>
        <w:t>Alignment and local ownership</w:t>
      </w:r>
      <w:r w:rsidR="0058316A" w:rsidRPr="00816FC2">
        <w:rPr>
          <w:iCs/>
        </w:rPr>
        <w:t xml:space="preserve">, in line with New Deal principles, </w:t>
      </w:r>
      <w:r w:rsidR="00D6004D">
        <w:rPr>
          <w:iCs/>
        </w:rPr>
        <w:t xml:space="preserve">is </w:t>
      </w:r>
      <w:r w:rsidR="0058316A" w:rsidRPr="00816FC2">
        <w:rPr>
          <w:iCs/>
        </w:rPr>
        <w:t>promoted</w:t>
      </w:r>
      <w:r w:rsidR="00E32B06" w:rsidRPr="00816FC2">
        <w:rPr>
          <w:iCs/>
        </w:rPr>
        <w:t>. In Iraq, this means that engagements will target G</w:t>
      </w:r>
      <w:r w:rsidR="003666E3" w:rsidRPr="00816FC2">
        <w:rPr>
          <w:iCs/>
        </w:rPr>
        <w:t>oI priorities</w:t>
      </w:r>
      <w:r w:rsidR="003A54D3" w:rsidRPr="00816FC2">
        <w:rPr>
          <w:iCs/>
        </w:rPr>
        <w:t xml:space="preserve"> and that, i</w:t>
      </w:r>
      <w:r w:rsidR="003666E3" w:rsidRPr="00816FC2">
        <w:rPr>
          <w:iCs/>
        </w:rPr>
        <w:t>n both countries, engagements use methodologies that are participatory and strengthen local ownership.</w:t>
      </w:r>
      <w:r w:rsidR="009B07B4" w:rsidRPr="00816FC2">
        <w:rPr>
          <w:iCs/>
        </w:rPr>
        <w:t xml:space="preserve"> The programme also adopt</w:t>
      </w:r>
      <w:r w:rsidR="00C47469">
        <w:rPr>
          <w:iCs/>
        </w:rPr>
        <w:t>s</w:t>
      </w:r>
      <w:r w:rsidR="009B07B4" w:rsidRPr="00816FC2">
        <w:rPr>
          <w:iCs/>
        </w:rPr>
        <w:t xml:space="preserve"> a H</w:t>
      </w:r>
      <w:r w:rsidR="002E1131">
        <w:rPr>
          <w:iCs/>
        </w:rPr>
        <w:t>uman Rights Based A</w:t>
      </w:r>
      <w:r w:rsidR="00D6004D">
        <w:rPr>
          <w:iCs/>
        </w:rPr>
        <w:t>pproach</w:t>
      </w:r>
      <w:r w:rsidR="00D17F46" w:rsidRPr="00816FC2">
        <w:rPr>
          <w:iCs/>
        </w:rPr>
        <w:t xml:space="preserve"> and thereby promote</w:t>
      </w:r>
      <w:r w:rsidR="00C47469">
        <w:rPr>
          <w:iCs/>
        </w:rPr>
        <w:t>s</w:t>
      </w:r>
      <w:r w:rsidR="00D17F46" w:rsidRPr="00816FC2">
        <w:rPr>
          <w:iCs/>
        </w:rPr>
        <w:t xml:space="preserve"> participation, accountability, non-discrimination and transparency through </w:t>
      </w:r>
      <w:r w:rsidR="00D6004D">
        <w:rPr>
          <w:iCs/>
        </w:rPr>
        <w:t xml:space="preserve">the selected </w:t>
      </w:r>
      <w:r w:rsidR="00D17F46" w:rsidRPr="00816FC2">
        <w:rPr>
          <w:iCs/>
        </w:rPr>
        <w:t>engagements.</w:t>
      </w:r>
      <w:r w:rsidR="009B07B4" w:rsidRPr="00816FC2">
        <w:rPr>
          <w:iCs/>
        </w:rPr>
        <w:t xml:space="preserve"> </w:t>
      </w:r>
    </w:p>
    <w:p w:rsidR="008445CF" w:rsidRPr="00816FC2" w:rsidRDefault="008445CF" w:rsidP="00781DD5">
      <w:pPr>
        <w:pStyle w:val="Listeafsnit"/>
        <w:numPr>
          <w:ilvl w:val="0"/>
          <w:numId w:val="37"/>
        </w:numPr>
        <w:spacing w:before="100" w:beforeAutospacing="1" w:after="100" w:afterAutospacing="1"/>
        <w:ind w:left="567"/>
        <w:rPr>
          <w:iCs/>
        </w:rPr>
      </w:pPr>
      <w:r w:rsidRPr="00816FC2">
        <w:rPr>
          <w:b/>
          <w:bCs/>
          <w:iCs/>
        </w:rPr>
        <w:t>Do No Harm and conflict sensitivity</w:t>
      </w:r>
      <w:r w:rsidRPr="00816FC2">
        <w:rPr>
          <w:bCs/>
          <w:iCs/>
        </w:rPr>
        <w:t xml:space="preserve"> are prioritised in all the engagements</w:t>
      </w:r>
      <w:r w:rsidR="00DD3C4D" w:rsidRPr="00816FC2">
        <w:rPr>
          <w:bCs/>
          <w:iCs/>
        </w:rPr>
        <w:t xml:space="preserve"> and are aspects that Denmark will monitor and highlight in dialogue. They are particularly relevant and difficult considerations in areas that are disputed (</w:t>
      </w:r>
      <w:r w:rsidR="00DD3C4D" w:rsidRPr="00CD5F62">
        <w:rPr>
          <w:iCs/>
        </w:rPr>
        <w:t>grey</w:t>
      </w:r>
      <w:r w:rsidR="00DD3C4D" w:rsidRPr="00816FC2">
        <w:rPr>
          <w:bCs/>
          <w:iCs/>
        </w:rPr>
        <w:t xml:space="preserve"> areas) and where external aid can be treated as a political commodity.</w:t>
      </w:r>
    </w:p>
    <w:p w:rsidR="00B84D7C" w:rsidRPr="00816FC2" w:rsidRDefault="009D408A" w:rsidP="00781DD5">
      <w:pPr>
        <w:pStyle w:val="Listeafsnit"/>
        <w:numPr>
          <w:ilvl w:val="0"/>
          <w:numId w:val="37"/>
        </w:numPr>
        <w:spacing w:before="100" w:beforeAutospacing="1" w:after="100" w:afterAutospacing="1"/>
        <w:ind w:left="567"/>
      </w:pPr>
      <w:r>
        <w:rPr>
          <w:b/>
          <w:bCs/>
          <w:iCs/>
        </w:rPr>
        <w:t xml:space="preserve">Programme management efficiency </w:t>
      </w:r>
      <w:r>
        <w:rPr>
          <w:bCs/>
          <w:iCs/>
        </w:rPr>
        <w:t xml:space="preserve">is optimised </w:t>
      </w:r>
      <w:r w:rsidR="00B84D7C" w:rsidRPr="00816FC2">
        <w:rPr>
          <w:iCs/>
        </w:rPr>
        <w:t xml:space="preserve">through reducing the number but increasing the size of engagements and, where possible, utilising delegated cooperation agreements. This reduces the overall burden on the MFA and increases value for money. Technical assistance </w:t>
      </w:r>
      <w:r w:rsidR="00B84D7C" w:rsidRPr="00816FC2">
        <w:t xml:space="preserve">may also assist programme partners and the MFA in meeting results. </w:t>
      </w:r>
    </w:p>
    <w:p w:rsidR="00D4152B" w:rsidRPr="00816FC2" w:rsidRDefault="00D4152B" w:rsidP="006D510A">
      <w:pPr>
        <w:pStyle w:val="Overskrift2"/>
        <w:rPr>
          <w:rFonts w:ascii="MetaBold" w:hAnsi="MetaBold"/>
          <w:noProof/>
          <w:sz w:val="30"/>
          <w:szCs w:val="30"/>
          <w:lang w:eastAsia="da-DK"/>
        </w:rPr>
      </w:pPr>
      <w:r w:rsidRPr="00816FC2">
        <w:br w:type="page"/>
      </w:r>
    </w:p>
    <w:p w:rsidR="009661DE" w:rsidRPr="00816FC2" w:rsidRDefault="00302667" w:rsidP="007B2E4E">
      <w:pPr>
        <w:pStyle w:val="Overskrift1"/>
      </w:pPr>
      <w:bookmarkStart w:id="30" w:name="_Toc332370510"/>
      <w:r w:rsidRPr="00816FC2">
        <w:lastRenderedPageBreak/>
        <w:t xml:space="preserve">Presentation of the </w:t>
      </w:r>
      <w:r w:rsidR="003C2417" w:rsidRPr="00816FC2">
        <w:t>Programme</w:t>
      </w:r>
      <w:bookmarkEnd w:id="30"/>
    </w:p>
    <w:p w:rsidR="00D573AA" w:rsidRPr="00816FC2" w:rsidRDefault="00D573AA" w:rsidP="00D573AA">
      <w:r w:rsidRPr="00816FC2">
        <w:t xml:space="preserve">This </w:t>
      </w:r>
      <w:r w:rsidR="00770D7A">
        <w:t>Section</w:t>
      </w:r>
      <w:r w:rsidRPr="00816FC2">
        <w:t xml:space="preserve"> provides an overview of the programme framework, including its justification</w:t>
      </w:r>
      <w:r w:rsidR="00857E80" w:rsidRPr="00816FC2">
        <w:t xml:space="preserve">, overall objective, theory of change, and an outline of each engagement area to be supported. For detailed aspects of the latter, </w:t>
      </w:r>
      <w:r w:rsidR="00857E80" w:rsidRPr="0009574B">
        <w:t xml:space="preserve">the individual PSEDs and project documents should be consulted. </w:t>
      </w:r>
      <w:r w:rsidR="0032077B" w:rsidRPr="0009574B">
        <w:t xml:space="preserve">A summary of the main results expected is to be found </w:t>
      </w:r>
      <w:r w:rsidR="00AC1D52" w:rsidRPr="0009574B">
        <w:t>in Annex</w:t>
      </w:r>
      <w:r w:rsidR="00DF5F44" w:rsidRPr="007F2463">
        <w:t xml:space="preserve"> </w:t>
      </w:r>
      <w:r w:rsidR="00623E87">
        <w:t>C</w:t>
      </w:r>
      <w:r w:rsidR="00DF5F44" w:rsidRPr="0009574B">
        <w:t xml:space="preserve"> and an overview of the inter-linkages between the contextual scenarios, theory of change, expected results, risks and response options is include</w:t>
      </w:r>
      <w:r w:rsidR="00AB5513" w:rsidRPr="0009574B">
        <w:t>d</w:t>
      </w:r>
      <w:r w:rsidR="00DF5F44" w:rsidRPr="0009574B">
        <w:t xml:space="preserve"> at Annex</w:t>
      </w:r>
      <w:r w:rsidR="00CB03CC" w:rsidRPr="0009574B">
        <w:t xml:space="preserve"> </w:t>
      </w:r>
      <w:r w:rsidR="00623E87">
        <w:t>B</w:t>
      </w:r>
      <w:r w:rsidR="00AC1D52" w:rsidRPr="0009574B">
        <w:t>.</w:t>
      </w:r>
    </w:p>
    <w:p w:rsidR="00302667" w:rsidRPr="00816FC2" w:rsidRDefault="00302667" w:rsidP="0080400C">
      <w:pPr>
        <w:pStyle w:val="Overskrift2"/>
      </w:pPr>
      <w:bookmarkStart w:id="31" w:name="_Toc332370511"/>
      <w:r w:rsidRPr="00816FC2">
        <w:t>Overview</w:t>
      </w:r>
      <w:bookmarkEnd w:id="31"/>
    </w:p>
    <w:p w:rsidR="0075505D" w:rsidRPr="00816FC2" w:rsidRDefault="0075505D" w:rsidP="0075505D">
      <w:r w:rsidRPr="00816FC2">
        <w:t>The overall programme design is illustrated in the diagram below.</w:t>
      </w:r>
    </w:p>
    <w:tbl>
      <w:tblPr>
        <w:tblW w:w="0" w:type="auto"/>
        <w:tblInd w:w="108" w:type="dxa"/>
        <w:tblLook w:val="04A0" w:firstRow="1" w:lastRow="0" w:firstColumn="1" w:lastColumn="0" w:noHBand="0" w:noVBand="1"/>
      </w:tblPr>
      <w:tblGrid>
        <w:gridCol w:w="9639"/>
      </w:tblGrid>
      <w:tr w:rsidR="0075505D" w:rsidRPr="0095114C" w:rsidTr="00DF276E">
        <w:trPr>
          <w:trHeight w:val="353"/>
        </w:trPr>
        <w:tc>
          <w:tcPr>
            <w:tcW w:w="9639" w:type="dxa"/>
            <w:tcBorders>
              <w:top w:val="single" w:sz="8" w:space="0" w:color="3E2C42"/>
              <w:left w:val="single" w:sz="12" w:space="0" w:color="5F497A" w:themeColor="accent4" w:themeShade="BF"/>
              <w:bottom w:val="single" w:sz="8" w:space="0" w:color="3E2C42"/>
              <w:right w:val="single" w:sz="8" w:space="0" w:color="3E2C42"/>
            </w:tcBorders>
            <w:shd w:val="clear" w:color="auto" w:fill="3E2C42"/>
          </w:tcPr>
          <w:p w:rsidR="0075505D" w:rsidRPr="00DF276E" w:rsidRDefault="0075505D" w:rsidP="009D1587">
            <w:pPr>
              <w:pStyle w:val="Overskrift4"/>
            </w:pPr>
            <w:r w:rsidRPr="009D1587">
              <w:t xml:space="preserve">Strategic </w:t>
            </w:r>
            <w:r w:rsidR="0095114C" w:rsidRPr="00B2369F">
              <w:t>O</w:t>
            </w:r>
            <w:r w:rsidRPr="00A853EB">
              <w:t>bjective</w:t>
            </w:r>
            <w:r w:rsidRPr="009D1587">
              <w:tab/>
            </w:r>
            <w:r w:rsidRPr="009D1587">
              <w:tab/>
            </w:r>
          </w:p>
        </w:tc>
      </w:tr>
      <w:tr w:rsidR="0075505D" w:rsidRPr="0095114C" w:rsidTr="00DF276E">
        <w:trPr>
          <w:trHeight w:val="1565"/>
        </w:trPr>
        <w:tc>
          <w:tcPr>
            <w:tcW w:w="9639" w:type="dxa"/>
            <w:tcBorders>
              <w:top w:val="single" w:sz="8" w:space="0" w:color="3E2C42"/>
              <w:left w:val="single" w:sz="8" w:space="0" w:color="3E2C42"/>
              <w:bottom w:val="single" w:sz="8" w:space="0" w:color="3E2C42"/>
              <w:right w:val="single" w:sz="8" w:space="0" w:color="3E2C42"/>
            </w:tcBorders>
            <w:shd w:val="clear" w:color="auto" w:fill="F2F2F2"/>
          </w:tcPr>
          <w:p w:rsidR="0075505D" w:rsidRPr="00DF276E" w:rsidRDefault="0075505D" w:rsidP="00DF276E">
            <w:pPr>
              <w:pStyle w:val="Tabeltekst"/>
              <w:jc w:val="both"/>
              <w:rPr>
                <w:iCs/>
                <w:szCs w:val="24"/>
              </w:rPr>
            </w:pPr>
            <w:r w:rsidRPr="00DF276E">
              <w:rPr>
                <w:iCs/>
                <w:szCs w:val="24"/>
              </w:rPr>
              <w:t xml:space="preserve">To </w:t>
            </w:r>
            <w:r w:rsidR="007322A3">
              <w:rPr>
                <w:iCs/>
                <w:szCs w:val="24"/>
              </w:rPr>
              <w:t xml:space="preserve">counter Da’esh and other extremist elements in Syria and Iraq and to </w:t>
            </w:r>
            <w:r w:rsidRPr="00DF276E">
              <w:rPr>
                <w:iCs/>
                <w:szCs w:val="24"/>
              </w:rPr>
              <w:t>promote an inclusive political resolution to the conflict in Syria and a more stable and inclusive Iraq</w:t>
            </w:r>
            <w:r w:rsidR="007322A3">
              <w:rPr>
                <w:iCs/>
                <w:szCs w:val="24"/>
              </w:rPr>
              <w:t>,</w:t>
            </w:r>
            <w:r w:rsidRPr="00DF276E">
              <w:rPr>
                <w:iCs/>
                <w:szCs w:val="24"/>
              </w:rPr>
              <w:t xml:space="preserve"> through meeting immediate stabilisation needs in both countries and offering support to moderate actors that provide an alternative to extremism in order to build more stable, democratic</w:t>
            </w:r>
            <w:r w:rsidR="00AC1D52" w:rsidRPr="00DF276E">
              <w:rPr>
                <w:iCs/>
                <w:szCs w:val="24"/>
              </w:rPr>
              <w:t xml:space="preserve"> and </w:t>
            </w:r>
            <w:r w:rsidRPr="00DF276E">
              <w:rPr>
                <w:iCs/>
                <w:szCs w:val="24"/>
              </w:rPr>
              <w:t>inclusive societies</w:t>
            </w:r>
            <w:r w:rsidRPr="00CD5F62">
              <w:rPr>
                <w:iCs/>
                <w:szCs w:val="24"/>
              </w:rPr>
              <w:t xml:space="preserve">. </w:t>
            </w:r>
          </w:p>
          <w:p w:rsidR="0075505D" w:rsidRPr="007F2463" w:rsidRDefault="0075505D" w:rsidP="00C50093">
            <w:pPr>
              <w:pStyle w:val="Tabeltekst"/>
              <w:rPr>
                <w:sz w:val="22"/>
                <w:szCs w:val="22"/>
              </w:rPr>
            </w:pPr>
            <w:r w:rsidRPr="00DF276E">
              <w:rPr>
                <w:i/>
                <w:iCs/>
                <w:szCs w:val="24"/>
              </w:rPr>
              <w:t>The programme complements Denmark’s existing military activities, enabling Denmark to contribute to the policy aims set out in UN Security Council resolutions and particularly track two (Stabilisation) of the Global Coalition’s strategy</w:t>
            </w:r>
            <w:r w:rsidR="00AB0789" w:rsidRPr="00DF276E">
              <w:rPr>
                <w:i/>
                <w:iCs/>
                <w:szCs w:val="24"/>
              </w:rPr>
              <w:t xml:space="preserve"> to counter Da’esh</w:t>
            </w:r>
            <w:r w:rsidRPr="00DF276E">
              <w:rPr>
                <w:i/>
                <w:iCs/>
                <w:szCs w:val="24"/>
              </w:rPr>
              <w:t>.</w:t>
            </w:r>
          </w:p>
        </w:tc>
      </w:tr>
    </w:tbl>
    <w:p w:rsidR="0075505D" w:rsidRPr="0095114C" w:rsidRDefault="00600EFB" w:rsidP="0075505D">
      <w:pPr>
        <w:rPr>
          <w:sz w:val="10"/>
          <w:szCs w:val="10"/>
        </w:rPr>
      </w:pPr>
      <w:r w:rsidRPr="00D72094">
        <w:rPr>
          <w:noProof/>
          <w:sz w:val="20"/>
          <w:szCs w:val="20"/>
          <w:lang w:val="da-DK" w:eastAsia="da-DK"/>
        </w:rPr>
        <mc:AlternateContent>
          <mc:Choice Requires="wps">
            <w:drawing>
              <wp:anchor distT="0" distB="0" distL="114300" distR="114300" simplePos="0" relativeHeight="251846144" behindDoc="0" locked="0" layoutInCell="1" allowOverlap="1" wp14:anchorId="261FB343" wp14:editId="292CDEF8">
                <wp:simplePos x="0" y="0"/>
                <wp:positionH relativeFrom="column">
                  <wp:posOffset>261851</wp:posOffset>
                </wp:positionH>
                <wp:positionV relativeFrom="paragraph">
                  <wp:posOffset>25342</wp:posOffset>
                </wp:positionV>
                <wp:extent cx="187036" cy="348096"/>
                <wp:effectExtent l="76200" t="38100" r="22860" b="33020"/>
                <wp:wrapNone/>
                <wp:docPr id="18" name="Connector: Elbow 18"/>
                <wp:cNvGraphicFramePr/>
                <a:graphic xmlns:a="http://schemas.openxmlformats.org/drawingml/2006/main">
                  <a:graphicData uri="http://schemas.microsoft.com/office/word/2010/wordprocessingShape">
                    <wps:wsp>
                      <wps:cNvCnPr/>
                      <wps:spPr>
                        <a:xfrm flipH="1" flipV="1">
                          <a:off x="0" y="0"/>
                          <a:ext cx="187036" cy="348096"/>
                        </a:xfrm>
                        <a:prstGeom prst="bentConnector3">
                          <a:avLst>
                            <a:gd name="adj1" fmla="val 100772"/>
                          </a:avLst>
                        </a:prstGeom>
                        <a:ln>
                          <a:solidFill>
                            <a:srgbClr val="3E2C4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C7C38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26" type="#_x0000_t34" style="position:absolute;margin-left:20.6pt;margin-top:2pt;width:14.75pt;height:27.4pt;flip:x 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" adj="21767" strokecolor="#3e2c42">
                <v:stroke endarrow="block"/>
              </v:shape>
            </w:pict>
          </mc:Fallback>
        </mc:AlternateContent>
      </w:r>
      <w:r w:rsidRPr="00D72094">
        <w:rPr>
          <w:noProof/>
          <w:sz w:val="20"/>
          <w:szCs w:val="20"/>
          <w:lang w:val="da-DK" w:eastAsia="da-DK"/>
        </w:rPr>
        <mc:AlternateContent>
          <mc:Choice Requires="wps">
            <w:drawing>
              <wp:anchor distT="0" distB="0" distL="114300" distR="114300" simplePos="0" relativeHeight="251842048" behindDoc="0" locked="0" layoutInCell="1" allowOverlap="1" wp14:anchorId="7A36BDCF" wp14:editId="211CB273">
                <wp:simplePos x="0" y="0"/>
                <wp:positionH relativeFrom="column">
                  <wp:posOffset>163137</wp:posOffset>
                </wp:positionH>
                <wp:positionV relativeFrom="paragraph">
                  <wp:posOffset>25341</wp:posOffset>
                </wp:positionV>
                <wp:extent cx="285750" cy="1345623"/>
                <wp:effectExtent l="76200" t="38100" r="19050" b="26035"/>
                <wp:wrapNone/>
                <wp:docPr id="16" name="Connector: Elbow 16"/>
                <wp:cNvGraphicFramePr/>
                <a:graphic xmlns:a="http://schemas.openxmlformats.org/drawingml/2006/main">
                  <a:graphicData uri="http://schemas.microsoft.com/office/word/2010/wordprocessingShape">
                    <wps:wsp>
                      <wps:cNvCnPr/>
                      <wps:spPr>
                        <a:xfrm flipH="1" flipV="1">
                          <a:off x="0" y="0"/>
                          <a:ext cx="285750" cy="1345623"/>
                        </a:xfrm>
                        <a:prstGeom prst="bentConnector3">
                          <a:avLst>
                            <a:gd name="adj1" fmla="val 100772"/>
                          </a:avLst>
                        </a:prstGeom>
                        <a:ln>
                          <a:solidFill>
                            <a:srgbClr val="3E2C4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E73B0" id="Connector: Elbow 16" o:spid="_x0000_s1026" type="#_x0000_t34" style="position:absolute;margin-left:12.85pt;margin-top:2pt;width:22.5pt;height:105.95pt;flip:x 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" adj="21767" strokecolor="#3e2c42">
                <v:stroke endarrow="block"/>
              </v:shape>
            </w:pict>
          </mc:Fallback>
        </mc:AlternateContent>
      </w:r>
      <w:r w:rsidRPr="00D72094">
        <w:rPr>
          <w:noProof/>
          <w:sz w:val="20"/>
          <w:szCs w:val="20"/>
          <w:lang w:val="da-DK" w:eastAsia="da-DK"/>
        </w:rPr>
        <mc:AlternateContent>
          <mc:Choice Requires="wps">
            <w:drawing>
              <wp:anchor distT="0" distB="0" distL="114300" distR="114300" simplePos="0" relativeHeight="251845120" behindDoc="0" locked="0" layoutInCell="1" allowOverlap="1" wp14:anchorId="66D1BCB6" wp14:editId="17417074">
                <wp:simplePos x="0" y="0"/>
                <wp:positionH relativeFrom="column">
                  <wp:posOffset>74814</wp:posOffset>
                </wp:positionH>
                <wp:positionV relativeFrom="paragraph">
                  <wp:posOffset>25342</wp:posOffset>
                </wp:positionV>
                <wp:extent cx="368358" cy="2321964"/>
                <wp:effectExtent l="76200" t="38100" r="12700" b="21590"/>
                <wp:wrapNone/>
                <wp:docPr id="17" name="Connector: Elbow 17"/>
                <wp:cNvGraphicFramePr/>
                <a:graphic xmlns:a="http://schemas.openxmlformats.org/drawingml/2006/main">
                  <a:graphicData uri="http://schemas.microsoft.com/office/word/2010/wordprocessingShape">
                    <wps:wsp>
                      <wps:cNvCnPr/>
                      <wps:spPr>
                        <a:xfrm flipH="1" flipV="1">
                          <a:off x="0" y="0"/>
                          <a:ext cx="368358" cy="2321964"/>
                        </a:xfrm>
                        <a:prstGeom prst="bentConnector3">
                          <a:avLst>
                            <a:gd name="adj1" fmla="val 100772"/>
                          </a:avLst>
                        </a:prstGeom>
                        <a:ln>
                          <a:solidFill>
                            <a:srgbClr val="3E2C4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0450E" id="Connector: Elbow 17" o:spid="_x0000_s1026" type="#_x0000_t34" style="position:absolute;margin-left:5.9pt;margin-top:2pt;width:29pt;height:182.85pt;flip:x 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" adj="21767" strokecolor="#3e2c42">
                <v:stroke endarrow="block"/>
              </v:shape>
            </w:pict>
          </mc:Fallback>
        </mc:AlternateContent>
      </w:r>
    </w:p>
    <w:tbl>
      <w:tblPr>
        <w:tblW w:w="8930" w:type="dxa"/>
        <w:tblInd w:w="8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8930"/>
      </w:tblGrid>
      <w:tr w:rsidR="0075505D" w:rsidRPr="0095114C" w:rsidTr="00D72094">
        <w:trPr>
          <w:trHeight w:val="339"/>
        </w:trPr>
        <w:tc>
          <w:tcPr>
            <w:tcW w:w="8930" w:type="dxa"/>
            <w:shd w:val="clear" w:color="auto" w:fill="3E2C42"/>
          </w:tcPr>
          <w:p w:rsidR="0075505D" w:rsidRPr="00D72094" w:rsidRDefault="0075505D" w:rsidP="009D2677">
            <w:pPr>
              <w:pStyle w:val="Overskrift4"/>
              <w:ind w:left="360" w:hanging="360"/>
            </w:pPr>
            <w:r w:rsidRPr="009D1587">
              <w:t>TP1:  Political Dialogue &amp; Peacebuilding</w:t>
            </w:r>
          </w:p>
        </w:tc>
      </w:tr>
      <w:tr w:rsidR="0075505D" w:rsidRPr="0095114C" w:rsidTr="00D72094">
        <w:trPr>
          <w:trHeight w:val="818"/>
        </w:trPr>
        <w:tc>
          <w:tcPr>
            <w:tcW w:w="8930" w:type="dxa"/>
            <w:shd w:val="clear" w:color="auto" w:fill="EBD9E2"/>
          </w:tcPr>
          <w:p w:rsidR="0075505D" w:rsidRPr="00D72094" w:rsidRDefault="00D72094" w:rsidP="00D72094">
            <w:pPr>
              <w:rPr>
                <w:szCs w:val="24"/>
              </w:rPr>
            </w:pPr>
            <w:r w:rsidRPr="00B8275B">
              <w:t>The coherence and quality of peace initiatives in Syria and reconciliation in Iraq are reinforced, thereby countering Da’esh and other extremist groups and promoting the role of moderate actors.</w:t>
            </w:r>
          </w:p>
        </w:tc>
      </w:tr>
      <w:tr w:rsidR="0075505D" w:rsidRPr="0095114C" w:rsidTr="00D72094">
        <w:tc>
          <w:tcPr>
            <w:tcW w:w="8930" w:type="dxa"/>
            <w:shd w:val="clear" w:color="auto" w:fill="auto"/>
          </w:tcPr>
          <w:p w:rsidR="0075505D" w:rsidRPr="00D72094" w:rsidRDefault="0075505D" w:rsidP="0075505D">
            <w:pPr>
              <w:pStyle w:val="Tabeloverskift"/>
              <w:rPr>
                <w:sz w:val="10"/>
                <w:szCs w:val="10"/>
              </w:rPr>
            </w:pPr>
          </w:p>
        </w:tc>
      </w:tr>
      <w:tr w:rsidR="0075505D" w:rsidRPr="0095114C" w:rsidTr="00D72094">
        <w:trPr>
          <w:trHeight w:val="309"/>
        </w:trPr>
        <w:tc>
          <w:tcPr>
            <w:tcW w:w="8930" w:type="dxa"/>
            <w:shd w:val="clear" w:color="auto" w:fill="3E2C42"/>
          </w:tcPr>
          <w:p w:rsidR="0075505D" w:rsidRPr="00D72094" w:rsidRDefault="0075505D" w:rsidP="009D2677">
            <w:pPr>
              <w:pStyle w:val="Overskrift4"/>
              <w:ind w:left="360" w:hanging="360"/>
            </w:pPr>
            <w:r w:rsidRPr="009D1587">
              <w:t>TP2: Resilience</w:t>
            </w:r>
            <w:r w:rsidR="001B7240">
              <w:t xml:space="preserve"> and Rapid Response</w:t>
            </w:r>
          </w:p>
        </w:tc>
      </w:tr>
      <w:tr w:rsidR="0075505D" w:rsidRPr="0095114C" w:rsidTr="00D72094">
        <w:trPr>
          <w:trHeight w:val="812"/>
        </w:trPr>
        <w:tc>
          <w:tcPr>
            <w:tcW w:w="8930" w:type="dxa"/>
            <w:shd w:val="clear" w:color="auto" w:fill="EBD9E2"/>
          </w:tcPr>
          <w:p w:rsidR="00F856E9" w:rsidRPr="00DF276E" w:rsidRDefault="00D72094" w:rsidP="00DF276E">
            <w:pPr>
              <w:rPr>
                <w:szCs w:val="24"/>
              </w:rPr>
            </w:pPr>
            <w:r w:rsidRPr="00B8275B">
              <w:t>Community resilience and return enhanced through improved access and provision of priority services in former Da’esh-held areas of Iraq and areas under moderate opposition control in Syria.</w:t>
            </w:r>
          </w:p>
        </w:tc>
      </w:tr>
      <w:tr w:rsidR="0075505D" w:rsidRPr="0095114C" w:rsidTr="00D72094">
        <w:tc>
          <w:tcPr>
            <w:tcW w:w="8930" w:type="dxa"/>
            <w:shd w:val="clear" w:color="auto" w:fill="auto"/>
          </w:tcPr>
          <w:p w:rsidR="0075505D" w:rsidRPr="00DF276E" w:rsidRDefault="0075505D" w:rsidP="0075505D">
            <w:pPr>
              <w:pStyle w:val="Tabeloverskift"/>
              <w:rPr>
                <w:sz w:val="10"/>
                <w:szCs w:val="10"/>
              </w:rPr>
            </w:pPr>
          </w:p>
        </w:tc>
      </w:tr>
      <w:tr w:rsidR="0075505D" w:rsidRPr="0095114C" w:rsidTr="00D72094">
        <w:trPr>
          <w:trHeight w:val="291"/>
        </w:trPr>
        <w:tc>
          <w:tcPr>
            <w:tcW w:w="8930" w:type="dxa"/>
            <w:shd w:val="clear" w:color="auto" w:fill="3E2C42"/>
          </w:tcPr>
          <w:p w:rsidR="0075505D" w:rsidRPr="00DF276E" w:rsidRDefault="0075505D" w:rsidP="009D2677">
            <w:pPr>
              <w:pStyle w:val="Overskrift4"/>
              <w:ind w:left="360" w:hanging="360"/>
            </w:pPr>
            <w:r w:rsidRPr="009D1587">
              <w:t>TP3: Commun</w:t>
            </w:r>
            <w:r w:rsidRPr="00B2369F">
              <w:t>ity S</w:t>
            </w:r>
            <w:r w:rsidR="001E5CBB" w:rsidRPr="00B2369F">
              <w:t>ecurity</w:t>
            </w:r>
            <w:r w:rsidRPr="00A853EB">
              <w:t xml:space="preserve"> and Governance</w:t>
            </w:r>
          </w:p>
        </w:tc>
      </w:tr>
      <w:tr w:rsidR="0075505D" w:rsidRPr="0095114C" w:rsidTr="00D72094">
        <w:trPr>
          <w:trHeight w:val="782"/>
        </w:trPr>
        <w:tc>
          <w:tcPr>
            <w:tcW w:w="8930" w:type="dxa"/>
            <w:shd w:val="clear" w:color="auto" w:fill="EBD9E2"/>
          </w:tcPr>
          <w:p w:rsidR="00F856E9" w:rsidRPr="00DF276E" w:rsidRDefault="00D72094" w:rsidP="00DF276E">
            <w:pPr>
              <w:rPr>
                <w:szCs w:val="24"/>
              </w:rPr>
            </w:pPr>
            <w:r w:rsidRPr="00B8275B">
              <w:t>Community security strengthened and inclusive governance promoted by moderate actors in Syria and the GoI in Iraq</w:t>
            </w:r>
            <w:r>
              <w:t>.</w:t>
            </w:r>
          </w:p>
        </w:tc>
      </w:tr>
    </w:tbl>
    <w:p w:rsidR="00B57E9A" w:rsidRPr="00816FC2" w:rsidRDefault="00A304F2" w:rsidP="0080400C">
      <w:pPr>
        <w:pStyle w:val="Overskrift2"/>
      </w:pPr>
      <w:bookmarkStart w:id="32" w:name="_Toc332370512"/>
      <w:r w:rsidRPr="00816FC2">
        <w:t>Theory of Ch</w:t>
      </w:r>
      <w:r w:rsidR="00602F4E" w:rsidRPr="00816FC2">
        <w:t>a</w:t>
      </w:r>
      <w:r w:rsidRPr="00816FC2">
        <w:t>nge</w:t>
      </w:r>
      <w:bookmarkEnd w:id="32"/>
    </w:p>
    <w:p w:rsidR="00602F4E" w:rsidRPr="00816FC2" w:rsidRDefault="00A304F2" w:rsidP="00214B4C">
      <w:r w:rsidRPr="00816FC2">
        <w:t>Th</w:t>
      </w:r>
      <w:r w:rsidR="00C768F1" w:rsidRPr="00816FC2">
        <w:t>e</w:t>
      </w:r>
      <w:r w:rsidRPr="00816FC2">
        <w:t xml:space="preserve"> programme</w:t>
      </w:r>
      <w:r w:rsidR="00C768F1" w:rsidRPr="00816FC2">
        <w:t xml:space="preserve"> draws from the volatile, most likely scenario as the basis for </w:t>
      </w:r>
      <w:r w:rsidR="00214B4C">
        <w:t xml:space="preserve">the </w:t>
      </w:r>
      <w:r w:rsidR="00C768F1" w:rsidRPr="00816FC2">
        <w:t xml:space="preserve">overall </w:t>
      </w:r>
      <w:r w:rsidR="0095114C">
        <w:t>t</w:t>
      </w:r>
      <w:r w:rsidR="00602F4E" w:rsidRPr="00816FC2">
        <w:t xml:space="preserve">heory of </w:t>
      </w:r>
      <w:r w:rsidR="0095114C">
        <w:t>c</w:t>
      </w:r>
      <w:r w:rsidR="00602F4E" w:rsidRPr="00816FC2">
        <w:t>hange</w:t>
      </w:r>
      <w:r w:rsidR="00214B4C">
        <w:t xml:space="preserve"> expressed below</w:t>
      </w:r>
      <w:r w:rsidR="0095114C">
        <w:t>:</w:t>
      </w:r>
    </w:p>
    <w:p w:rsidR="00207A3D" w:rsidRPr="00816FC2" w:rsidRDefault="00602F4E" w:rsidP="00D574EC">
      <w:pPr>
        <w:ind w:left="284"/>
      </w:pPr>
      <w:r w:rsidRPr="0095114C">
        <w:rPr>
          <w:b/>
          <w:bCs/>
          <w:i/>
          <w:iCs/>
        </w:rPr>
        <w:t>If</w:t>
      </w:r>
      <w:r w:rsidRPr="00816FC2">
        <w:t xml:space="preserve"> Denmark and </w:t>
      </w:r>
      <w:r w:rsidR="00207A3D" w:rsidRPr="00816FC2">
        <w:t xml:space="preserve">its </w:t>
      </w:r>
      <w:r w:rsidRPr="00816FC2">
        <w:t xml:space="preserve">partners support </w:t>
      </w:r>
      <w:r w:rsidR="00A50723" w:rsidRPr="00816FC2">
        <w:t xml:space="preserve">processes </w:t>
      </w:r>
      <w:r w:rsidR="006A5A69" w:rsidRPr="00816FC2">
        <w:t xml:space="preserve">that work towards sustainable </w:t>
      </w:r>
      <w:r w:rsidR="00286EC2" w:rsidRPr="00816FC2">
        <w:t xml:space="preserve">political settlements </w:t>
      </w:r>
      <w:r w:rsidR="00335427">
        <w:t xml:space="preserve">and transition </w:t>
      </w:r>
      <w:r w:rsidR="00286EC2" w:rsidRPr="00816FC2">
        <w:t xml:space="preserve">in </w:t>
      </w:r>
      <w:r w:rsidR="006A5A69" w:rsidRPr="00816FC2">
        <w:t>Syria and Iraq</w:t>
      </w:r>
      <w:r w:rsidR="00A50723" w:rsidRPr="00816FC2">
        <w:t xml:space="preserve"> and </w:t>
      </w:r>
      <w:r w:rsidR="0012087A" w:rsidRPr="00816FC2">
        <w:t xml:space="preserve">bolster </w:t>
      </w:r>
      <w:r w:rsidR="00A50723" w:rsidRPr="00816FC2">
        <w:t>moderate opposition</w:t>
      </w:r>
      <w:r w:rsidR="00B3580C">
        <w:t xml:space="preserve"> </w:t>
      </w:r>
      <w:r w:rsidR="00286EC2" w:rsidRPr="00816FC2">
        <w:t xml:space="preserve">voices </w:t>
      </w:r>
      <w:r w:rsidR="006A5A69" w:rsidRPr="00816FC2">
        <w:t>with</w:t>
      </w:r>
      <w:r w:rsidR="00A50723" w:rsidRPr="00816FC2">
        <w:t>in</w:t>
      </w:r>
      <w:r w:rsidR="006A5A69" w:rsidRPr="00816FC2">
        <w:t xml:space="preserve"> </w:t>
      </w:r>
      <w:r w:rsidR="00286EC2" w:rsidRPr="00816FC2">
        <w:t xml:space="preserve">Track I and Track II dialogue </w:t>
      </w:r>
      <w:r w:rsidR="00B3580C">
        <w:t xml:space="preserve">in Syria </w:t>
      </w:r>
      <w:r w:rsidR="0012087A" w:rsidRPr="00816FC2">
        <w:t>(input 1)</w:t>
      </w:r>
      <w:r w:rsidR="00D243D1" w:rsidRPr="00816FC2">
        <w:t>;</w:t>
      </w:r>
    </w:p>
    <w:p w:rsidR="00286EC2" w:rsidRPr="00816FC2" w:rsidRDefault="0095114C" w:rsidP="00D574EC">
      <w:pPr>
        <w:ind w:left="284"/>
      </w:pPr>
      <w:r>
        <w:rPr>
          <w:b/>
          <w:bCs/>
          <w:i/>
          <w:iCs/>
        </w:rPr>
        <w:t>a</w:t>
      </w:r>
      <w:r w:rsidR="0012087A" w:rsidRPr="0095114C">
        <w:rPr>
          <w:b/>
          <w:bCs/>
          <w:i/>
          <w:iCs/>
        </w:rPr>
        <w:t>nd i</w:t>
      </w:r>
      <w:r w:rsidR="00207A3D" w:rsidRPr="0095114C">
        <w:rPr>
          <w:b/>
          <w:bCs/>
          <w:i/>
          <w:iCs/>
        </w:rPr>
        <w:t>f</w:t>
      </w:r>
      <w:r w:rsidR="00207A3D" w:rsidRPr="00816FC2">
        <w:t xml:space="preserve"> Denmark and its partners support </w:t>
      </w:r>
      <w:r w:rsidR="00E0468C" w:rsidRPr="00816FC2">
        <w:t xml:space="preserve">resilience and </w:t>
      </w:r>
      <w:r w:rsidR="00286EC2" w:rsidRPr="00816FC2">
        <w:t>early recovery in Syria and Iraq by moderate acto</w:t>
      </w:r>
      <w:r w:rsidR="00E0468C" w:rsidRPr="00816FC2">
        <w:t>rs</w:t>
      </w:r>
      <w:r w:rsidR="006F23FC" w:rsidRPr="00816FC2">
        <w:t xml:space="preserve"> in Syria and the </w:t>
      </w:r>
      <w:r w:rsidR="00D243D1" w:rsidRPr="00816FC2">
        <w:t>G</w:t>
      </w:r>
      <w:r w:rsidR="006F23FC" w:rsidRPr="00816FC2">
        <w:t>overnment in Iraq</w:t>
      </w:r>
      <w:r w:rsidR="00E0468C" w:rsidRPr="00816FC2">
        <w:t xml:space="preserve"> (input 2);</w:t>
      </w:r>
    </w:p>
    <w:p w:rsidR="00207A3D" w:rsidRPr="00816FC2" w:rsidRDefault="0095114C" w:rsidP="00D574EC">
      <w:pPr>
        <w:ind w:left="284"/>
      </w:pPr>
      <w:r>
        <w:rPr>
          <w:b/>
          <w:bCs/>
          <w:i/>
          <w:iCs/>
        </w:rPr>
        <w:t>a</w:t>
      </w:r>
      <w:r w:rsidR="00286EC2" w:rsidRPr="0095114C">
        <w:rPr>
          <w:b/>
          <w:bCs/>
          <w:i/>
          <w:iCs/>
        </w:rPr>
        <w:t xml:space="preserve">nd if </w:t>
      </w:r>
      <w:r w:rsidR="00286EC2" w:rsidRPr="0095114C">
        <w:rPr>
          <w:bCs/>
        </w:rPr>
        <w:t>Denmark</w:t>
      </w:r>
      <w:r w:rsidR="00286EC2" w:rsidRPr="0095114C">
        <w:rPr>
          <w:b/>
          <w:bCs/>
        </w:rPr>
        <w:t xml:space="preserve"> </w:t>
      </w:r>
      <w:r w:rsidR="00286EC2" w:rsidRPr="00335427">
        <w:t>and its partners support</w:t>
      </w:r>
      <w:r w:rsidR="00E0468C" w:rsidRPr="00335427">
        <w:t xml:space="preserve"> </w:t>
      </w:r>
      <w:r w:rsidR="006F23FC" w:rsidRPr="00335427">
        <w:t>the improved</w:t>
      </w:r>
      <w:r w:rsidR="002E10B7">
        <w:t xml:space="preserve"> </w:t>
      </w:r>
      <w:r w:rsidR="006F23FC" w:rsidRPr="00335427">
        <w:t xml:space="preserve">provision of </w:t>
      </w:r>
      <w:r w:rsidR="00207A3D" w:rsidRPr="00335427">
        <w:t xml:space="preserve">community security </w:t>
      </w:r>
      <w:r w:rsidR="006F23FC" w:rsidRPr="00335427">
        <w:t xml:space="preserve">by the </w:t>
      </w:r>
      <w:r w:rsidR="00D72B3F">
        <w:t xml:space="preserve">moderate </w:t>
      </w:r>
      <w:r w:rsidR="006F23FC" w:rsidRPr="00335427">
        <w:t>opposition</w:t>
      </w:r>
      <w:r w:rsidR="00D72B3F">
        <w:t xml:space="preserve"> in Syria </w:t>
      </w:r>
      <w:r w:rsidR="006E3C57">
        <w:t xml:space="preserve">and by </w:t>
      </w:r>
      <w:r w:rsidR="00D72B3F">
        <w:t xml:space="preserve">the GoI and provincial governments </w:t>
      </w:r>
      <w:r w:rsidR="00770D7A">
        <w:t xml:space="preserve">in </w:t>
      </w:r>
      <w:r w:rsidR="00207A3D" w:rsidRPr="00335427">
        <w:t>Iraq</w:t>
      </w:r>
      <w:r w:rsidR="0012087A" w:rsidRPr="00335427">
        <w:t xml:space="preserve"> (input </w:t>
      </w:r>
      <w:r w:rsidR="00E0468C" w:rsidRPr="00335427">
        <w:t>3</w:t>
      </w:r>
      <w:r w:rsidR="0012087A" w:rsidRPr="00335427">
        <w:t>)</w:t>
      </w:r>
      <w:r w:rsidR="00207A3D" w:rsidRPr="00335427">
        <w:t>,</w:t>
      </w:r>
    </w:p>
    <w:p w:rsidR="0054159B" w:rsidRPr="00D574EC" w:rsidRDefault="0095114C" w:rsidP="00D574EC">
      <w:pPr>
        <w:ind w:left="284"/>
        <w:rPr>
          <w:b/>
          <w:bCs/>
        </w:rPr>
      </w:pPr>
      <w:r>
        <w:rPr>
          <w:b/>
          <w:bCs/>
          <w:i/>
          <w:iCs/>
        </w:rPr>
        <w:t>t</w:t>
      </w:r>
      <w:r w:rsidR="00207A3D" w:rsidRPr="00D574EC">
        <w:rPr>
          <w:b/>
          <w:bCs/>
          <w:i/>
          <w:iCs/>
        </w:rPr>
        <w:t>hen</w:t>
      </w:r>
      <w:r w:rsidR="004A4E94" w:rsidRPr="00D574EC">
        <w:rPr>
          <w:b/>
          <w:bCs/>
          <w:i/>
          <w:iCs/>
        </w:rPr>
        <w:t>:</w:t>
      </w:r>
      <w:r w:rsidR="00207A3D" w:rsidRPr="00D574EC">
        <w:rPr>
          <w:b/>
          <w:bCs/>
        </w:rPr>
        <w:t xml:space="preserve"> </w:t>
      </w:r>
    </w:p>
    <w:p w:rsidR="00E0468C" w:rsidRPr="00816FC2" w:rsidRDefault="0054159B" w:rsidP="00770D7A">
      <w:pPr>
        <w:pStyle w:val="Listeafsnit"/>
        <w:numPr>
          <w:ilvl w:val="0"/>
          <w:numId w:val="23"/>
        </w:numPr>
      </w:pPr>
      <w:r w:rsidRPr="00816FC2">
        <w:rPr>
          <w:bCs/>
        </w:rPr>
        <w:lastRenderedPageBreak/>
        <w:t>M</w:t>
      </w:r>
      <w:r w:rsidR="006F23FC" w:rsidRPr="00816FC2">
        <w:rPr>
          <w:bCs/>
        </w:rPr>
        <w:t xml:space="preserve">oderate </w:t>
      </w:r>
      <w:r w:rsidR="000A6011" w:rsidRPr="00816FC2">
        <w:rPr>
          <w:bCs/>
        </w:rPr>
        <w:t>Syria</w:t>
      </w:r>
      <w:r w:rsidR="006F23FC" w:rsidRPr="00816FC2">
        <w:rPr>
          <w:bCs/>
        </w:rPr>
        <w:t>n</w:t>
      </w:r>
      <w:r w:rsidR="006F23FC" w:rsidRPr="00816FC2">
        <w:t xml:space="preserve"> actors w</w:t>
      </w:r>
      <w:r w:rsidR="004A4E94" w:rsidRPr="00816FC2">
        <w:t>ill</w:t>
      </w:r>
      <w:r w:rsidR="006F23FC" w:rsidRPr="00816FC2">
        <w:t xml:space="preserve"> more tangibly contribute to stability, security and service provision in their communities, </w:t>
      </w:r>
      <w:r w:rsidR="00335427">
        <w:t xml:space="preserve">enhancing community resilience to Da’esh </w:t>
      </w:r>
      <w:r w:rsidR="00662F5B">
        <w:t xml:space="preserve">and other extremist </w:t>
      </w:r>
      <w:r w:rsidR="00335427">
        <w:t xml:space="preserve">elements, and </w:t>
      </w:r>
      <w:r w:rsidR="006F23FC" w:rsidRPr="00816FC2">
        <w:t xml:space="preserve">form a more credible </w:t>
      </w:r>
      <w:r w:rsidR="00335427">
        <w:t xml:space="preserve">player </w:t>
      </w:r>
      <w:r w:rsidR="006F23FC" w:rsidRPr="00816FC2">
        <w:t xml:space="preserve">in </w:t>
      </w:r>
      <w:r w:rsidR="00207A3D" w:rsidRPr="00816FC2">
        <w:t xml:space="preserve">peace </w:t>
      </w:r>
      <w:r w:rsidR="00335427">
        <w:t xml:space="preserve">and transition </w:t>
      </w:r>
      <w:r w:rsidR="00207A3D" w:rsidRPr="00816FC2">
        <w:t>process</w:t>
      </w:r>
      <w:r w:rsidR="006F23FC" w:rsidRPr="00816FC2">
        <w:t>es;</w:t>
      </w:r>
    </w:p>
    <w:p w:rsidR="00676980" w:rsidRPr="00816FC2" w:rsidRDefault="0034034F" w:rsidP="00770D7A">
      <w:pPr>
        <w:pStyle w:val="Listeafsnit"/>
        <w:numPr>
          <w:ilvl w:val="0"/>
          <w:numId w:val="23"/>
        </w:numPr>
      </w:pPr>
      <w:r w:rsidRPr="00816FC2">
        <w:rPr>
          <w:bCs/>
        </w:rPr>
        <w:t>T</w:t>
      </w:r>
      <w:r w:rsidR="00207A3D" w:rsidRPr="00816FC2">
        <w:rPr>
          <w:bCs/>
        </w:rPr>
        <w:t xml:space="preserve">he </w:t>
      </w:r>
      <w:r w:rsidRPr="00816FC2">
        <w:rPr>
          <w:bCs/>
        </w:rPr>
        <w:t>Iraqi</w:t>
      </w:r>
      <w:r w:rsidRPr="00816FC2">
        <w:t xml:space="preserve"> </w:t>
      </w:r>
      <w:r w:rsidR="00955AA5" w:rsidRPr="00816FC2">
        <w:t xml:space="preserve">Government </w:t>
      </w:r>
      <w:r w:rsidRPr="00816FC2">
        <w:t>w</w:t>
      </w:r>
      <w:r w:rsidR="004A4E94" w:rsidRPr="00816FC2">
        <w:t>ill</w:t>
      </w:r>
      <w:r w:rsidRPr="00816FC2">
        <w:t xml:space="preserve"> be supported in demonstrating a tangible contribution</w:t>
      </w:r>
      <w:r w:rsidR="0054159B" w:rsidRPr="00816FC2">
        <w:t xml:space="preserve"> to early recovery</w:t>
      </w:r>
      <w:r w:rsidRPr="00816FC2">
        <w:t xml:space="preserve"> </w:t>
      </w:r>
      <w:r w:rsidR="00D6072E">
        <w:t xml:space="preserve">in areas liberated from Da’esh </w:t>
      </w:r>
      <w:r w:rsidR="0054159B" w:rsidRPr="00816FC2">
        <w:t xml:space="preserve">and </w:t>
      </w:r>
      <w:r w:rsidR="00D6072E">
        <w:t xml:space="preserve">this will </w:t>
      </w:r>
      <w:r w:rsidR="0054159B" w:rsidRPr="00816FC2">
        <w:t>enhance its legitimacy</w:t>
      </w:r>
      <w:r w:rsidR="00770D7A">
        <w:t>, undermining the Da’esh narrative of being able to provide better security and services</w:t>
      </w:r>
      <w:r w:rsidR="00331B95" w:rsidRPr="00816FC2">
        <w:t>;</w:t>
      </w:r>
    </w:p>
    <w:p w:rsidR="00331B95" w:rsidRPr="00816FC2" w:rsidRDefault="00EE705A" w:rsidP="00D243D1">
      <w:pPr>
        <w:pStyle w:val="Listeafsnit"/>
        <w:numPr>
          <w:ilvl w:val="0"/>
          <w:numId w:val="23"/>
        </w:numPr>
      </w:pPr>
      <w:r w:rsidRPr="00816FC2">
        <w:t>And, i</w:t>
      </w:r>
      <w:r w:rsidR="00331B95" w:rsidRPr="00816FC2">
        <w:t xml:space="preserve">n both countries, tangible alternatives to extremism </w:t>
      </w:r>
      <w:r w:rsidR="002E3D36" w:rsidRPr="00816FC2">
        <w:t>and to the extremist narratives of Da’esh will be demonstrated</w:t>
      </w:r>
      <w:r w:rsidR="00335427">
        <w:t xml:space="preserve"> </w:t>
      </w:r>
      <w:r w:rsidR="00335427" w:rsidRPr="00816FC2">
        <w:t>(short-term changes</w:t>
      </w:r>
      <w:r w:rsidR="00335427">
        <w:t>)</w:t>
      </w:r>
      <w:r w:rsidR="002E3D36" w:rsidRPr="00816FC2">
        <w:t>,</w:t>
      </w:r>
    </w:p>
    <w:p w:rsidR="0012087A" w:rsidRPr="00816FC2" w:rsidRDefault="0095114C" w:rsidP="007F2463">
      <w:pPr>
        <w:ind w:left="284"/>
      </w:pPr>
      <w:r>
        <w:rPr>
          <w:b/>
          <w:bCs/>
          <w:i/>
          <w:iCs/>
        </w:rPr>
        <w:t>l</w:t>
      </w:r>
      <w:r w:rsidR="00676980" w:rsidRPr="0095114C">
        <w:rPr>
          <w:b/>
          <w:bCs/>
          <w:i/>
          <w:iCs/>
        </w:rPr>
        <w:t xml:space="preserve">eading to </w:t>
      </w:r>
      <w:r w:rsidR="00A2376A" w:rsidRPr="00816FC2">
        <w:t>greater</w:t>
      </w:r>
      <w:r w:rsidR="0012087A" w:rsidRPr="00816FC2">
        <w:t xml:space="preserve"> resilience to shocks</w:t>
      </w:r>
      <w:r w:rsidR="00335427">
        <w:t xml:space="preserve">, the </w:t>
      </w:r>
      <w:r w:rsidR="0034034F" w:rsidRPr="00816FC2">
        <w:t xml:space="preserve">enhanced legitimacy </w:t>
      </w:r>
      <w:r w:rsidR="00770D7A">
        <w:t xml:space="preserve">of </w:t>
      </w:r>
      <w:r w:rsidR="0034034F" w:rsidRPr="00816FC2">
        <w:t xml:space="preserve">moderate </w:t>
      </w:r>
      <w:r w:rsidR="00770D7A">
        <w:t xml:space="preserve">Syrian </w:t>
      </w:r>
      <w:r w:rsidR="0034034F" w:rsidRPr="00816FC2">
        <w:t xml:space="preserve">actors </w:t>
      </w:r>
      <w:r w:rsidR="00770D7A">
        <w:t xml:space="preserve">and the Government of Iraq, </w:t>
      </w:r>
      <w:r w:rsidR="0034034F" w:rsidRPr="00816FC2">
        <w:t xml:space="preserve">and </w:t>
      </w:r>
      <w:r w:rsidR="00770D7A">
        <w:t xml:space="preserve">bolstering </w:t>
      </w:r>
      <w:r w:rsidR="009E0CE3" w:rsidRPr="00816FC2">
        <w:t>local authorities</w:t>
      </w:r>
      <w:r w:rsidR="0034034F" w:rsidRPr="00816FC2">
        <w:t xml:space="preserve">’ ability </w:t>
      </w:r>
      <w:r w:rsidR="0012087A" w:rsidRPr="00816FC2">
        <w:t xml:space="preserve">to deliver tangible </w:t>
      </w:r>
      <w:r w:rsidR="0034034F" w:rsidRPr="00816FC2">
        <w:t xml:space="preserve">positive </w:t>
      </w:r>
      <w:r w:rsidR="0012087A" w:rsidRPr="00816FC2">
        <w:t>results</w:t>
      </w:r>
      <w:r w:rsidR="00770D7A">
        <w:t xml:space="preserve"> and </w:t>
      </w:r>
      <w:r w:rsidR="00EE705A" w:rsidRPr="00816FC2">
        <w:t xml:space="preserve"> concrete alternatives to extremism</w:t>
      </w:r>
      <w:r w:rsidR="000048F0">
        <w:t xml:space="preserve">, thereby </w:t>
      </w:r>
      <w:r w:rsidR="000E4E2F">
        <w:t xml:space="preserve">also </w:t>
      </w:r>
      <w:r w:rsidR="000048F0">
        <w:t>undermining Da’esh and other extremist narratives in Syria and Iraq</w:t>
      </w:r>
      <w:r w:rsidR="0012087A" w:rsidRPr="00816FC2">
        <w:t xml:space="preserve"> (mid-term changes); </w:t>
      </w:r>
    </w:p>
    <w:p w:rsidR="00A304F2" w:rsidRPr="00816FC2" w:rsidRDefault="0095114C" w:rsidP="007F2463">
      <w:pPr>
        <w:ind w:left="284"/>
      </w:pPr>
      <w:r>
        <w:rPr>
          <w:b/>
          <w:bCs/>
          <w:i/>
          <w:iCs/>
        </w:rPr>
        <w:t>and e</w:t>
      </w:r>
      <w:r w:rsidR="0012087A" w:rsidRPr="0095114C">
        <w:rPr>
          <w:b/>
          <w:bCs/>
          <w:i/>
          <w:iCs/>
        </w:rPr>
        <w:t xml:space="preserve">ventually contributing to </w:t>
      </w:r>
      <w:r w:rsidR="00602F4E" w:rsidRPr="00816FC2">
        <w:t xml:space="preserve">the </w:t>
      </w:r>
      <w:r w:rsidR="0034034F" w:rsidRPr="00816FC2">
        <w:t xml:space="preserve">return of </w:t>
      </w:r>
      <w:r w:rsidR="000E4E2F">
        <w:t xml:space="preserve">IDPs and </w:t>
      </w:r>
      <w:r w:rsidR="0034034F" w:rsidRPr="00816FC2">
        <w:t xml:space="preserve">refugees, the </w:t>
      </w:r>
      <w:r w:rsidR="00602F4E" w:rsidRPr="00816FC2">
        <w:t>resolution of conflicts in both countries and the promotion of more inclusive and resilient societies</w:t>
      </w:r>
      <w:r w:rsidR="0012087A" w:rsidRPr="00816FC2">
        <w:t xml:space="preserve"> (long-term changes)</w:t>
      </w:r>
      <w:r w:rsidR="00602F4E" w:rsidRPr="00816FC2">
        <w:t xml:space="preserve">.   </w:t>
      </w:r>
    </w:p>
    <w:p w:rsidR="007B71EA" w:rsidRPr="00816FC2" w:rsidRDefault="007B71EA" w:rsidP="007B71EA">
      <w:pPr>
        <w:pStyle w:val="Overskrift3"/>
      </w:pPr>
      <w:r w:rsidRPr="00816FC2">
        <w:t>Assumptions</w:t>
      </w:r>
    </w:p>
    <w:p w:rsidR="007B71EA" w:rsidRPr="00816FC2" w:rsidRDefault="00602F4E" w:rsidP="00335427">
      <w:r w:rsidRPr="00816FC2">
        <w:t xml:space="preserve">This theory is premised upon a number of </w:t>
      </w:r>
      <w:r w:rsidRPr="00816FC2">
        <w:rPr>
          <w:b/>
        </w:rPr>
        <w:t>assumptions</w:t>
      </w:r>
      <w:r w:rsidRPr="00816FC2">
        <w:t xml:space="preserve"> </w:t>
      </w:r>
      <w:r w:rsidR="007B71EA" w:rsidRPr="00816FC2">
        <w:t xml:space="preserve">which, if flawed, would necessitate a reassessment of parts of the programme (discussed in </w:t>
      </w:r>
      <w:r w:rsidR="00770D7A">
        <w:t>Section 4.5</w:t>
      </w:r>
      <w:r w:rsidR="007B71EA" w:rsidRPr="00816FC2">
        <w:t xml:space="preserve">, Risks). These assumptions include </w:t>
      </w:r>
      <w:r w:rsidRPr="00816FC2">
        <w:t xml:space="preserve">that the </w:t>
      </w:r>
      <w:r w:rsidR="000A6011" w:rsidRPr="00816FC2">
        <w:t xml:space="preserve">international community will continue to </w:t>
      </w:r>
      <w:r w:rsidR="000A6011" w:rsidRPr="00816FC2">
        <w:rPr>
          <w:b/>
          <w:bCs/>
        </w:rPr>
        <w:t>work towards a political resolution</w:t>
      </w:r>
      <w:r w:rsidR="000A6011" w:rsidRPr="00816FC2">
        <w:t xml:space="preserve"> of the Syrian conflict through the UN and the </w:t>
      </w:r>
      <w:r w:rsidR="00335427">
        <w:t xml:space="preserve">ISSG; that this  </w:t>
      </w:r>
      <w:r w:rsidR="007B71EA" w:rsidRPr="00816FC2">
        <w:t xml:space="preserve">process will not be derailed by </w:t>
      </w:r>
      <w:r w:rsidR="009B4C80">
        <w:t xml:space="preserve">a complete breakdown of the </w:t>
      </w:r>
      <w:r w:rsidR="007B71EA" w:rsidRPr="00816FC2">
        <w:t>CoH or actions of spoilers</w:t>
      </w:r>
      <w:r w:rsidR="00335427">
        <w:t xml:space="preserve">; that </w:t>
      </w:r>
      <w:r w:rsidR="007B71EA" w:rsidRPr="00816FC2">
        <w:t>civil society</w:t>
      </w:r>
      <w:r w:rsidR="00335427">
        <w:t>’s contribution</w:t>
      </w:r>
      <w:r w:rsidR="007B71EA" w:rsidRPr="00816FC2">
        <w:t xml:space="preserve"> will be welcomed and that civil society </w:t>
      </w:r>
      <w:r w:rsidR="00335427">
        <w:t xml:space="preserve">can </w:t>
      </w:r>
      <w:r w:rsidR="007B71EA" w:rsidRPr="00816FC2">
        <w:t>contribute constructively to these tracks by building bridges amongst the opposition.</w:t>
      </w:r>
    </w:p>
    <w:p w:rsidR="00484BE1" w:rsidRPr="00816FC2" w:rsidRDefault="007B71EA" w:rsidP="00335427">
      <w:r w:rsidRPr="00816FC2">
        <w:t xml:space="preserve">It is also assumed </w:t>
      </w:r>
      <w:r w:rsidR="000A6011" w:rsidRPr="00816FC2">
        <w:t>that</w:t>
      </w:r>
      <w:r w:rsidR="005F14E5" w:rsidRPr="00816FC2">
        <w:t xml:space="preserve"> the</w:t>
      </w:r>
      <w:r w:rsidR="000A6011" w:rsidRPr="00816FC2">
        <w:t xml:space="preserve"> </w:t>
      </w:r>
      <w:r w:rsidR="00602F4E" w:rsidRPr="00816FC2">
        <w:t xml:space="preserve">global Coalition will continue to </w:t>
      </w:r>
      <w:r w:rsidR="00602F4E" w:rsidRPr="00816FC2">
        <w:rPr>
          <w:b/>
          <w:bCs/>
        </w:rPr>
        <w:t>focus on military and civilian efforts</w:t>
      </w:r>
      <w:r w:rsidR="00602F4E" w:rsidRPr="00816FC2">
        <w:t xml:space="preserve"> to counter Da’esh and on stabilisation;</w:t>
      </w:r>
      <w:r w:rsidR="00A50723" w:rsidRPr="00816FC2">
        <w:t xml:space="preserve"> </w:t>
      </w:r>
      <w:r w:rsidR="00602F4E" w:rsidRPr="00816FC2">
        <w:t>that the UN will strengthe</w:t>
      </w:r>
      <w:r w:rsidR="000A6011" w:rsidRPr="00816FC2">
        <w:t>n its programme implementation in Iraq (</w:t>
      </w:r>
      <w:r w:rsidR="00335427">
        <w:t xml:space="preserve">and </w:t>
      </w:r>
      <w:r w:rsidR="000A6011" w:rsidRPr="00816FC2">
        <w:t xml:space="preserve">focus on accelerating its speed of delivery), </w:t>
      </w:r>
      <w:r w:rsidR="00602F4E" w:rsidRPr="00816FC2">
        <w:t xml:space="preserve">and </w:t>
      </w:r>
      <w:r w:rsidR="000A6011" w:rsidRPr="00816FC2">
        <w:t xml:space="preserve">is </w:t>
      </w:r>
      <w:r w:rsidR="00602F4E" w:rsidRPr="00816FC2">
        <w:t xml:space="preserve">able to secure sufficient levels of donor funding; </w:t>
      </w:r>
      <w:r w:rsidR="000A6011" w:rsidRPr="00816FC2">
        <w:t xml:space="preserve">that </w:t>
      </w:r>
      <w:r w:rsidR="00602F4E" w:rsidRPr="00816FC2">
        <w:t xml:space="preserve">progress towards better </w:t>
      </w:r>
      <w:r w:rsidR="00335427">
        <w:t xml:space="preserve">donor </w:t>
      </w:r>
      <w:r w:rsidR="000A6011" w:rsidRPr="00816FC2">
        <w:t>coordination in Syria and Iraq continues to be made</w:t>
      </w:r>
      <w:r w:rsidR="00602F4E" w:rsidRPr="00816FC2">
        <w:t xml:space="preserve">. </w:t>
      </w:r>
      <w:r w:rsidR="00154BD9" w:rsidRPr="00816FC2">
        <w:t>In Iraq, it is assumed that t</w:t>
      </w:r>
      <w:r w:rsidR="003248D3" w:rsidRPr="00816FC2">
        <w:t>here will be continued progress by Iraqi and Coalition forces against Da’esh leading to further liberated areas (including Mosul).</w:t>
      </w:r>
      <w:r w:rsidR="00154BD9" w:rsidRPr="00816FC2">
        <w:t xml:space="preserve"> </w:t>
      </w:r>
      <w:r w:rsidR="00484BE1" w:rsidRPr="00816FC2">
        <w:t>Iraqi stakeholders will continue to engage with international actors to enable a rapid and increasingly coherent civil stabilisation response.</w:t>
      </w:r>
    </w:p>
    <w:p w:rsidR="00584AF5" w:rsidRPr="00816FC2" w:rsidRDefault="00154BD9" w:rsidP="00335427">
      <w:r w:rsidRPr="00816FC2">
        <w:t xml:space="preserve">The programme </w:t>
      </w:r>
      <w:r w:rsidR="00335427">
        <w:t xml:space="preserve">also </w:t>
      </w:r>
      <w:r w:rsidRPr="00816FC2">
        <w:t xml:space="preserve">assumes </w:t>
      </w:r>
      <w:r w:rsidR="00335427">
        <w:t xml:space="preserve">that </w:t>
      </w:r>
      <w:r w:rsidR="00484BE1" w:rsidRPr="00816FC2">
        <w:rPr>
          <w:b/>
          <w:bCs/>
        </w:rPr>
        <w:t>ways and means to channel support to moderate opposition</w:t>
      </w:r>
      <w:r w:rsidR="00484BE1" w:rsidRPr="00816FC2">
        <w:t xml:space="preserve"> actors and non-partisan civil society inside Syria</w:t>
      </w:r>
      <w:r w:rsidR="00E47BD8" w:rsidRPr="00816FC2">
        <w:t xml:space="preserve"> </w:t>
      </w:r>
      <w:r w:rsidR="00335427">
        <w:t xml:space="preserve">are available, </w:t>
      </w:r>
      <w:r w:rsidR="00E47BD8" w:rsidRPr="00816FC2">
        <w:t>and that moderate o</w:t>
      </w:r>
      <w:r w:rsidR="00484BE1" w:rsidRPr="00816FC2">
        <w:t xml:space="preserve">pposition areas will continue to exist (scenarios 1 &amp; 2). Armed groups in Syria will </w:t>
      </w:r>
      <w:r w:rsidR="00335427">
        <w:t xml:space="preserve">not interfere in projects in a way that </w:t>
      </w:r>
      <w:r w:rsidR="00BC7AC9">
        <w:t>compromise</w:t>
      </w:r>
      <w:r w:rsidR="00335427">
        <w:t>s</w:t>
      </w:r>
      <w:r w:rsidR="00BC7AC9">
        <w:t xml:space="preserve"> activities</w:t>
      </w:r>
      <w:r w:rsidR="00484BE1" w:rsidRPr="00816FC2">
        <w:t xml:space="preserve">. </w:t>
      </w:r>
      <w:r w:rsidR="00E47BD8" w:rsidRPr="00816FC2">
        <w:t xml:space="preserve">In Iraq, it is assumed that the </w:t>
      </w:r>
      <w:r w:rsidR="00335427">
        <w:t xml:space="preserve">GoI </w:t>
      </w:r>
      <w:r w:rsidR="00584AF5" w:rsidRPr="00816FC2">
        <w:t xml:space="preserve">will be able </w:t>
      </w:r>
      <w:r w:rsidR="00335427">
        <w:t xml:space="preserve">control </w:t>
      </w:r>
      <w:r w:rsidR="00584AF5" w:rsidRPr="00816FC2">
        <w:t>sectarian violence, including in relation to Shia militias</w:t>
      </w:r>
      <w:r w:rsidR="00335427">
        <w:t xml:space="preserve"> and that it will </w:t>
      </w:r>
      <w:r w:rsidR="00484BE1" w:rsidRPr="00816FC2">
        <w:t xml:space="preserve">continue to </w:t>
      </w:r>
      <w:r w:rsidR="00335427">
        <w:t xml:space="preserve">implement </w:t>
      </w:r>
      <w:r w:rsidR="00484BE1" w:rsidRPr="00816FC2">
        <w:t>reform programmes, although progress will be modest</w:t>
      </w:r>
      <w:r w:rsidR="00335427">
        <w:t xml:space="preserve"> and h</w:t>
      </w:r>
      <w:r w:rsidR="00E43A17" w:rsidRPr="00816FC2">
        <w:t>igh-</w:t>
      </w:r>
      <w:r w:rsidR="00484BE1" w:rsidRPr="00816FC2">
        <w:t xml:space="preserve">level interventions will be necessary to break </w:t>
      </w:r>
      <w:r w:rsidR="00335427">
        <w:t xml:space="preserve">any </w:t>
      </w:r>
      <w:r w:rsidR="00484BE1" w:rsidRPr="00816FC2">
        <w:t>deadlocks.</w:t>
      </w:r>
    </w:p>
    <w:p w:rsidR="0049567A" w:rsidRPr="00816FC2" w:rsidRDefault="000B7FB1" w:rsidP="0049567A">
      <w:r w:rsidRPr="00816FC2">
        <w:t>S</w:t>
      </w:r>
      <w:r w:rsidR="00F46A58" w:rsidRPr="00816FC2">
        <w:t xml:space="preserve">takeholders </w:t>
      </w:r>
      <w:r w:rsidRPr="00816FC2">
        <w:t xml:space="preserve">in this </w:t>
      </w:r>
      <w:r w:rsidR="0049567A">
        <w:t>p</w:t>
      </w:r>
      <w:r w:rsidR="00F46A58" w:rsidRPr="00816FC2">
        <w:t xml:space="preserve">rogramme </w:t>
      </w:r>
      <w:r w:rsidRPr="00816FC2">
        <w:t xml:space="preserve">should </w:t>
      </w:r>
      <w:r w:rsidR="00F46A58" w:rsidRPr="00816FC2">
        <w:t>remain realistic about wh</w:t>
      </w:r>
      <w:r w:rsidR="00974524" w:rsidRPr="00816FC2">
        <w:t xml:space="preserve">at can be achieved in </w:t>
      </w:r>
      <w:r w:rsidR="007B18F2" w:rsidRPr="00816FC2">
        <w:t>these difficult environments</w:t>
      </w:r>
      <w:r w:rsidR="0049567A">
        <w:t xml:space="preserve"> </w:t>
      </w:r>
      <w:r w:rsidR="00CD03FF" w:rsidRPr="00816FC2">
        <w:t xml:space="preserve">and </w:t>
      </w:r>
      <w:r w:rsidR="00974524" w:rsidRPr="00816FC2">
        <w:t xml:space="preserve">embrace the need for </w:t>
      </w:r>
      <w:r w:rsidR="00CD03FF" w:rsidRPr="00816FC2">
        <w:t>flexibility</w:t>
      </w:r>
      <w:r w:rsidR="0049567A">
        <w:t xml:space="preserve"> over the three-year timeframe</w:t>
      </w:r>
      <w:r w:rsidR="00B57E9A" w:rsidRPr="00816FC2">
        <w:t xml:space="preserve">. </w:t>
      </w:r>
      <w:r w:rsidR="0049567A">
        <w:t xml:space="preserve">Attaining the </w:t>
      </w:r>
      <w:r w:rsidR="00974524" w:rsidRPr="00816FC2">
        <w:t xml:space="preserve">overall strategic </w:t>
      </w:r>
      <w:r w:rsidR="0049567A">
        <w:t xml:space="preserve">and individual TP </w:t>
      </w:r>
      <w:r w:rsidR="00974524" w:rsidRPr="00816FC2">
        <w:t>objective</w:t>
      </w:r>
      <w:r w:rsidR="0049567A">
        <w:t>s</w:t>
      </w:r>
      <w:r w:rsidR="00974524" w:rsidRPr="00816FC2">
        <w:t xml:space="preserve"> is contingent </w:t>
      </w:r>
      <w:r w:rsidR="0049567A">
        <w:t>up</w:t>
      </w:r>
      <w:r w:rsidR="00974524" w:rsidRPr="00816FC2">
        <w:t xml:space="preserve">on </w:t>
      </w:r>
      <w:r w:rsidR="0049567A">
        <w:t xml:space="preserve">the continued </w:t>
      </w:r>
      <w:r w:rsidR="00974524" w:rsidRPr="00816FC2">
        <w:t xml:space="preserve">coordinated contribution of like-minded governments </w:t>
      </w:r>
      <w:r w:rsidRPr="00816FC2">
        <w:t>and a number of broader contextual factors upon which the programme has limited control</w:t>
      </w:r>
      <w:r w:rsidR="00974524" w:rsidRPr="00816FC2">
        <w:t xml:space="preserve">. </w:t>
      </w:r>
      <w:r w:rsidRPr="00816FC2">
        <w:t xml:space="preserve">Such factors include </w:t>
      </w:r>
      <w:r w:rsidR="00974524" w:rsidRPr="00816FC2">
        <w:t xml:space="preserve">regime stability, regional involvement in Syria and Iraq, and developments associated with extremist groups active in the region. </w:t>
      </w:r>
    </w:p>
    <w:p w:rsidR="004F3430" w:rsidRDefault="0044040A" w:rsidP="004F3430">
      <w:pPr>
        <w:pStyle w:val="Overskrift2"/>
      </w:pPr>
      <w:bookmarkStart w:id="33" w:name="_Toc332370513"/>
      <w:r w:rsidRPr="00816FC2">
        <w:t>Programme Summary</w:t>
      </w:r>
      <w:bookmarkEnd w:id="33"/>
    </w:p>
    <w:p w:rsidR="003F4913" w:rsidRPr="00816FC2" w:rsidRDefault="004F3430" w:rsidP="004F3430">
      <w:r>
        <w:t>Th</w:t>
      </w:r>
      <w:bookmarkStart w:id="34" w:name="_Toc332370514"/>
      <w:bookmarkEnd w:id="34"/>
      <w:r w:rsidR="00F46A58" w:rsidRPr="00816FC2">
        <w:t xml:space="preserve">e </w:t>
      </w:r>
      <w:r w:rsidR="00046A5E" w:rsidRPr="00816FC2">
        <w:t>rationale behind each engagement’s</w:t>
      </w:r>
      <w:r w:rsidR="00F46A58" w:rsidRPr="00816FC2">
        <w:t xml:space="preserve"> inclusion in the programme is described </w:t>
      </w:r>
      <w:r w:rsidR="00770D7A">
        <w:t xml:space="preserve">below </w:t>
      </w:r>
      <w:r w:rsidR="00F46A58" w:rsidRPr="00816FC2">
        <w:t xml:space="preserve">under each </w:t>
      </w:r>
      <w:r w:rsidR="00543EA7">
        <w:t xml:space="preserve">thematic programme </w:t>
      </w:r>
      <w:r w:rsidR="00646214">
        <w:t xml:space="preserve">(TP) </w:t>
      </w:r>
      <w:r w:rsidR="006F47B8" w:rsidRPr="00816FC2">
        <w:t>description</w:t>
      </w:r>
      <w:r w:rsidR="00F46A58" w:rsidRPr="00816FC2">
        <w:t>.</w:t>
      </w:r>
      <w:r w:rsidR="0049567A" w:rsidRPr="00816FC2">
        <w:rPr>
          <w:rStyle w:val="Fodnotehenvisning"/>
        </w:rPr>
        <w:footnoteReference w:id="9"/>
      </w:r>
    </w:p>
    <w:p w:rsidR="00603CAA" w:rsidRPr="00816FC2" w:rsidRDefault="00603CAA" w:rsidP="00EB5A86">
      <w:pPr>
        <w:rPr>
          <w:i/>
        </w:rPr>
      </w:pPr>
      <w:r w:rsidRPr="00816FC2">
        <w:rPr>
          <w:i/>
        </w:rPr>
        <w:lastRenderedPageBreak/>
        <w:t xml:space="preserve">Table 1: </w:t>
      </w:r>
      <w:r w:rsidR="006E33A1" w:rsidRPr="00816FC2">
        <w:rPr>
          <w:i/>
        </w:rPr>
        <w:t>Programme summary</w:t>
      </w:r>
    </w:p>
    <w:tbl>
      <w:tblPr>
        <w:tblStyle w:val="Tabel-Gitter"/>
        <w:tblpPr w:leftFromText="141" w:rightFromText="141" w:vertAnchor="text" w:tblpY="1"/>
        <w:tblOverlap w:val="never"/>
        <w:tblW w:w="0" w:type="auto"/>
        <w:tblLook w:val="04A0" w:firstRow="1" w:lastRow="0" w:firstColumn="1" w:lastColumn="0" w:noHBand="0" w:noVBand="1"/>
      </w:tblPr>
      <w:tblGrid>
        <w:gridCol w:w="1526"/>
        <w:gridCol w:w="3969"/>
        <w:gridCol w:w="1984"/>
        <w:gridCol w:w="2256"/>
        <w:gridCol w:w="7"/>
      </w:tblGrid>
      <w:tr w:rsidR="006F2BF3" w:rsidRPr="00816FC2" w:rsidTr="0085095A">
        <w:tc>
          <w:tcPr>
            <w:tcW w:w="9742" w:type="dxa"/>
            <w:gridSpan w:val="5"/>
            <w:shd w:val="clear" w:color="auto" w:fill="3E2C42"/>
          </w:tcPr>
          <w:p w:rsidR="00EF2C77" w:rsidRPr="00816FC2" w:rsidRDefault="00EF2C77">
            <w:pPr>
              <w:rPr>
                <w:b/>
                <w:bCs/>
                <w:color w:val="FFFFFF" w:themeColor="background1"/>
                <w:sz w:val="22"/>
                <w:szCs w:val="22"/>
              </w:rPr>
            </w:pPr>
            <w:r w:rsidRPr="00816FC2">
              <w:rPr>
                <w:b/>
                <w:bCs/>
                <w:color w:val="FFFFFF" w:themeColor="background1"/>
                <w:sz w:val="22"/>
                <w:szCs w:val="22"/>
              </w:rPr>
              <w:t>Syria – Iraq Stabilisation Programme (2016 – 2018)</w:t>
            </w:r>
          </w:p>
        </w:tc>
      </w:tr>
      <w:tr w:rsidR="003A3D1D" w:rsidRPr="00816FC2" w:rsidTr="0085095A">
        <w:trPr>
          <w:gridAfter w:val="1"/>
          <w:wAfter w:w="7" w:type="dxa"/>
        </w:trPr>
        <w:tc>
          <w:tcPr>
            <w:tcW w:w="1526" w:type="dxa"/>
            <w:shd w:val="clear" w:color="auto" w:fill="EBD9E2"/>
          </w:tcPr>
          <w:p w:rsidR="00EF2C77" w:rsidRPr="00816FC2" w:rsidRDefault="00656E69">
            <w:pPr>
              <w:rPr>
                <w:sz w:val="20"/>
                <w:szCs w:val="20"/>
              </w:rPr>
            </w:pPr>
            <w:r w:rsidRPr="00816FC2">
              <w:rPr>
                <w:sz w:val="20"/>
                <w:szCs w:val="20"/>
              </w:rPr>
              <w:t>Engagement</w:t>
            </w:r>
          </w:p>
        </w:tc>
        <w:tc>
          <w:tcPr>
            <w:tcW w:w="3969" w:type="dxa"/>
            <w:shd w:val="clear" w:color="auto" w:fill="EBD9E2"/>
          </w:tcPr>
          <w:p w:rsidR="00EF2C77" w:rsidRPr="00816FC2" w:rsidRDefault="00656E69">
            <w:pPr>
              <w:rPr>
                <w:sz w:val="20"/>
                <w:szCs w:val="20"/>
              </w:rPr>
            </w:pPr>
            <w:r w:rsidRPr="00816FC2">
              <w:rPr>
                <w:sz w:val="20"/>
                <w:szCs w:val="20"/>
              </w:rPr>
              <w:t>Engagement outcome</w:t>
            </w:r>
          </w:p>
        </w:tc>
        <w:tc>
          <w:tcPr>
            <w:tcW w:w="1984" w:type="dxa"/>
            <w:shd w:val="clear" w:color="auto" w:fill="EBD9E2"/>
          </w:tcPr>
          <w:p w:rsidR="00EF2C77" w:rsidRPr="00816FC2" w:rsidRDefault="00646214">
            <w:pPr>
              <w:rPr>
                <w:sz w:val="20"/>
                <w:szCs w:val="20"/>
              </w:rPr>
            </w:pPr>
            <w:r>
              <w:rPr>
                <w:sz w:val="20"/>
                <w:szCs w:val="20"/>
              </w:rPr>
              <w:t xml:space="preserve">TP </w:t>
            </w:r>
            <w:r w:rsidR="00EF2C77" w:rsidRPr="00816FC2">
              <w:rPr>
                <w:sz w:val="20"/>
                <w:szCs w:val="20"/>
              </w:rPr>
              <w:t xml:space="preserve"> Outcome</w:t>
            </w:r>
          </w:p>
        </w:tc>
        <w:tc>
          <w:tcPr>
            <w:tcW w:w="2256" w:type="dxa"/>
            <w:shd w:val="clear" w:color="auto" w:fill="EBD9E2"/>
          </w:tcPr>
          <w:p w:rsidR="00EF2C77" w:rsidRPr="00816FC2" w:rsidRDefault="00EF2C77">
            <w:pPr>
              <w:rPr>
                <w:sz w:val="20"/>
                <w:szCs w:val="20"/>
              </w:rPr>
            </w:pPr>
            <w:r w:rsidRPr="00816FC2">
              <w:rPr>
                <w:sz w:val="20"/>
                <w:szCs w:val="20"/>
              </w:rPr>
              <w:t>Programme Impact</w:t>
            </w:r>
          </w:p>
        </w:tc>
      </w:tr>
      <w:tr w:rsidR="002648B9" w:rsidRPr="00816FC2" w:rsidTr="0085095A">
        <w:trPr>
          <w:gridAfter w:val="1"/>
          <w:wAfter w:w="7" w:type="dxa"/>
        </w:trPr>
        <w:tc>
          <w:tcPr>
            <w:tcW w:w="7479" w:type="dxa"/>
            <w:gridSpan w:val="3"/>
            <w:shd w:val="clear" w:color="auto" w:fill="F2F2F2"/>
            <w:vAlign w:val="center"/>
          </w:tcPr>
          <w:p w:rsidR="002648B9" w:rsidRPr="00816FC2" w:rsidRDefault="002648B9">
            <w:pPr>
              <w:rPr>
                <w:sz w:val="20"/>
                <w:szCs w:val="20"/>
              </w:rPr>
            </w:pPr>
            <w:r w:rsidRPr="00816FC2">
              <w:rPr>
                <w:sz w:val="20"/>
                <w:szCs w:val="20"/>
              </w:rPr>
              <w:t>TP1, Political Dialogue and Peacebuilding</w:t>
            </w:r>
          </w:p>
        </w:tc>
        <w:tc>
          <w:tcPr>
            <w:tcW w:w="2256" w:type="dxa"/>
            <w:vMerge w:val="restart"/>
            <w:shd w:val="clear" w:color="auto" w:fill="EBD9E2"/>
            <w:vAlign w:val="center"/>
          </w:tcPr>
          <w:p w:rsidR="00590D11" w:rsidRPr="007F2463" w:rsidRDefault="00590D11" w:rsidP="00590D11">
            <w:pPr>
              <w:pStyle w:val="Tabeltekst"/>
              <w:jc w:val="both"/>
              <w:rPr>
                <w:i/>
                <w:iCs/>
                <w:sz w:val="20"/>
                <w:szCs w:val="20"/>
              </w:rPr>
            </w:pPr>
            <w:r w:rsidRPr="007F2463">
              <w:rPr>
                <w:i/>
                <w:iCs/>
                <w:sz w:val="20"/>
                <w:szCs w:val="20"/>
              </w:rPr>
              <w:t xml:space="preserve">To counter Da’esh and other extremist elements in Syria and Iraq and to promote an inclusive political resolution to the conflict in Syria and a more stable and inclusive Iraq, through meeting immediate stabilisation needs in both countries and offering support to moderate actors that provide an alternative to extremism in order to build more stable, democratic and inclusive societies. </w:t>
            </w:r>
          </w:p>
          <w:p w:rsidR="002648B9" w:rsidRPr="00816FC2" w:rsidRDefault="002648B9">
            <w:pPr>
              <w:pStyle w:val="Tabeltekst"/>
              <w:jc w:val="center"/>
              <w:rPr>
                <w:i/>
                <w:iCs/>
                <w:sz w:val="22"/>
                <w:szCs w:val="22"/>
              </w:rPr>
            </w:pPr>
          </w:p>
        </w:tc>
      </w:tr>
      <w:tr w:rsidR="002648B9" w:rsidRPr="00816FC2" w:rsidTr="00F93317">
        <w:trPr>
          <w:gridAfter w:val="1"/>
          <w:wAfter w:w="7" w:type="dxa"/>
        </w:trPr>
        <w:tc>
          <w:tcPr>
            <w:tcW w:w="1526" w:type="dxa"/>
            <w:shd w:val="clear" w:color="auto" w:fill="EBD9E2"/>
          </w:tcPr>
          <w:p w:rsidR="002648B9" w:rsidRPr="00816FC2" w:rsidRDefault="002648B9">
            <w:pPr>
              <w:rPr>
                <w:sz w:val="20"/>
                <w:szCs w:val="20"/>
              </w:rPr>
            </w:pPr>
            <w:r w:rsidRPr="00816FC2">
              <w:rPr>
                <w:sz w:val="20"/>
                <w:szCs w:val="20"/>
              </w:rPr>
              <w:t>Track I (UNDPA), Syria</w:t>
            </w:r>
          </w:p>
        </w:tc>
        <w:tc>
          <w:tcPr>
            <w:tcW w:w="3969" w:type="dxa"/>
          </w:tcPr>
          <w:p w:rsidR="002648B9" w:rsidRPr="00816FC2" w:rsidRDefault="002648B9" w:rsidP="00F70367">
            <w:pPr>
              <w:rPr>
                <w:sz w:val="20"/>
                <w:szCs w:val="20"/>
              </w:rPr>
            </w:pPr>
            <w:r w:rsidRPr="00816FC2">
              <w:rPr>
                <w:sz w:val="20"/>
                <w:szCs w:val="20"/>
              </w:rPr>
              <w:t>The UN-brokered efforts to establish a credible process of negotiation of a peaceful political settlement to the Syria crisis</w:t>
            </w:r>
            <w:r w:rsidR="00FC0889">
              <w:rPr>
                <w:sz w:val="20"/>
                <w:szCs w:val="20"/>
              </w:rPr>
              <w:t xml:space="preserve"> are maintained.</w:t>
            </w:r>
          </w:p>
        </w:tc>
        <w:tc>
          <w:tcPr>
            <w:tcW w:w="1984" w:type="dxa"/>
            <w:vMerge w:val="restart"/>
          </w:tcPr>
          <w:p w:rsidR="00D574EC" w:rsidRPr="0085095A" w:rsidRDefault="00D574EC" w:rsidP="00D574EC">
            <w:pPr>
              <w:rPr>
                <w:sz w:val="20"/>
                <w:szCs w:val="20"/>
              </w:rPr>
            </w:pPr>
            <w:r w:rsidRPr="0085095A">
              <w:rPr>
                <w:sz w:val="20"/>
                <w:szCs w:val="20"/>
              </w:rPr>
              <w:t>The coherence</w:t>
            </w:r>
            <w:r w:rsidRPr="00B8275B">
              <w:t xml:space="preserve"> </w:t>
            </w:r>
            <w:r w:rsidRPr="0085095A">
              <w:rPr>
                <w:sz w:val="20"/>
                <w:szCs w:val="20"/>
              </w:rPr>
              <w:t>and quality of peace initiatives in Syria and reconciliation in Iraq are reinforced, thereby countering Da’esh and other extremist groups and promoting the role of moderate actors.</w:t>
            </w:r>
          </w:p>
          <w:p w:rsidR="002648B9" w:rsidRPr="00816FC2" w:rsidRDefault="002648B9">
            <w:pPr>
              <w:pStyle w:val="Tabeltekst"/>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Pr>
        <w:tc>
          <w:tcPr>
            <w:tcW w:w="1526" w:type="dxa"/>
            <w:shd w:val="clear" w:color="auto" w:fill="EBD9E2"/>
          </w:tcPr>
          <w:p w:rsidR="002648B9" w:rsidRPr="00816FC2" w:rsidRDefault="002648B9">
            <w:pPr>
              <w:rPr>
                <w:sz w:val="20"/>
                <w:szCs w:val="20"/>
              </w:rPr>
            </w:pPr>
            <w:r w:rsidRPr="00816FC2">
              <w:rPr>
                <w:sz w:val="20"/>
                <w:szCs w:val="20"/>
              </w:rPr>
              <w:t>The Day After, Syria</w:t>
            </w:r>
          </w:p>
        </w:tc>
        <w:tc>
          <w:tcPr>
            <w:tcW w:w="3969" w:type="dxa"/>
          </w:tcPr>
          <w:p w:rsidR="002648B9" w:rsidRPr="00130096" w:rsidRDefault="005F507E">
            <w:pPr>
              <w:rPr>
                <w:sz w:val="20"/>
                <w:szCs w:val="20"/>
              </w:rPr>
            </w:pPr>
            <w:r w:rsidRPr="0085095A">
              <w:rPr>
                <w:sz w:val="20"/>
                <w:szCs w:val="20"/>
              </w:rPr>
              <w:t>Civil society actors are more representative, better coordinated, and able to bring to discussions cohesive, evidence based, widely supported recommendations, with an eye on a future transition</w:t>
            </w:r>
            <w:r w:rsidR="004F3430">
              <w:rPr>
                <w:sz w:val="20"/>
                <w:szCs w:val="20"/>
              </w:rPr>
              <w:t>.</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4F3430">
        <w:trPr>
          <w:gridAfter w:val="1"/>
          <w:wAfter w:w="7" w:type="dxa"/>
          <w:trHeight w:val="1091"/>
        </w:trPr>
        <w:tc>
          <w:tcPr>
            <w:tcW w:w="1526" w:type="dxa"/>
            <w:shd w:val="clear" w:color="auto" w:fill="EBD9E2"/>
          </w:tcPr>
          <w:p w:rsidR="002648B9" w:rsidRPr="00816FC2" w:rsidRDefault="002648B9">
            <w:pPr>
              <w:rPr>
                <w:sz w:val="20"/>
                <w:szCs w:val="20"/>
              </w:rPr>
            </w:pPr>
            <w:r w:rsidRPr="00816FC2">
              <w:rPr>
                <w:sz w:val="20"/>
                <w:szCs w:val="20"/>
              </w:rPr>
              <w:t>Baytna Civil Society Centr</w:t>
            </w:r>
            <w:r w:rsidR="001715B5" w:rsidRPr="00816FC2">
              <w:rPr>
                <w:sz w:val="20"/>
                <w:szCs w:val="20"/>
              </w:rPr>
              <w:t>e</w:t>
            </w:r>
            <w:r w:rsidRPr="00816FC2">
              <w:rPr>
                <w:sz w:val="20"/>
                <w:szCs w:val="20"/>
              </w:rPr>
              <w:t>, Syria</w:t>
            </w:r>
          </w:p>
        </w:tc>
        <w:tc>
          <w:tcPr>
            <w:tcW w:w="3969" w:type="dxa"/>
          </w:tcPr>
          <w:p w:rsidR="002648B9" w:rsidRPr="00FC0889" w:rsidRDefault="00FC0889">
            <w:pPr>
              <w:rPr>
                <w:sz w:val="20"/>
                <w:szCs w:val="20"/>
              </w:rPr>
            </w:pPr>
            <w:r w:rsidRPr="007F2463">
              <w:rPr>
                <w:rFonts w:eastAsia="Times New Roman" w:cs="Times New Roman"/>
                <w:sz w:val="20"/>
                <w:szCs w:val="20"/>
              </w:rPr>
              <w:t>Civil society supported by Baytna acts as a force for democratic change, inclusive peace and security, supporting and transitional justice and promoting respect for human rights and civil liberties</w:t>
            </w:r>
            <w:r w:rsidR="004F3430">
              <w:rPr>
                <w:rFonts w:eastAsia="Times New Roman" w:cs="Times New Roman"/>
                <w:sz w:val="20"/>
                <w:szCs w:val="20"/>
              </w:rPr>
              <w:t>.</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85095A">
        <w:trPr>
          <w:gridAfter w:val="1"/>
          <w:wAfter w:w="7" w:type="dxa"/>
        </w:trPr>
        <w:tc>
          <w:tcPr>
            <w:tcW w:w="7479" w:type="dxa"/>
            <w:gridSpan w:val="3"/>
            <w:shd w:val="clear" w:color="auto" w:fill="F2F2F2"/>
          </w:tcPr>
          <w:p w:rsidR="002648B9" w:rsidRPr="00816FC2" w:rsidRDefault="002648B9" w:rsidP="00134C59">
            <w:pPr>
              <w:rPr>
                <w:sz w:val="20"/>
                <w:szCs w:val="20"/>
              </w:rPr>
            </w:pPr>
            <w:r w:rsidRPr="00816FC2">
              <w:rPr>
                <w:sz w:val="20"/>
                <w:szCs w:val="20"/>
              </w:rPr>
              <w:t xml:space="preserve">TP2, Resilience and </w:t>
            </w:r>
            <w:r w:rsidR="00134C59">
              <w:rPr>
                <w:sz w:val="20"/>
                <w:szCs w:val="20"/>
              </w:rPr>
              <w:t>R</w:t>
            </w:r>
            <w:r w:rsidR="0074087D">
              <w:rPr>
                <w:sz w:val="20"/>
                <w:szCs w:val="20"/>
              </w:rPr>
              <w:t>apid Response</w:t>
            </w: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Pr>
        <w:tc>
          <w:tcPr>
            <w:tcW w:w="1526" w:type="dxa"/>
            <w:shd w:val="clear" w:color="auto" w:fill="EBD9E2"/>
          </w:tcPr>
          <w:p w:rsidR="002648B9" w:rsidRPr="00816FC2" w:rsidRDefault="002648B9">
            <w:pPr>
              <w:rPr>
                <w:sz w:val="20"/>
                <w:szCs w:val="20"/>
              </w:rPr>
            </w:pPr>
            <w:r w:rsidRPr="00816FC2">
              <w:rPr>
                <w:sz w:val="20"/>
                <w:szCs w:val="20"/>
              </w:rPr>
              <w:t>Syria Reconstruction Trust Fund (SRTF)</w:t>
            </w:r>
          </w:p>
        </w:tc>
        <w:tc>
          <w:tcPr>
            <w:tcW w:w="3969" w:type="dxa"/>
          </w:tcPr>
          <w:p w:rsidR="002648B9" w:rsidRPr="00816FC2" w:rsidRDefault="001E62A4">
            <w:pPr>
              <w:rPr>
                <w:sz w:val="20"/>
                <w:szCs w:val="20"/>
              </w:rPr>
            </w:pPr>
            <w:r>
              <w:rPr>
                <w:sz w:val="20"/>
                <w:szCs w:val="20"/>
              </w:rPr>
              <w:t>C</w:t>
            </w:r>
            <w:r w:rsidR="002648B9" w:rsidRPr="00816FC2">
              <w:rPr>
                <w:sz w:val="20"/>
                <w:szCs w:val="20"/>
              </w:rPr>
              <w:t xml:space="preserve">ritical infrastructure rehabilitation </w:t>
            </w:r>
            <w:r>
              <w:rPr>
                <w:sz w:val="20"/>
                <w:szCs w:val="20"/>
              </w:rPr>
              <w:t xml:space="preserve">provided </w:t>
            </w:r>
            <w:r w:rsidR="002648B9" w:rsidRPr="00816FC2">
              <w:rPr>
                <w:sz w:val="20"/>
                <w:szCs w:val="20"/>
              </w:rPr>
              <w:t>in opposition-held areas of Syria.</w:t>
            </w:r>
          </w:p>
        </w:tc>
        <w:tc>
          <w:tcPr>
            <w:tcW w:w="1984" w:type="dxa"/>
            <w:vMerge w:val="restart"/>
          </w:tcPr>
          <w:p w:rsidR="00D574EC" w:rsidRPr="0085095A" w:rsidRDefault="00D574EC" w:rsidP="00D574EC">
            <w:pPr>
              <w:rPr>
                <w:sz w:val="20"/>
                <w:szCs w:val="20"/>
              </w:rPr>
            </w:pPr>
            <w:r w:rsidRPr="0085095A">
              <w:rPr>
                <w:sz w:val="20"/>
                <w:szCs w:val="20"/>
              </w:rPr>
              <w:t>Community resilience and return enhanced through improved access and provision of priority services in former Da’esh-held areas of Iraq and areas under moderate opposition control in Syria.</w:t>
            </w:r>
          </w:p>
          <w:p w:rsidR="002648B9" w:rsidRPr="00816FC2" w:rsidRDefault="002648B9">
            <w:pPr>
              <w:pStyle w:val="Tabeltekst"/>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Height w:val="620"/>
        </w:trPr>
        <w:tc>
          <w:tcPr>
            <w:tcW w:w="1526" w:type="dxa"/>
            <w:shd w:val="clear" w:color="auto" w:fill="EBD9E2"/>
          </w:tcPr>
          <w:p w:rsidR="002648B9" w:rsidRPr="00816FC2" w:rsidRDefault="002648B9">
            <w:pPr>
              <w:rPr>
                <w:sz w:val="20"/>
                <w:szCs w:val="20"/>
              </w:rPr>
            </w:pPr>
            <w:r w:rsidRPr="00816FC2">
              <w:rPr>
                <w:sz w:val="20"/>
                <w:szCs w:val="20"/>
              </w:rPr>
              <w:t>Mine Action implemented by UNMAS, Iraq</w:t>
            </w:r>
          </w:p>
        </w:tc>
        <w:tc>
          <w:tcPr>
            <w:tcW w:w="3969" w:type="dxa"/>
          </w:tcPr>
          <w:p w:rsidR="002648B9" w:rsidRPr="00130096" w:rsidRDefault="001E62A4">
            <w:pPr>
              <w:rPr>
                <w:sz w:val="20"/>
                <w:szCs w:val="20"/>
              </w:rPr>
            </w:pPr>
            <w:r w:rsidRPr="0085095A">
              <w:rPr>
                <w:sz w:val="20"/>
                <w:szCs w:val="20"/>
              </w:rPr>
              <w:t>A nationally led response to threat of explosive hazards operates efficiently and effectively</w:t>
            </w:r>
            <w:r w:rsidR="004F3430">
              <w:rPr>
                <w:sz w:val="20"/>
                <w:szCs w:val="20"/>
              </w:rPr>
              <w:t>.</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Height w:val="619"/>
        </w:trPr>
        <w:tc>
          <w:tcPr>
            <w:tcW w:w="1526" w:type="dxa"/>
            <w:shd w:val="clear" w:color="auto" w:fill="EBD9E2"/>
          </w:tcPr>
          <w:p w:rsidR="002648B9" w:rsidRPr="00816FC2" w:rsidRDefault="002648B9">
            <w:pPr>
              <w:rPr>
                <w:sz w:val="20"/>
                <w:szCs w:val="20"/>
              </w:rPr>
            </w:pPr>
            <w:r w:rsidRPr="00816FC2">
              <w:rPr>
                <w:sz w:val="20"/>
                <w:szCs w:val="20"/>
              </w:rPr>
              <w:t>Demining implemented by US State Dept</w:t>
            </w:r>
            <w:r w:rsidR="00E006B8">
              <w:rPr>
                <w:sz w:val="20"/>
                <w:szCs w:val="20"/>
              </w:rPr>
              <w:t>.</w:t>
            </w:r>
            <w:r w:rsidRPr="00816FC2">
              <w:rPr>
                <w:sz w:val="20"/>
                <w:szCs w:val="20"/>
              </w:rPr>
              <w:t>, Iraq</w:t>
            </w:r>
          </w:p>
        </w:tc>
        <w:tc>
          <w:tcPr>
            <w:tcW w:w="3969" w:type="dxa"/>
          </w:tcPr>
          <w:p w:rsidR="002648B9" w:rsidRPr="00130096" w:rsidRDefault="001E62A4" w:rsidP="00134C59">
            <w:pPr>
              <w:rPr>
                <w:sz w:val="20"/>
                <w:szCs w:val="20"/>
              </w:rPr>
            </w:pPr>
            <w:r w:rsidRPr="007F2463">
              <w:rPr>
                <w:sz w:val="20"/>
                <w:szCs w:val="20"/>
              </w:rPr>
              <w:t>Response to the threat of unexploded ordnance, including from improvised explosive devices, in Iraq strengthened thereby enhancing community safety and helping to facilitate the return of displaced people to their homes.</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Pr>
        <w:tc>
          <w:tcPr>
            <w:tcW w:w="1526" w:type="dxa"/>
            <w:shd w:val="clear" w:color="auto" w:fill="EBD9E2"/>
          </w:tcPr>
          <w:p w:rsidR="002648B9" w:rsidRPr="00816FC2" w:rsidRDefault="002648B9">
            <w:pPr>
              <w:rPr>
                <w:sz w:val="20"/>
                <w:szCs w:val="20"/>
              </w:rPr>
            </w:pPr>
            <w:r w:rsidRPr="00816FC2">
              <w:rPr>
                <w:sz w:val="20"/>
                <w:szCs w:val="20"/>
              </w:rPr>
              <w:t>UNDP Funding Facility for Immediate Stabilization, Iraq</w:t>
            </w:r>
          </w:p>
        </w:tc>
        <w:tc>
          <w:tcPr>
            <w:tcW w:w="3969" w:type="dxa"/>
          </w:tcPr>
          <w:p w:rsidR="002648B9" w:rsidRPr="00816FC2" w:rsidRDefault="002648B9">
            <w:pPr>
              <w:rPr>
                <w:sz w:val="20"/>
                <w:szCs w:val="20"/>
              </w:rPr>
            </w:pPr>
            <w:r w:rsidRPr="00816FC2">
              <w:rPr>
                <w:sz w:val="20"/>
                <w:szCs w:val="20"/>
              </w:rPr>
              <w:t>Conditions improved for the safe return of internally displaced persons in newly liberated areas</w:t>
            </w:r>
            <w:r w:rsidR="004F3430">
              <w:rPr>
                <w:sz w:val="20"/>
                <w:szCs w:val="20"/>
              </w:rPr>
              <w:t>.</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85095A">
        <w:trPr>
          <w:gridAfter w:val="1"/>
          <w:wAfter w:w="7" w:type="dxa"/>
        </w:trPr>
        <w:tc>
          <w:tcPr>
            <w:tcW w:w="7479" w:type="dxa"/>
            <w:gridSpan w:val="3"/>
            <w:shd w:val="clear" w:color="auto" w:fill="F2F2F2"/>
          </w:tcPr>
          <w:p w:rsidR="002648B9" w:rsidRPr="00816FC2" w:rsidRDefault="002648B9">
            <w:pPr>
              <w:rPr>
                <w:sz w:val="20"/>
                <w:szCs w:val="20"/>
              </w:rPr>
            </w:pPr>
            <w:r w:rsidRPr="00816FC2">
              <w:rPr>
                <w:sz w:val="20"/>
                <w:szCs w:val="20"/>
              </w:rPr>
              <w:t>TP3, Community Security and Governance</w:t>
            </w:r>
          </w:p>
        </w:tc>
        <w:tc>
          <w:tcPr>
            <w:tcW w:w="2256" w:type="dxa"/>
            <w:vMerge/>
            <w:shd w:val="clear" w:color="auto" w:fill="EBD9E2"/>
          </w:tcPr>
          <w:p w:rsidR="002648B9" w:rsidRPr="00816FC2" w:rsidRDefault="002648B9">
            <w:pPr>
              <w:rPr>
                <w:sz w:val="20"/>
                <w:szCs w:val="20"/>
              </w:rPr>
            </w:pPr>
          </w:p>
        </w:tc>
      </w:tr>
      <w:tr w:rsidR="002648B9" w:rsidRPr="00816FC2" w:rsidTr="004F3430">
        <w:trPr>
          <w:gridAfter w:val="1"/>
          <w:wAfter w:w="7" w:type="dxa"/>
          <w:trHeight w:val="741"/>
        </w:trPr>
        <w:tc>
          <w:tcPr>
            <w:tcW w:w="1526" w:type="dxa"/>
            <w:shd w:val="clear" w:color="auto" w:fill="EBD9E2"/>
          </w:tcPr>
          <w:p w:rsidR="002648B9" w:rsidRPr="00816FC2" w:rsidRDefault="002648B9">
            <w:pPr>
              <w:rPr>
                <w:sz w:val="20"/>
                <w:szCs w:val="20"/>
              </w:rPr>
            </w:pPr>
            <w:r w:rsidRPr="00816FC2">
              <w:rPr>
                <w:sz w:val="20"/>
                <w:szCs w:val="20"/>
              </w:rPr>
              <w:t>Syrian Civil Defence (Mayday)</w:t>
            </w:r>
          </w:p>
        </w:tc>
        <w:tc>
          <w:tcPr>
            <w:tcW w:w="3969" w:type="dxa"/>
          </w:tcPr>
          <w:p w:rsidR="002648B9" w:rsidRPr="00130096" w:rsidRDefault="00130096" w:rsidP="00E006B8">
            <w:pPr>
              <w:rPr>
                <w:sz w:val="20"/>
                <w:szCs w:val="20"/>
              </w:rPr>
            </w:pPr>
            <w:r w:rsidRPr="0085095A">
              <w:rPr>
                <w:sz w:val="20"/>
                <w:szCs w:val="20"/>
              </w:rPr>
              <w:t>Communities in Syria are better prepared and able to protect themselves amidst the on-going conflict</w:t>
            </w:r>
            <w:r w:rsidR="004F3430">
              <w:rPr>
                <w:sz w:val="20"/>
                <w:szCs w:val="20"/>
              </w:rPr>
              <w:t>.</w:t>
            </w:r>
          </w:p>
        </w:tc>
        <w:tc>
          <w:tcPr>
            <w:tcW w:w="1984" w:type="dxa"/>
            <w:vMerge w:val="restart"/>
          </w:tcPr>
          <w:p w:rsidR="00590D11" w:rsidRPr="0085095A" w:rsidRDefault="00590D11" w:rsidP="00590D11">
            <w:pPr>
              <w:rPr>
                <w:sz w:val="20"/>
                <w:szCs w:val="20"/>
              </w:rPr>
            </w:pPr>
            <w:r w:rsidRPr="0085095A">
              <w:rPr>
                <w:sz w:val="20"/>
                <w:szCs w:val="20"/>
              </w:rPr>
              <w:t>Community security strengthened and inclusive governance promoted by moderate actors in Syria and the GoI in Iraq</w:t>
            </w:r>
          </w:p>
          <w:p w:rsidR="002648B9" w:rsidRPr="00816FC2" w:rsidRDefault="002648B9">
            <w:pPr>
              <w:rPr>
                <w:sz w:val="20"/>
                <w:szCs w:val="20"/>
              </w:rPr>
            </w:pPr>
            <w:r w:rsidRPr="00816FC2">
              <w:rPr>
                <w:sz w:val="20"/>
                <w:szCs w:val="20"/>
              </w:rPr>
              <w:t xml:space="preserve"> </w:t>
            </w:r>
            <w:r w:rsidR="00590D11">
              <w:rPr>
                <w:sz w:val="20"/>
                <w:szCs w:val="20"/>
              </w:rPr>
              <w:t xml:space="preserve">NB. </w:t>
            </w:r>
            <w:r w:rsidRPr="00816FC2">
              <w:rPr>
                <w:sz w:val="20"/>
                <w:szCs w:val="20"/>
              </w:rPr>
              <w:t>Th</w:t>
            </w:r>
            <w:r w:rsidR="00590D11">
              <w:rPr>
                <w:sz w:val="20"/>
                <w:szCs w:val="20"/>
              </w:rPr>
              <w:t>is</w:t>
            </w:r>
            <w:r w:rsidRPr="00816FC2">
              <w:rPr>
                <w:sz w:val="20"/>
                <w:szCs w:val="20"/>
              </w:rPr>
              <w:t>e Thematic Programme can also contribute to building the demand side (and the supply side where feasible) of governance.</w:t>
            </w:r>
          </w:p>
          <w:p w:rsidR="002648B9" w:rsidRPr="00816FC2" w:rsidRDefault="002648B9">
            <w:pPr>
              <w:rPr>
                <w:sz w:val="20"/>
                <w:szCs w:val="20"/>
              </w:rPr>
            </w:pPr>
          </w:p>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Height w:val="1818"/>
        </w:trPr>
        <w:tc>
          <w:tcPr>
            <w:tcW w:w="1526" w:type="dxa"/>
            <w:shd w:val="clear" w:color="auto" w:fill="EBD9E2"/>
          </w:tcPr>
          <w:p w:rsidR="002648B9" w:rsidRPr="00816FC2" w:rsidRDefault="002648B9">
            <w:pPr>
              <w:rPr>
                <w:sz w:val="20"/>
                <w:szCs w:val="20"/>
              </w:rPr>
            </w:pPr>
            <w:r w:rsidRPr="00816FC2">
              <w:rPr>
                <w:sz w:val="20"/>
                <w:szCs w:val="20"/>
              </w:rPr>
              <w:t>Access to Justice and Community Security, Syria</w:t>
            </w:r>
          </w:p>
        </w:tc>
        <w:tc>
          <w:tcPr>
            <w:tcW w:w="3969" w:type="dxa"/>
          </w:tcPr>
          <w:p w:rsidR="002648B9" w:rsidRPr="00816FC2" w:rsidRDefault="006E5589" w:rsidP="006E5589">
            <w:pPr>
              <w:rPr>
                <w:sz w:val="20"/>
                <w:szCs w:val="20"/>
              </w:rPr>
            </w:pPr>
            <w:r w:rsidRPr="006E5589">
              <w:rPr>
                <w:sz w:val="20"/>
                <w:szCs w:val="20"/>
              </w:rPr>
              <w:t xml:space="preserve">Moderate civilian actors in Syria are supported to provide security and serve communities </w:t>
            </w:r>
            <w:r>
              <w:rPr>
                <w:sz w:val="20"/>
                <w:szCs w:val="20"/>
              </w:rPr>
              <w:t>in opposition-held areas and newly Da’es</w:t>
            </w:r>
            <w:r w:rsidR="00E006B8">
              <w:rPr>
                <w:sz w:val="20"/>
                <w:szCs w:val="20"/>
              </w:rPr>
              <w:t>h</w:t>
            </w:r>
            <w:r>
              <w:rPr>
                <w:sz w:val="20"/>
                <w:szCs w:val="20"/>
              </w:rPr>
              <w:t xml:space="preserve">-liberated areas </w:t>
            </w:r>
            <w:r w:rsidRPr="006E5589">
              <w:rPr>
                <w:sz w:val="20"/>
                <w:szCs w:val="20"/>
              </w:rPr>
              <w:t>as viable alternatives to the regime, Da’esh and other extremist groups, challenging their narratives and preparing Syrians for transition by setting the conditions for inclusive, locally accountable security and governance.</w:t>
            </w:r>
            <w:r w:rsidR="00F93317">
              <w:rPr>
                <w:sz w:val="20"/>
                <w:szCs w:val="20"/>
              </w:rPr>
              <w:t xml:space="preserve"> </w:t>
            </w:r>
            <w:r w:rsidR="002648B9" w:rsidRPr="00816FC2">
              <w:rPr>
                <w:sz w:val="20"/>
                <w:szCs w:val="20"/>
              </w:rPr>
              <w:t>To support moderate civilian actors in Syria’s opposition-held areas to serve their communities as viable alternatives to the regime and extremist groups, representing a challenge to their narratives and preparing Syrians for transition by setting the conditions for inclusive, locally accountable governance.</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r w:rsidR="002648B9" w:rsidRPr="00816FC2" w:rsidTr="00F93317">
        <w:trPr>
          <w:gridAfter w:val="1"/>
          <w:wAfter w:w="7" w:type="dxa"/>
          <w:trHeight w:val="2145"/>
        </w:trPr>
        <w:tc>
          <w:tcPr>
            <w:tcW w:w="1526" w:type="dxa"/>
            <w:shd w:val="clear" w:color="auto" w:fill="EBD9E2"/>
          </w:tcPr>
          <w:p w:rsidR="002648B9" w:rsidRPr="00816FC2" w:rsidRDefault="002648B9">
            <w:pPr>
              <w:rPr>
                <w:sz w:val="20"/>
                <w:szCs w:val="20"/>
              </w:rPr>
            </w:pPr>
            <w:r w:rsidRPr="00816FC2">
              <w:rPr>
                <w:sz w:val="20"/>
                <w:szCs w:val="20"/>
              </w:rPr>
              <w:lastRenderedPageBreak/>
              <w:t xml:space="preserve">[UNDP Security Sector Reform, Iraq] </w:t>
            </w:r>
          </w:p>
        </w:tc>
        <w:tc>
          <w:tcPr>
            <w:tcW w:w="3969" w:type="dxa"/>
          </w:tcPr>
          <w:p w:rsidR="002648B9" w:rsidRPr="00816FC2" w:rsidRDefault="002648B9">
            <w:pPr>
              <w:rPr>
                <w:sz w:val="20"/>
                <w:szCs w:val="20"/>
              </w:rPr>
            </w:pPr>
            <w:r w:rsidRPr="00816FC2">
              <w:rPr>
                <w:sz w:val="20"/>
                <w:szCs w:val="20"/>
              </w:rPr>
              <w:t xml:space="preserve">[To address the short, medium and long term priorities needed to enhance the efficiency, effectiveness and accountability of the Iraqi security sector.] </w:t>
            </w:r>
            <w:r w:rsidRPr="00816FC2">
              <w:rPr>
                <w:b/>
                <w:sz w:val="20"/>
                <w:szCs w:val="20"/>
              </w:rPr>
              <w:t>Nb. A continuation of support to SSR beyond the already committed phase will be determined by the Mid Term Review and will require agreement on a revised scope and a revised project document.</w:t>
            </w:r>
          </w:p>
        </w:tc>
        <w:tc>
          <w:tcPr>
            <w:tcW w:w="1984" w:type="dxa"/>
            <w:vMerge/>
          </w:tcPr>
          <w:p w:rsidR="002648B9" w:rsidRPr="00816FC2" w:rsidRDefault="002648B9">
            <w:pPr>
              <w:rPr>
                <w:sz w:val="20"/>
                <w:szCs w:val="20"/>
              </w:rPr>
            </w:pPr>
          </w:p>
        </w:tc>
        <w:tc>
          <w:tcPr>
            <w:tcW w:w="2256" w:type="dxa"/>
            <w:vMerge/>
            <w:shd w:val="clear" w:color="auto" w:fill="EBD9E2"/>
          </w:tcPr>
          <w:p w:rsidR="002648B9" w:rsidRPr="00816FC2" w:rsidRDefault="002648B9">
            <w:pPr>
              <w:rPr>
                <w:sz w:val="20"/>
                <w:szCs w:val="20"/>
              </w:rPr>
            </w:pPr>
          </w:p>
        </w:tc>
      </w:tr>
    </w:tbl>
    <w:p w:rsidR="007B71EA" w:rsidRPr="00816FC2" w:rsidRDefault="007B71EA" w:rsidP="007B71EA">
      <w:pPr>
        <w:pStyle w:val="Overskrift2"/>
      </w:pPr>
      <w:bookmarkStart w:id="35" w:name="_Toc332370515"/>
      <w:r w:rsidRPr="00816FC2">
        <w:t>Continuity with previous programmes</w:t>
      </w:r>
      <w:bookmarkEnd w:id="35"/>
    </w:p>
    <w:p w:rsidR="007B71EA" w:rsidRPr="00816FC2" w:rsidRDefault="007B71EA" w:rsidP="0095114C">
      <w:r w:rsidRPr="00816FC2">
        <w:t>The current programme provides a leaner and more streamlined package of support than the two country-based programmes it replaces. The overall number of engagements has been reduced from 12 to 9</w:t>
      </w:r>
      <w:r w:rsidR="0095114C">
        <w:t>,</w:t>
      </w:r>
      <w:r w:rsidRPr="00816FC2">
        <w:t xml:space="preserve"> while the three-year funding window provides opportunities to enhance funding predictability while maintaining the flexibility to adjust engagements should circumstances demand. In the majority of cases, Danish funding to existing partners will continue seamlessly, with draw-down occurring as further funds are required (although in other cases, disbursements may be front-loaded in order to provide an even disbursement profile (see </w:t>
      </w:r>
      <w:r w:rsidR="0095114C">
        <w:t>S</w:t>
      </w:r>
      <w:r w:rsidRPr="00816FC2">
        <w:t>ection 6</w:t>
      </w:r>
      <w:r w:rsidR="0095114C">
        <w:t>,</w:t>
      </w:r>
      <w:r w:rsidRPr="00816FC2">
        <w:t xml:space="preserve"> Budget). This continuity is illustrated in the table below that summarises the relationship between the current programme and its two predecessors:</w:t>
      </w:r>
    </w:p>
    <w:p w:rsidR="007B71EA" w:rsidRPr="00816FC2" w:rsidRDefault="00603CAA" w:rsidP="007B71EA">
      <w:pPr>
        <w:rPr>
          <w:i/>
        </w:rPr>
      </w:pPr>
      <w:r w:rsidRPr="00816FC2">
        <w:rPr>
          <w:i/>
        </w:rPr>
        <w:t>Table 2</w:t>
      </w:r>
      <w:r w:rsidR="007B71EA" w:rsidRPr="00816FC2">
        <w:rPr>
          <w:i/>
        </w:rPr>
        <w:t>: Continuity with existing programmes</w:t>
      </w:r>
    </w:p>
    <w:tbl>
      <w:tblPr>
        <w:tblStyle w:val="Tabel-Gitter"/>
        <w:tblW w:w="9752" w:type="dxa"/>
        <w:tblInd w:w="-5" w:type="dxa"/>
        <w:tblBorders>
          <w:top w:val="none" w:sz="0" w:space="0" w:color="auto"/>
          <w:left w:val="none" w:sz="0" w:space="0" w:color="auto"/>
          <w:bottom w:val="none" w:sz="0" w:space="0" w:color="auto"/>
          <w:right w:val="none" w:sz="0" w:space="0" w:color="auto"/>
          <w:insideH w:val="single" w:sz="4" w:space="0" w:color="3E2C42"/>
          <w:insideV w:val="none" w:sz="0" w:space="0" w:color="auto"/>
        </w:tblBorders>
        <w:tblLook w:val="04A0" w:firstRow="1" w:lastRow="0" w:firstColumn="1" w:lastColumn="0" w:noHBand="0" w:noVBand="1"/>
      </w:tblPr>
      <w:tblGrid>
        <w:gridCol w:w="2416"/>
        <w:gridCol w:w="1098"/>
        <w:gridCol w:w="1306"/>
        <w:gridCol w:w="4932"/>
      </w:tblGrid>
      <w:tr w:rsidR="007B71EA" w:rsidRPr="00816FC2" w:rsidTr="007F2463">
        <w:trPr>
          <w:trHeight w:val="863"/>
        </w:trPr>
        <w:tc>
          <w:tcPr>
            <w:tcW w:w="2416" w:type="dxa"/>
            <w:shd w:val="clear" w:color="auto" w:fill="452E42"/>
            <w:vAlign w:val="center"/>
          </w:tcPr>
          <w:p w:rsidR="007B71EA" w:rsidRPr="00816FC2" w:rsidRDefault="007B71EA" w:rsidP="00BA335C">
            <w:pPr>
              <w:spacing w:after="0"/>
              <w:jc w:val="left"/>
              <w:rPr>
                <w:b/>
                <w:bCs/>
                <w:color w:val="FFFFFF" w:themeColor="background1"/>
                <w:sz w:val="20"/>
                <w:szCs w:val="20"/>
              </w:rPr>
            </w:pPr>
            <w:r w:rsidRPr="00816FC2">
              <w:rPr>
                <w:b/>
                <w:bCs/>
                <w:color w:val="FFFFFF" w:themeColor="background1"/>
                <w:sz w:val="20"/>
                <w:szCs w:val="20"/>
              </w:rPr>
              <w:t>Syria and Iraq Programmes</w:t>
            </w:r>
          </w:p>
        </w:tc>
        <w:tc>
          <w:tcPr>
            <w:tcW w:w="1098" w:type="dxa"/>
            <w:shd w:val="clear" w:color="auto" w:fill="452E42"/>
            <w:vAlign w:val="center"/>
          </w:tcPr>
          <w:p w:rsidR="007B71EA" w:rsidRPr="00816FC2" w:rsidRDefault="007B71EA" w:rsidP="00BA335C">
            <w:pPr>
              <w:spacing w:after="0"/>
              <w:jc w:val="left"/>
              <w:rPr>
                <w:b/>
                <w:bCs/>
                <w:color w:val="FFFFFF" w:themeColor="background1"/>
                <w:sz w:val="20"/>
                <w:szCs w:val="20"/>
              </w:rPr>
            </w:pPr>
            <w:r w:rsidRPr="00816FC2">
              <w:rPr>
                <w:b/>
                <w:bCs/>
                <w:color w:val="FFFFFF" w:themeColor="background1"/>
                <w:sz w:val="20"/>
                <w:szCs w:val="20"/>
              </w:rPr>
              <w:t>Support in 2015 and 2016</w:t>
            </w:r>
          </w:p>
        </w:tc>
        <w:tc>
          <w:tcPr>
            <w:tcW w:w="1306" w:type="dxa"/>
            <w:shd w:val="clear" w:color="auto" w:fill="452E42"/>
            <w:vAlign w:val="center"/>
          </w:tcPr>
          <w:p w:rsidR="007B71EA" w:rsidRPr="00816FC2" w:rsidRDefault="007B71EA" w:rsidP="00BA335C">
            <w:pPr>
              <w:spacing w:after="0"/>
              <w:jc w:val="left"/>
              <w:rPr>
                <w:b/>
                <w:bCs/>
                <w:color w:val="FFFFFF" w:themeColor="background1"/>
                <w:sz w:val="20"/>
                <w:szCs w:val="20"/>
              </w:rPr>
            </w:pPr>
            <w:r w:rsidRPr="00816FC2">
              <w:rPr>
                <w:b/>
                <w:bCs/>
                <w:color w:val="FFFFFF" w:themeColor="background1"/>
                <w:sz w:val="20"/>
                <w:szCs w:val="20"/>
              </w:rPr>
              <w:t>Status under this programme</w:t>
            </w:r>
          </w:p>
        </w:tc>
        <w:tc>
          <w:tcPr>
            <w:tcW w:w="4932" w:type="dxa"/>
            <w:shd w:val="clear" w:color="auto" w:fill="452E42"/>
            <w:vAlign w:val="center"/>
          </w:tcPr>
          <w:p w:rsidR="007B71EA" w:rsidRPr="00816FC2" w:rsidRDefault="007B71EA" w:rsidP="00BA335C">
            <w:pPr>
              <w:spacing w:after="0"/>
              <w:jc w:val="left"/>
              <w:rPr>
                <w:b/>
                <w:bCs/>
                <w:color w:val="FFFFFF" w:themeColor="background1"/>
                <w:sz w:val="20"/>
                <w:szCs w:val="20"/>
              </w:rPr>
            </w:pPr>
            <w:r w:rsidRPr="00816FC2">
              <w:rPr>
                <w:b/>
                <w:bCs/>
                <w:color w:val="FFFFFF" w:themeColor="background1"/>
                <w:sz w:val="20"/>
                <w:szCs w:val="20"/>
              </w:rPr>
              <w:t>Rationale</w:t>
            </w:r>
          </w:p>
        </w:tc>
      </w:tr>
      <w:tr w:rsidR="007B71EA" w:rsidRPr="00816FC2" w:rsidTr="007F2463">
        <w:tc>
          <w:tcPr>
            <w:tcW w:w="2416" w:type="dxa"/>
            <w:shd w:val="clear" w:color="auto" w:fill="EBD9E2"/>
          </w:tcPr>
          <w:p w:rsidR="007B71EA" w:rsidRPr="00816FC2" w:rsidRDefault="007B71EA" w:rsidP="00BA335C">
            <w:pPr>
              <w:jc w:val="left"/>
              <w:rPr>
                <w:sz w:val="20"/>
                <w:szCs w:val="20"/>
              </w:rPr>
            </w:pPr>
            <w:r w:rsidRPr="00816FC2">
              <w:rPr>
                <w:sz w:val="20"/>
                <w:szCs w:val="20"/>
              </w:rPr>
              <w:t>Track 1 peace negotiations (Syria)</w:t>
            </w:r>
          </w:p>
        </w:tc>
        <w:tc>
          <w:tcPr>
            <w:tcW w:w="1098" w:type="dxa"/>
            <w:shd w:val="clear" w:color="auto" w:fill="F2F2F2"/>
          </w:tcPr>
          <w:p w:rsidR="007B71EA" w:rsidRPr="00816FC2" w:rsidRDefault="007B71EA" w:rsidP="00BA335C">
            <w:pPr>
              <w:rPr>
                <w:rStyle w:val="Kommentarhenvisning"/>
                <w:sz w:val="20"/>
                <w:szCs w:val="20"/>
              </w:rPr>
            </w:pPr>
            <w:r w:rsidRPr="00816FC2">
              <w:rPr>
                <w:rStyle w:val="Kommentarhenvisning"/>
                <w:sz w:val="20"/>
                <w:szCs w:val="20"/>
              </w:rPr>
              <w:t>Yes</w:t>
            </w:r>
          </w:p>
        </w:tc>
        <w:tc>
          <w:tcPr>
            <w:tcW w:w="1306" w:type="dxa"/>
            <w:shd w:val="clear" w:color="auto" w:fill="F2F2F2"/>
          </w:tcPr>
          <w:p w:rsidR="007B71EA" w:rsidRPr="00816FC2" w:rsidRDefault="007B71EA" w:rsidP="00BA335C">
            <w:pPr>
              <w:rPr>
                <w:sz w:val="20"/>
                <w:szCs w:val="20"/>
              </w:rPr>
            </w:pPr>
            <w:r w:rsidRPr="00816FC2">
              <w:rPr>
                <w:sz w:val="20"/>
                <w:szCs w:val="20"/>
              </w:rPr>
              <w:t>Continued</w:t>
            </w:r>
          </w:p>
        </w:tc>
        <w:tc>
          <w:tcPr>
            <w:tcW w:w="4932" w:type="dxa"/>
            <w:shd w:val="clear" w:color="auto" w:fill="F2F2F2"/>
          </w:tcPr>
          <w:p w:rsidR="007B71EA" w:rsidRPr="00816FC2" w:rsidRDefault="007B71EA" w:rsidP="00BA335C">
            <w:pPr>
              <w:rPr>
                <w:sz w:val="20"/>
                <w:szCs w:val="20"/>
              </w:rPr>
            </w:pPr>
            <w:r w:rsidRPr="00816FC2">
              <w:rPr>
                <w:sz w:val="20"/>
                <w:szCs w:val="20"/>
              </w:rPr>
              <w:t>Remains a political priority</w:t>
            </w:r>
          </w:p>
        </w:tc>
      </w:tr>
      <w:tr w:rsidR="007B71EA" w:rsidRPr="00816FC2" w:rsidTr="007F2463">
        <w:tc>
          <w:tcPr>
            <w:tcW w:w="2416" w:type="dxa"/>
            <w:shd w:val="clear" w:color="auto" w:fill="EBD9E2"/>
          </w:tcPr>
          <w:p w:rsidR="007B71EA" w:rsidRPr="00816FC2" w:rsidRDefault="007B71EA" w:rsidP="00BA335C">
            <w:pPr>
              <w:jc w:val="left"/>
              <w:rPr>
                <w:sz w:val="20"/>
                <w:szCs w:val="20"/>
              </w:rPr>
            </w:pPr>
            <w:r w:rsidRPr="00816FC2">
              <w:rPr>
                <w:sz w:val="20"/>
                <w:szCs w:val="20"/>
              </w:rPr>
              <w:t>Track 2 peace support (Syria)</w:t>
            </w:r>
          </w:p>
        </w:tc>
        <w:tc>
          <w:tcPr>
            <w:tcW w:w="1098" w:type="dxa"/>
            <w:shd w:val="clear" w:color="auto" w:fill="F2F2F2"/>
          </w:tcPr>
          <w:p w:rsidR="007B71EA" w:rsidRPr="00816FC2" w:rsidRDefault="007B71EA" w:rsidP="00BA335C">
            <w:pPr>
              <w:rPr>
                <w:sz w:val="20"/>
                <w:szCs w:val="20"/>
              </w:rPr>
            </w:pPr>
            <w:r w:rsidRPr="00816FC2">
              <w:rPr>
                <w:rStyle w:val="Kommentarhenvisning"/>
                <w:sz w:val="20"/>
                <w:szCs w:val="20"/>
              </w:rPr>
              <w:t>Yes</w:t>
            </w:r>
          </w:p>
        </w:tc>
        <w:tc>
          <w:tcPr>
            <w:tcW w:w="1306" w:type="dxa"/>
            <w:shd w:val="clear" w:color="auto" w:fill="F2F2F2"/>
          </w:tcPr>
          <w:p w:rsidR="007B71EA" w:rsidRPr="00816FC2" w:rsidRDefault="007B71EA" w:rsidP="00BA335C">
            <w:pPr>
              <w:rPr>
                <w:sz w:val="20"/>
                <w:szCs w:val="20"/>
              </w:rPr>
            </w:pPr>
            <w:r w:rsidRPr="00816FC2">
              <w:rPr>
                <w:sz w:val="20"/>
                <w:szCs w:val="20"/>
              </w:rPr>
              <w:t>Continued – scaled down</w:t>
            </w:r>
          </w:p>
        </w:tc>
        <w:tc>
          <w:tcPr>
            <w:tcW w:w="4932" w:type="dxa"/>
            <w:shd w:val="clear" w:color="auto" w:fill="F2F2F2"/>
          </w:tcPr>
          <w:p w:rsidR="007B71EA" w:rsidRPr="00816FC2" w:rsidRDefault="007B71EA" w:rsidP="00041F82">
            <w:pPr>
              <w:rPr>
                <w:sz w:val="20"/>
                <w:szCs w:val="20"/>
              </w:rPr>
            </w:pPr>
            <w:r w:rsidRPr="00816FC2">
              <w:rPr>
                <w:sz w:val="20"/>
                <w:szCs w:val="20"/>
              </w:rPr>
              <w:t xml:space="preserve">Numerous alternatives, no obvious Danish value added. That said, Denmark continues to support Track 2 work through </w:t>
            </w:r>
            <w:r w:rsidR="00041F82" w:rsidRPr="00816FC2">
              <w:rPr>
                <w:sz w:val="20"/>
                <w:szCs w:val="20"/>
              </w:rPr>
              <w:t>The Day After</w:t>
            </w:r>
            <w:r w:rsidRPr="00816FC2">
              <w:rPr>
                <w:sz w:val="20"/>
                <w:szCs w:val="20"/>
              </w:rPr>
              <w:t>.</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The Day After (Syria)</w:t>
            </w:r>
          </w:p>
        </w:tc>
        <w:tc>
          <w:tcPr>
            <w:tcW w:w="1098" w:type="dxa"/>
            <w:shd w:val="clear" w:color="auto" w:fill="F2F2F2"/>
          </w:tcPr>
          <w:p w:rsidR="00B51807" w:rsidRPr="00816FC2" w:rsidRDefault="00B51807" w:rsidP="00B51807">
            <w:pPr>
              <w:rPr>
                <w:rStyle w:val="Kommentarhenvisning"/>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 xml:space="preserve">Remains relevant channel for civil society engagement. </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Syria Civil Defence</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 xml:space="preserve">Continued </w:t>
            </w:r>
          </w:p>
        </w:tc>
        <w:tc>
          <w:tcPr>
            <w:tcW w:w="4932" w:type="dxa"/>
            <w:shd w:val="clear" w:color="auto" w:fill="F2F2F2"/>
          </w:tcPr>
          <w:p w:rsidR="00B51807" w:rsidRPr="00816FC2" w:rsidRDefault="00B51807" w:rsidP="00B51807">
            <w:pPr>
              <w:rPr>
                <w:sz w:val="20"/>
                <w:szCs w:val="20"/>
              </w:rPr>
            </w:pPr>
            <w:r w:rsidRPr="00816FC2">
              <w:rPr>
                <w:sz w:val="20"/>
                <w:szCs w:val="20"/>
              </w:rPr>
              <w:t>Remains a priority</w:t>
            </w:r>
          </w:p>
        </w:tc>
      </w:tr>
      <w:tr w:rsidR="00B51807" w:rsidRPr="00816FC2" w:rsidTr="007F2463">
        <w:trPr>
          <w:trHeight w:val="305"/>
        </w:trPr>
        <w:tc>
          <w:tcPr>
            <w:tcW w:w="2416" w:type="dxa"/>
            <w:shd w:val="clear" w:color="auto" w:fill="EBD9E2"/>
          </w:tcPr>
          <w:p w:rsidR="00B51807" w:rsidRPr="00816FC2" w:rsidRDefault="00B51807" w:rsidP="00B51807">
            <w:pPr>
              <w:jc w:val="left"/>
              <w:rPr>
                <w:sz w:val="20"/>
                <w:szCs w:val="20"/>
              </w:rPr>
            </w:pPr>
            <w:r w:rsidRPr="00816FC2">
              <w:rPr>
                <w:sz w:val="20"/>
                <w:szCs w:val="20"/>
              </w:rPr>
              <w:t>Syria Recovery Trust Fund</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Remains relevant but with a further contribution in 2018</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Funding Facility for Immediate Stabilisation (Iraq)</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Remains a priority</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UNMAS (Iraq)</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Remains a priority. Previous seed funding needs enhancing.</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Baytna (Syria)</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Danish flagship project now demonstrating results</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AJACS (Syria)</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Continued</w:t>
            </w:r>
          </w:p>
        </w:tc>
        <w:tc>
          <w:tcPr>
            <w:tcW w:w="4932" w:type="dxa"/>
            <w:shd w:val="clear" w:color="auto" w:fill="F2F2F2"/>
          </w:tcPr>
          <w:p w:rsidR="00B51807" w:rsidRPr="00816FC2" w:rsidRDefault="00B51807" w:rsidP="00B51807">
            <w:pPr>
              <w:rPr>
                <w:sz w:val="20"/>
                <w:szCs w:val="20"/>
              </w:rPr>
            </w:pPr>
            <w:r w:rsidRPr="00816FC2">
              <w:rPr>
                <w:sz w:val="20"/>
                <w:szCs w:val="20"/>
              </w:rPr>
              <w:t>Remains a priority.</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Strengthening Participatory &amp; Accountable Governance (Iraq)</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Discontinued</w:t>
            </w:r>
          </w:p>
        </w:tc>
        <w:tc>
          <w:tcPr>
            <w:tcW w:w="4932" w:type="dxa"/>
            <w:shd w:val="clear" w:color="auto" w:fill="F2F2F2"/>
          </w:tcPr>
          <w:p w:rsidR="00B51807" w:rsidRPr="00816FC2" w:rsidRDefault="00B51807" w:rsidP="00B51807">
            <w:pPr>
              <w:rPr>
                <w:sz w:val="20"/>
                <w:szCs w:val="20"/>
              </w:rPr>
            </w:pPr>
            <w:r w:rsidRPr="00816FC2">
              <w:rPr>
                <w:sz w:val="20"/>
                <w:szCs w:val="20"/>
              </w:rPr>
              <w:t>Not an immediate stabilisation priority. Existing funding continues to 2017.</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Security Sector Reform (Iraq)</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Under Consideration</w:t>
            </w:r>
          </w:p>
        </w:tc>
        <w:tc>
          <w:tcPr>
            <w:tcW w:w="4932" w:type="dxa"/>
            <w:shd w:val="clear" w:color="auto" w:fill="F2F2F2"/>
          </w:tcPr>
          <w:p w:rsidR="00B51807" w:rsidRPr="00816FC2" w:rsidRDefault="00B51807" w:rsidP="00B51807">
            <w:pPr>
              <w:rPr>
                <w:sz w:val="20"/>
                <w:szCs w:val="20"/>
              </w:rPr>
            </w:pPr>
            <w:r w:rsidRPr="00816FC2">
              <w:rPr>
                <w:sz w:val="20"/>
                <w:szCs w:val="20"/>
              </w:rPr>
              <w:t>Not an immediate stabilisation priority. Existing funding continues to 2017. Possible extension will be considered by Mid Term Review.</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International Media Support (Iraq)</w:t>
            </w:r>
          </w:p>
        </w:tc>
        <w:tc>
          <w:tcPr>
            <w:tcW w:w="1098" w:type="dxa"/>
            <w:shd w:val="clear" w:color="auto" w:fill="F2F2F2"/>
          </w:tcPr>
          <w:p w:rsidR="00B51807" w:rsidRPr="00816FC2" w:rsidRDefault="00B51807" w:rsidP="00B51807">
            <w:pPr>
              <w:rPr>
                <w:sz w:val="20"/>
                <w:szCs w:val="20"/>
              </w:rPr>
            </w:pPr>
            <w:r w:rsidRPr="00816FC2">
              <w:rPr>
                <w:rStyle w:val="Kommentarhenvisning"/>
                <w:sz w:val="20"/>
                <w:szCs w:val="20"/>
              </w:rPr>
              <w:t>Yes</w:t>
            </w:r>
          </w:p>
        </w:tc>
        <w:tc>
          <w:tcPr>
            <w:tcW w:w="1306" w:type="dxa"/>
            <w:shd w:val="clear" w:color="auto" w:fill="F2F2F2"/>
          </w:tcPr>
          <w:p w:rsidR="00B51807" w:rsidRPr="00816FC2" w:rsidRDefault="00B51807" w:rsidP="00B51807">
            <w:pPr>
              <w:rPr>
                <w:sz w:val="20"/>
                <w:szCs w:val="20"/>
              </w:rPr>
            </w:pPr>
            <w:r w:rsidRPr="00816FC2">
              <w:rPr>
                <w:sz w:val="20"/>
                <w:szCs w:val="20"/>
              </w:rPr>
              <w:t>Discontinued</w:t>
            </w:r>
          </w:p>
        </w:tc>
        <w:tc>
          <w:tcPr>
            <w:tcW w:w="4932" w:type="dxa"/>
            <w:shd w:val="clear" w:color="auto" w:fill="F2F2F2"/>
          </w:tcPr>
          <w:p w:rsidR="00B51807" w:rsidRPr="00816FC2" w:rsidRDefault="00B51807" w:rsidP="00B51807">
            <w:pPr>
              <w:rPr>
                <w:sz w:val="20"/>
                <w:szCs w:val="20"/>
              </w:rPr>
            </w:pPr>
            <w:r w:rsidRPr="00816FC2">
              <w:rPr>
                <w:sz w:val="20"/>
                <w:szCs w:val="20"/>
              </w:rPr>
              <w:t>Not an immediate stabilisation priority. Existing funding continues to 2017. DK contributing to Strategic Communications through CVE programme.</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Sterling, Mine Action (Iraq)</w:t>
            </w:r>
          </w:p>
        </w:tc>
        <w:tc>
          <w:tcPr>
            <w:tcW w:w="1098" w:type="dxa"/>
            <w:shd w:val="clear" w:color="auto" w:fill="F2F2F2"/>
          </w:tcPr>
          <w:p w:rsidR="00B51807" w:rsidRPr="00816FC2" w:rsidRDefault="00B51807" w:rsidP="00B51807">
            <w:pPr>
              <w:rPr>
                <w:sz w:val="20"/>
                <w:szCs w:val="20"/>
              </w:rPr>
            </w:pPr>
            <w:r w:rsidRPr="00816FC2">
              <w:rPr>
                <w:sz w:val="20"/>
                <w:szCs w:val="20"/>
              </w:rPr>
              <w:t>No</w:t>
            </w:r>
          </w:p>
        </w:tc>
        <w:tc>
          <w:tcPr>
            <w:tcW w:w="1306" w:type="dxa"/>
            <w:shd w:val="clear" w:color="auto" w:fill="F2F2F2"/>
          </w:tcPr>
          <w:p w:rsidR="00B51807" w:rsidRPr="00816FC2" w:rsidRDefault="00B51807" w:rsidP="00B51807">
            <w:pPr>
              <w:rPr>
                <w:sz w:val="20"/>
                <w:szCs w:val="20"/>
              </w:rPr>
            </w:pPr>
            <w:r w:rsidRPr="00816FC2">
              <w:rPr>
                <w:sz w:val="20"/>
                <w:szCs w:val="20"/>
              </w:rPr>
              <w:t>Started</w:t>
            </w:r>
          </w:p>
        </w:tc>
        <w:tc>
          <w:tcPr>
            <w:tcW w:w="4932" w:type="dxa"/>
            <w:shd w:val="clear" w:color="auto" w:fill="F2F2F2"/>
          </w:tcPr>
          <w:p w:rsidR="00B51807" w:rsidRPr="00816FC2" w:rsidRDefault="00B51807" w:rsidP="00B51807">
            <w:pPr>
              <w:rPr>
                <w:sz w:val="20"/>
                <w:szCs w:val="20"/>
              </w:rPr>
            </w:pPr>
            <w:r w:rsidRPr="00816FC2">
              <w:rPr>
                <w:sz w:val="20"/>
                <w:szCs w:val="20"/>
              </w:rPr>
              <w:t>Priority area</w:t>
            </w:r>
          </w:p>
        </w:tc>
      </w:tr>
      <w:tr w:rsidR="00B51807" w:rsidRPr="00816FC2" w:rsidTr="007F2463">
        <w:tc>
          <w:tcPr>
            <w:tcW w:w="2416" w:type="dxa"/>
            <w:shd w:val="clear" w:color="auto" w:fill="EBD9E2"/>
          </w:tcPr>
          <w:p w:rsidR="00B51807" w:rsidRPr="00816FC2" w:rsidRDefault="00B51807" w:rsidP="00B51807">
            <w:pPr>
              <w:jc w:val="left"/>
              <w:rPr>
                <w:sz w:val="20"/>
                <w:szCs w:val="20"/>
              </w:rPr>
            </w:pPr>
            <w:r w:rsidRPr="00816FC2">
              <w:rPr>
                <w:sz w:val="20"/>
                <w:szCs w:val="20"/>
              </w:rPr>
              <w:t>Stabilisation Response Mechanism for Syria</w:t>
            </w:r>
          </w:p>
        </w:tc>
        <w:tc>
          <w:tcPr>
            <w:tcW w:w="1098" w:type="dxa"/>
            <w:shd w:val="clear" w:color="auto" w:fill="F2F2F2"/>
          </w:tcPr>
          <w:p w:rsidR="00B51807" w:rsidRPr="00816FC2" w:rsidRDefault="00B51807" w:rsidP="00B51807">
            <w:pPr>
              <w:rPr>
                <w:sz w:val="20"/>
                <w:szCs w:val="20"/>
              </w:rPr>
            </w:pPr>
            <w:r w:rsidRPr="00816FC2">
              <w:rPr>
                <w:sz w:val="20"/>
                <w:szCs w:val="20"/>
              </w:rPr>
              <w:t>No</w:t>
            </w:r>
          </w:p>
        </w:tc>
        <w:tc>
          <w:tcPr>
            <w:tcW w:w="1306" w:type="dxa"/>
            <w:shd w:val="clear" w:color="auto" w:fill="F2F2F2"/>
          </w:tcPr>
          <w:p w:rsidR="00B51807" w:rsidRPr="00816FC2" w:rsidRDefault="00B51807" w:rsidP="00B51807">
            <w:pPr>
              <w:rPr>
                <w:sz w:val="20"/>
                <w:szCs w:val="20"/>
              </w:rPr>
            </w:pPr>
            <w:r w:rsidRPr="00816FC2">
              <w:rPr>
                <w:sz w:val="20"/>
                <w:szCs w:val="20"/>
              </w:rPr>
              <w:t>Under Consideration</w:t>
            </w:r>
          </w:p>
        </w:tc>
        <w:tc>
          <w:tcPr>
            <w:tcW w:w="4932" w:type="dxa"/>
            <w:shd w:val="clear" w:color="auto" w:fill="F2F2F2"/>
          </w:tcPr>
          <w:p w:rsidR="00B51807" w:rsidRPr="00816FC2" w:rsidRDefault="00B51807" w:rsidP="00B51807">
            <w:pPr>
              <w:rPr>
                <w:sz w:val="20"/>
                <w:szCs w:val="20"/>
              </w:rPr>
            </w:pPr>
            <w:r w:rsidRPr="00816FC2">
              <w:rPr>
                <w:sz w:val="20"/>
                <w:szCs w:val="20"/>
              </w:rPr>
              <w:t>Potentially offers means to meet immediate stabilisation needs. Effectiveness not yet demonstrated. Review during MTR.</w:t>
            </w:r>
          </w:p>
        </w:tc>
      </w:tr>
    </w:tbl>
    <w:p w:rsidR="006923F0" w:rsidRPr="00816FC2" w:rsidRDefault="006923F0" w:rsidP="006923F0">
      <w:pPr>
        <w:pStyle w:val="Overskrift2"/>
      </w:pPr>
      <w:bookmarkStart w:id="36" w:name="_Toc332370516"/>
      <w:r w:rsidRPr="00816FC2">
        <w:lastRenderedPageBreak/>
        <w:t xml:space="preserve">Justification for </w:t>
      </w:r>
      <w:r w:rsidR="00323348">
        <w:t>c</w:t>
      </w:r>
      <w:r w:rsidRPr="00816FC2">
        <w:t xml:space="preserve">ontinued </w:t>
      </w:r>
      <w:r w:rsidR="00323348">
        <w:t>s</w:t>
      </w:r>
      <w:r w:rsidRPr="00816FC2">
        <w:t>upport</w:t>
      </w:r>
      <w:bookmarkEnd w:id="36"/>
    </w:p>
    <w:p w:rsidR="006923F0" w:rsidRPr="00816FC2" w:rsidRDefault="006923F0" w:rsidP="00CE2E64">
      <w:r w:rsidRPr="00816FC2">
        <w:t xml:space="preserve">The rationale for continued </w:t>
      </w:r>
      <w:r w:rsidR="005B6222">
        <w:t xml:space="preserve">stabilisation </w:t>
      </w:r>
      <w:r w:rsidRPr="00816FC2">
        <w:t xml:space="preserve">support in Syria and Iraq is anchored in Denmark’s international commitments to the Global Coalition </w:t>
      </w:r>
      <w:r w:rsidR="00301FEC" w:rsidRPr="00816FC2">
        <w:t xml:space="preserve">against Da’esh </w:t>
      </w:r>
      <w:r w:rsidR="00CE2E64">
        <w:t xml:space="preserve">and </w:t>
      </w:r>
      <w:r w:rsidR="0095114C">
        <w:t xml:space="preserve">UNSC </w:t>
      </w:r>
      <w:r w:rsidRPr="00816FC2">
        <w:t xml:space="preserve">resolutions, commitment to international norms such as the Responsibility to Protect (R2P), Danish national interest and concerns over regional </w:t>
      </w:r>
      <w:r w:rsidR="007B71EA" w:rsidRPr="00816FC2">
        <w:t xml:space="preserve">and international </w:t>
      </w:r>
      <w:r w:rsidRPr="00816FC2">
        <w:t xml:space="preserve">instability caused by </w:t>
      </w:r>
      <w:r w:rsidR="007B71EA" w:rsidRPr="00816FC2">
        <w:t>migration</w:t>
      </w:r>
      <w:r w:rsidRPr="00816FC2">
        <w:t xml:space="preserve"> and conflict spill</w:t>
      </w:r>
      <w:r w:rsidR="00CE2E64">
        <w:t>-</w:t>
      </w:r>
      <w:r w:rsidRPr="00816FC2">
        <w:t xml:space="preserve">over. </w:t>
      </w:r>
    </w:p>
    <w:p w:rsidR="006923F0" w:rsidRPr="00816FC2" w:rsidRDefault="00CE2E64" w:rsidP="00323348">
      <w:r>
        <w:rPr>
          <w:bCs/>
        </w:rPr>
        <w:t>C</w:t>
      </w:r>
      <w:r w:rsidR="00053DBD">
        <w:rPr>
          <w:bCs/>
        </w:rPr>
        <w:t xml:space="preserve">ivilian </w:t>
      </w:r>
      <w:r w:rsidR="00F052F3">
        <w:rPr>
          <w:bCs/>
        </w:rPr>
        <w:t xml:space="preserve">stabilisation </w:t>
      </w:r>
      <w:r w:rsidR="006923F0" w:rsidRPr="00816FC2">
        <w:rPr>
          <w:bCs/>
        </w:rPr>
        <w:t xml:space="preserve">support is </w:t>
      </w:r>
      <w:r w:rsidR="006923F0" w:rsidRPr="00816FC2">
        <w:rPr>
          <w:b/>
          <w:bCs/>
        </w:rPr>
        <w:t xml:space="preserve">relevant </w:t>
      </w:r>
      <w:r w:rsidRPr="00CE2E64">
        <w:rPr>
          <w:b/>
          <w:bCs/>
        </w:rPr>
        <w:t xml:space="preserve">and </w:t>
      </w:r>
      <w:r w:rsidR="006923F0" w:rsidRPr="007F2463">
        <w:rPr>
          <w:b/>
          <w:bCs/>
        </w:rPr>
        <w:t>complement</w:t>
      </w:r>
      <w:r w:rsidRPr="007F2463">
        <w:rPr>
          <w:b/>
          <w:bCs/>
        </w:rPr>
        <w:t>s</w:t>
      </w:r>
      <w:r w:rsidR="006923F0" w:rsidRPr="00816FC2">
        <w:t xml:space="preserve"> the Coalition’s military actions, </w:t>
      </w:r>
      <w:r w:rsidR="007B71EA" w:rsidRPr="00816FC2">
        <w:t>help</w:t>
      </w:r>
      <w:r w:rsidR="009D40DD">
        <w:t>s</w:t>
      </w:r>
      <w:r w:rsidR="007B71EA" w:rsidRPr="00816FC2">
        <w:t xml:space="preserve"> </w:t>
      </w:r>
      <w:r w:rsidR="006923F0" w:rsidRPr="00816FC2">
        <w:t>those displaced to return home and address</w:t>
      </w:r>
      <w:r w:rsidR="009D40DD">
        <w:t>es</w:t>
      </w:r>
      <w:r w:rsidR="006923F0" w:rsidRPr="00816FC2">
        <w:t xml:space="preserve"> the underlying causes of extremism. </w:t>
      </w:r>
      <w:r w:rsidR="008837CD">
        <w:t xml:space="preserve">Through helping to stabilise areas and enabling access, the programme will also help facilitate the provision of humanitarian aid. </w:t>
      </w:r>
      <w:r w:rsidR="00AF625E" w:rsidRPr="00816FC2">
        <w:t xml:space="preserve">The programme’s relevance will be </w:t>
      </w:r>
      <w:r w:rsidR="008837CD">
        <w:t xml:space="preserve">further </w:t>
      </w:r>
      <w:r w:rsidR="00AF625E" w:rsidRPr="00816FC2">
        <w:t xml:space="preserve">enhanced by </w:t>
      </w:r>
      <w:r w:rsidR="00B35211" w:rsidRPr="00816FC2">
        <w:t xml:space="preserve">being aligned to local priorities and by being locally owned. </w:t>
      </w:r>
      <w:r w:rsidR="006923F0" w:rsidRPr="00816FC2">
        <w:t xml:space="preserve">In Iraq, short-term (immediate) stabilisation programmes </w:t>
      </w:r>
      <w:r w:rsidR="00323348">
        <w:t xml:space="preserve">must </w:t>
      </w:r>
      <w:r w:rsidR="006923F0" w:rsidRPr="00816FC2">
        <w:t xml:space="preserve">involve the Iraqi authorities at national and local level and </w:t>
      </w:r>
      <w:r w:rsidR="00323348">
        <w:t xml:space="preserve">be </w:t>
      </w:r>
      <w:r w:rsidR="006923F0" w:rsidRPr="00816FC2">
        <w:t>preceded by clearance activities to ensure that areas are free of mines and other explosive</w:t>
      </w:r>
      <w:r>
        <w:t>s</w:t>
      </w:r>
      <w:r w:rsidR="006923F0" w:rsidRPr="00816FC2">
        <w:t xml:space="preserve">. In Syria, </w:t>
      </w:r>
      <w:r w:rsidR="006923F0" w:rsidRPr="007F2463">
        <w:rPr>
          <w:b/>
          <w:bCs/>
          <w:iCs/>
        </w:rPr>
        <w:t>the peace process requires international as well as local engagement</w:t>
      </w:r>
      <w:r w:rsidR="006923F0" w:rsidRPr="00816FC2">
        <w:t xml:space="preserve"> through mutually supporting Track I and Track II processes </w:t>
      </w:r>
      <w:r w:rsidR="00323348">
        <w:t xml:space="preserve">and by expanding </w:t>
      </w:r>
      <w:r w:rsidR="006923F0" w:rsidRPr="00816FC2">
        <w:t xml:space="preserve">moderate opposition involvement </w:t>
      </w:r>
      <w:r>
        <w:t xml:space="preserve">in </w:t>
      </w:r>
      <w:r w:rsidR="00323348">
        <w:t xml:space="preserve">peace and transition </w:t>
      </w:r>
      <w:r>
        <w:t xml:space="preserve"> </w:t>
      </w:r>
      <w:r w:rsidR="00323348" w:rsidRPr="00816FC2">
        <w:t>dialogue</w:t>
      </w:r>
      <w:r w:rsidR="006923F0" w:rsidRPr="00816FC2">
        <w:t>. Danish support represents a tangible political signal of continued support to both tracks and for a peaceful resolution of the conflict</w:t>
      </w:r>
      <w:r>
        <w:t xml:space="preserve"> and to mitigate regional conflict spill-over</w:t>
      </w:r>
      <w:r w:rsidR="006923F0" w:rsidRPr="00816FC2">
        <w:t xml:space="preserve">. </w:t>
      </w:r>
    </w:p>
    <w:p w:rsidR="006923F0" w:rsidRPr="00816FC2" w:rsidRDefault="006923F0" w:rsidP="00323348">
      <w:r w:rsidRPr="00816FC2">
        <w:t xml:space="preserve">Albeit necessary to be realistic regarding longer-term </w:t>
      </w:r>
      <w:r w:rsidRPr="007F2463">
        <w:rPr>
          <w:b/>
          <w:bCs/>
        </w:rPr>
        <w:t>impact</w:t>
      </w:r>
      <w:r w:rsidRPr="00816FC2">
        <w:t xml:space="preserve">, without immediate stabilisation inputs, neither country will </w:t>
      </w:r>
      <w:r w:rsidR="00CE2E64">
        <w:t xml:space="preserve">achieve </w:t>
      </w:r>
      <w:r w:rsidR="00CE2E64" w:rsidRPr="007F2463">
        <w:rPr>
          <w:b/>
          <w:bCs/>
        </w:rPr>
        <w:t>results</w:t>
      </w:r>
      <w:r w:rsidR="00CE2E64">
        <w:t xml:space="preserve"> by </w:t>
      </w:r>
      <w:r w:rsidRPr="00816FC2">
        <w:t>address</w:t>
      </w:r>
      <w:r w:rsidR="00CE2E64">
        <w:t>ing</w:t>
      </w:r>
      <w:r w:rsidRPr="00816FC2">
        <w:t xml:space="preserve"> </w:t>
      </w:r>
      <w:r w:rsidRPr="007F2463">
        <w:rPr>
          <w:b/>
          <w:bCs/>
          <w:iCs/>
        </w:rPr>
        <w:t xml:space="preserve">short-term </w:t>
      </w:r>
      <w:r w:rsidR="00CE2E64" w:rsidRPr="007F2463">
        <w:rPr>
          <w:b/>
          <w:bCs/>
          <w:iCs/>
        </w:rPr>
        <w:t>needs</w:t>
      </w:r>
      <w:r w:rsidR="00CE2E64">
        <w:rPr>
          <w:b/>
          <w:bCs/>
          <w:i/>
        </w:rPr>
        <w:t xml:space="preserve"> </w:t>
      </w:r>
      <w:r w:rsidRPr="00816FC2">
        <w:t xml:space="preserve">(including helping to generate humanitarian access) </w:t>
      </w:r>
      <w:r w:rsidR="00CE2E64">
        <w:t xml:space="preserve">or </w:t>
      </w:r>
      <w:r w:rsidRPr="00816FC2">
        <w:t xml:space="preserve">lay foundations for </w:t>
      </w:r>
      <w:r w:rsidR="00CE2E64" w:rsidRPr="00816FC2">
        <w:t xml:space="preserve">recovery </w:t>
      </w:r>
      <w:r w:rsidR="00CE2E64">
        <w:t xml:space="preserve">and positive down-stream effects: </w:t>
      </w:r>
      <w:r w:rsidRPr="00816FC2">
        <w:t xml:space="preserve">establishing the conditions for peace building, reconciliation, human rights, and provision of basic services (including security). In both countries, </w:t>
      </w:r>
      <w:r w:rsidRPr="007F2463">
        <w:rPr>
          <w:iCs/>
        </w:rPr>
        <w:t>civil stabilisation efforts are necessary to</w:t>
      </w:r>
      <w:r w:rsidRPr="00816FC2">
        <w:rPr>
          <w:i/>
        </w:rPr>
        <w:t xml:space="preserve"> </w:t>
      </w:r>
      <w:r w:rsidRPr="007F2463">
        <w:rPr>
          <w:b/>
          <w:bCs/>
          <w:iCs/>
        </w:rPr>
        <w:t>protect civilians and contribute to countering extremism</w:t>
      </w:r>
      <w:r w:rsidRPr="00816FC2">
        <w:rPr>
          <w:i/>
        </w:rPr>
        <w:t xml:space="preserve"> </w:t>
      </w:r>
      <w:r w:rsidRPr="007F2463">
        <w:rPr>
          <w:iCs/>
        </w:rPr>
        <w:t xml:space="preserve">by </w:t>
      </w:r>
      <w:r w:rsidR="00323348">
        <w:rPr>
          <w:iCs/>
        </w:rPr>
        <w:t xml:space="preserve">supporting </w:t>
      </w:r>
      <w:r w:rsidRPr="007F2463">
        <w:rPr>
          <w:b/>
          <w:bCs/>
          <w:iCs/>
        </w:rPr>
        <w:t>credible alternatives</w:t>
      </w:r>
      <w:r w:rsidRPr="00CD5F62">
        <w:rPr>
          <w:iCs/>
        </w:rPr>
        <w:t>.</w:t>
      </w:r>
      <w:r w:rsidRPr="00816FC2">
        <w:t xml:space="preserve"> In Syria, moderate </w:t>
      </w:r>
      <w:r w:rsidR="00323348">
        <w:t xml:space="preserve">CSOs are </w:t>
      </w:r>
      <w:r w:rsidRPr="00816FC2">
        <w:t xml:space="preserve">one of few actors capable of representing and protecting the Syrian population </w:t>
      </w:r>
      <w:r w:rsidR="00CE2E64">
        <w:t>from Salafist groups and Da’esh elements</w:t>
      </w:r>
      <w:r w:rsidRPr="00816FC2">
        <w:t xml:space="preserve">, while providing a sound ideological counterweight to the regime. </w:t>
      </w:r>
      <w:r w:rsidR="00323348">
        <w:t xml:space="preserve">A power vacuum in newly-liberated areas of </w:t>
      </w:r>
      <w:r w:rsidRPr="00816FC2">
        <w:t>Iraq</w:t>
      </w:r>
      <w:r w:rsidR="00323348">
        <w:t xml:space="preserve"> is </w:t>
      </w:r>
      <w:r w:rsidR="00CE2E64">
        <w:t xml:space="preserve">likely to </w:t>
      </w:r>
      <w:r w:rsidRPr="00816FC2">
        <w:t>be exploited by sectarian factions unless concerted efforts are made to establish the conditions for sustainable security, including governance, rule of law and return.</w:t>
      </w:r>
    </w:p>
    <w:p w:rsidR="006923F0" w:rsidRPr="00816FC2" w:rsidRDefault="006923F0" w:rsidP="00CE2E64">
      <w:r w:rsidRPr="00816FC2">
        <w:t xml:space="preserve">Programme </w:t>
      </w:r>
      <w:r w:rsidRPr="00816FC2">
        <w:rPr>
          <w:b/>
        </w:rPr>
        <w:t>effectiveness</w:t>
      </w:r>
      <w:r w:rsidRPr="00816FC2">
        <w:t xml:space="preserve"> will be promoted by involving local actors in programing and listening to the needs and political realities on the ground and capitalising on the considerable body of knowledge pertaining to how best</w:t>
      </w:r>
      <w:r w:rsidR="00055174" w:rsidRPr="00816FC2">
        <w:t xml:space="preserve"> to</w:t>
      </w:r>
      <w:r w:rsidRPr="00816FC2">
        <w:t xml:space="preserve"> support local capacities to promote community resilience in Syria and to help pave the way for sustainable return in newly liberated areas of Iraq. </w:t>
      </w:r>
      <w:r w:rsidR="00CE2E64">
        <w:t>E</w:t>
      </w:r>
      <w:r w:rsidRPr="00816FC2">
        <w:t xml:space="preserve">ngagements in Iraq are all closely aligned with Iraqi priorities and Iraqi authorities are involved in programme decision-making. </w:t>
      </w:r>
    </w:p>
    <w:p w:rsidR="006923F0" w:rsidRPr="00816FC2" w:rsidRDefault="00414C21" w:rsidP="00CE2E64">
      <w:r w:rsidRPr="00816FC2">
        <w:t>P</w:t>
      </w:r>
      <w:r w:rsidR="006923F0" w:rsidRPr="00816FC2">
        <w:t xml:space="preserve">rogramme </w:t>
      </w:r>
      <w:r w:rsidR="006923F0" w:rsidRPr="00816FC2">
        <w:rPr>
          <w:b/>
        </w:rPr>
        <w:t>efficiency</w:t>
      </w:r>
      <w:r w:rsidR="006923F0" w:rsidRPr="00816FC2">
        <w:t xml:space="preserve"> will be optimised through the use of joint partnership arrangements, including trust funds and delegated cooperation. However, </w:t>
      </w:r>
      <w:r w:rsidR="00CE2E64">
        <w:t xml:space="preserve">lessons learnt suggest that </w:t>
      </w:r>
      <w:r w:rsidR="006923F0" w:rsidRPr="00816FC2">
        <w:t xml:space="preserve">a strong local Danish presence through a mixture of MFA visits and </w:t>
      </w:r>
      <w:r w:rsidR="00053DBD">
        <w:t>of the deployment of</w:t>
      </w:r>
      <w:r w:rsidR="006923F0" w:rsidRPr="00816FC2">
        <w:t xml:space="preserve"> suitably qualified stabilisation advisors in the region is necessary to ensure that Denmark</w:t>
      </w:r>
      <w:r w:rsidR="00CE2E64">
        <w:t xml:space="preserve"> contributes capacity as well as </w:t>
      </w:r>
      <w:r w:rsidR="006923F0" w:rsidRPr="00816FC2">
        <w:t xml:space="preserve">financing </w:t>
      </w:r>
      <w:r w:rsidR="00CE2E64">
        <w:t xml:space="preserve">to promote the </w:t>
      </w:r>
      <w:r w:rsidR="006923F0" w:rsidRPr="00816FC2">
        <w:t xml:space="preserve">effectiveness and efficiency of the overall </w:t>
      </w:r>
      <w:r w:rsidR="00CE2E64">
        <w:t>programme</w:t>
      </w:r>
      <w:r w:rsidR="006923F0" w:rsidRPr="00816FC2">
        <w:t xml:space="preserve">. </w:t>
      </w:r>
      <w:r w:rsidR="00CE2E64">
        <w:t xml:space="preserve">This will </w:t>
      </w:r>
      <w:r w:rsidR="006923F0" w:rsidRPr="00816FC2">
        <w:t>contribute to a strong monitoring set</w:t>
      </w:r>
      <w:r w:rsidR="00053DBD">
        <w:t>-</w:t>
      </w:r>
      <w:r w:rsidR="006923F0" w:rsidRPr="00816FC2">
        <w:t xml:space="preserve">up able to draw from partner monitoring and Third Party Monitoring arrangements. </w:t>
      </w:r>
    </w:p>
    <w:p w:rsidR="00861F46" w:rsidRDefault="00414C21" w:rsidP="00B0575B">
      <w:r w:rsidRPr="00816FC2">
        <w:t xml:space="preserve">While the </w:t>
      </w:r>
      <w:r w:rsidRPr="00816FC2">
        <w:rPr>
          <w:b/>
        </w:rPr>
        <w:t>sustainability</w:t>
      </w:r>
      <w:r w:rsidRPr="00816FC2">
        <w:t xml:space="preserve"> of immediate stabilisation activities may not always be top priority (speed of delivery may</w:t>
      </w:r>
      <w:r w:rsidR="00B0575B">
        <w:t xml:space="preserve"> </w:t>
      </w:r>
      <w:r w:rsidRPr="00816FC2">
        <w:t>be equally</w:t>
      </w:r>
      <w:r w:rsidR="00AF2155">
        <w:t xml:space="preserve"> </w:t>
      </w:r>
      <w:r w:rsidR="00B0575B">
        <w:t>critical</w:t>
      </w:r>
      <w:r w:rsidR="00AF2155">
        <w:t xml:space="preserve">, </w:t>
      </w:r>
      <w:r w:rsidR="00AF2155" w:rsidRPr="00816FC2">
        <w:t>the</w:t>
      </w:r>
      <w:r w:rsidR="00861F46">
        <w:t xml:space="preserve"> programme will utilise opportunities </w:t>
      </w:r>
      <w:r w:rsidR="00AF2155" w:rsidRPr="00816FC2">
        <w:t xml:space="preserve">to build in longer-lasting effects; for example, through </w:t>
      </w:r>
      <w:r w:rsidR="00AF2155">
        <w:t>promoting inclusive, transparent and accountable</w:t>
      </w:r>
      <w:r w:rsidR="00AF2155" w:rsidRPr="00816FC2">
        <w:t xml:space="preserve"> governance arrangements</w:t>
      </w:r>
      <w:r w:rsidR="0051255A">
        <w:t xml:space="preserve">, including </w:t>
      </w:r>
      <w:r w:rsidR="00861F46">
        <w:t xml:space="preserve">through </w:t>
      </w:r>
      <w:r w:rsidR="0051255A">
        <w:t>capacity development</w:t>
      </w:r>
      <w:r w:rsidR="00AF2155" w:rsidRPr="00816FC2">
        <w:t>.</w:t>
      </w:r>
      <w:r w:rsidR="00EA0FFC">
        <w:t xml:space="preserve"> </w:t>
      </w:r>
      <w:r w:rsidR="0089144C">
        <w:t>Mo</w:t>
      </w:r>
      <w:r w:rsidR="008659D0">
        <w:t>s</w:t>
      </w:r>
      <w:r w:rsidR="0089144C">
        <w:t>t</w:t>
      </w:r>
      <w:r w:rsidR="008659D0">
        <w:t xml:space="preserve"> of the programme’s </w:t>
      </w:r>
      <w:r w:rsidR="00B92FCB">
        <w:t xml:space="preserve">engagements </w:t>
      </w:r>
      <w:r w:rsidR="008659D0">
        <w:t xml:space="preserve">provide opportunities for this; </w:t>
      </w:r>
      <w:r w:rsidR="0089144C">
        <w:t xml:space="preserve">in Syria </w:t>
      </w:r>
      <w:r w:rsidR="008659D0">
        <w:t>particularly</w:t>
      </w:r>
      <w:r w:rsidR="00B92FCB">
        <w:t xml:space="preserve"> </w:t>
      </w:r>
      <w:r w:rsidR="008659D0">
        <w:t>AJACS, SCD, Baytna and TDA</w:t>
      </w:r>
      <w:r w:rsidR="0089144C">
        <w:t xml:space="preserve"> and, in Iraq, FFIS and mine action.</w:t>
      </w:r>
    </w:p>
    <w:p w:rsidR="00835A0C" w:rsidRDefault="00EA0FFC" w:rsidP="00B0575B">
      <w:r>
        <w:t>The</w:t>
      </w:r>
      <w:r w:rsidR="0051255A">
        <w:t xml:space="preserve"> two</w:t>
      </w:r>
      <w:r w:rsidR="00B0575B">
        <w:t xml:space="preserve"> stabilisation advisers </w:t>
      </w:r>
      <w:r w:rsidR="0051255A">
        <w:t xml:space="preserve">will </w:t>
      </w:r>
      <w:r w:rsidR="00B0575B">
        <w:t xml:space="preserve">work with project partners to implement a </w:t>
      </w:r>
      <w:r w:rsidR="00B0575B" w:rsidRPr="00A947E7">
        <w:rPr>
          <w:b/>
          <w:bCs/>
        </w:rPr>
        <w:t>Human Rights-Based Approach</w:t>
      </w:r>
      <w:r w:rsidR="00B0575B">
        <w:t xml:space="preserve"> (HRBA)</w:t>
      </w:r>
      <w:r w:rsidR="0089144C">
        <w:t xml:space="preserve"> and prioritise </w:t>
      </w:r>
      <w:r w:rsidR="0089144C" w:rsidRPr="00835A0C">
        <w:rPr>
          <w:b/>
        </w:rPr>
        <w:t>Responsibility to Protect</w:t>
      </w:r>
      <w:r w:rsidR="0089144C">
        <w:t xml:space="preserve"> (R2P) objectives</w:t>
      </w:r>
      <w:r>
        <w:t>.</w:t>
      </w:r>
      <w:r w:rsidR="00206D44">
        <w:t xml:space="preserve"> </w:t>
      </w:r>
      <w:r w:rsidR="00414C21" w:rsidRPr="00816FC2">
        <w:t xml:space="preserve">In Iraq, programme partners are </w:t>
      </w:r>
      <w:r w:rsidR="00206D44">
        <w:t xml:space="preserve">already </w:t>
      </w:r>
      <w:r w:rsidR="00414C21" w:rsidRPr="00816FC2">
        <w:t xml:space="preserve">engaged in a dialogue with the </w:t>
      </w:r>
      <w:r w:rsidR="00B0575B">
        <w:t xml:space="preserve">GoI on issues that relate to the </w:t>
      </w:r>
      <w:r w:rsidR="00414C21" w:rsidRPr="00816FC2">
        <w:t>protect</w:t>
      </w:r>
      <w:r w:rsidR="00B0575B">
        <w:t>ion of</w:t>
      </w:r>
      <w:r w:rsidR="00414C21" w:rsidRPr="00816FC2">
        <w:t xml:space="preserve"> citizen’s rights</w:t>
      </w:r>
      <w:r w:rsidR="00B0575B">
        <w:t>, including justice reform and the devolution of power</w:t>
      </w:r>
      <w:r w:rsidR="00414C21" w:rsidRPr="00816FC2">
        <w:t xml:space="preserve">. UNDP’s </w:t>
      </w:r>
      <w:r w:rsidR="00206D44">
        <w:t xml:space="preserve">FFIS </w:t>
      </w:r>
      <w:r w:rsidR="00414C21" w:rsidRPr="00816FC2">
        <w:t>programme</w:t>
      </w:r>
      <w:r w:rsidR="00B0575B">
        <w:t xml:space="preserve"> </w:t>
      </w:r>
      <w:r w:rsidR="00414C21" w:rsidRPr="00816FC2">
        <w:t xml:space="preserve"> integrates an HRBA approach</w:t>
      </w:r>
      <w:r w:rsidR="00B0575B">
        <w:t xml:space="preserve"> in its design</w:t>
      </w:r>
      <w:r w:rsidR="00835A0C">
        <w:t>,</w:t>
      </w:r>
      <w:r w:rsidR="00B0575B">
        <w:t xml:space="preserve"> which</w:t>
      </w:r>
      <w:r w:rsidR="00414C21" w:rsidRPr="00816FC2">
        <w:t xml:space="preserve"> </w:t>
      </w:r>
      <w:r>
        <w:t xml:space="preserve">also prioritises </w:t>
      </w:r>
      <w:r w:rsidR="00414C21" w:rsidRPr="00816FC2">
        <w:t>gender</w:t>
      </w:r>
      <w:r w:rsidR="00B0575B">
        <w:t xml:space="preserve"> sensitivity</w:t>
      </w:r>
      <w:r w:rsidR="007625A8">
        <w:t xml:space="preserve"> (this includes involvement of local authorities and local communities, the latter </w:t>
      </w:r>
      <w:r w:rsidR="00E827FA">
        <w:t>particularly in relation to window 4 – reconciliation)</w:t>
      </w:r>
      <w:r w:rsidR="00414C21" w:rsidRPr="00816FC2">
        <w:t xml:space="preserve">. </w:t>
      </w:r>
      <w:r w:rsidR="00A42213">
        <w:t xml:space="preserve">In Syria, </w:t>
      </w:r>
      <w:r w:rsidR="00E827FA">
        <w:t xml:space="preserve">the scope for </w:t>
      </w:r>
      <w:r w:rsidR="00403EAE">
        <w:t xml:space="preserve">working on R2P with the regime is precluded, although a number </w:t>
      </w:r>
      <w:r w:rsidR="00403EAE">
        <w:lastRenderedPageBreak/>
        <w:t xml:space="preserve">of the engagements explicitely prioritise protection issues (notably AJACS and SCD). In relation to HRBA, </w:t>
      </w:r>
      <w:r w:rsidR="00414C21" w:rsidRPr="00816FC2">
        <w:t xml:space="preserve">the </w:t>
      </w:r>
      <w:r w:rsidR="005E7E6C">
        <w:t>C</w:t>
      </w:r>
      <w:r w:rsidR="00414C21" w:rsidRPr="00816FC2">
        <w:t xml:space="preserve">ommunity </w:t>
      </w:r>
      <w:r w:rsidR="005E7E6C">
        <w:t>S</w:t>
      </w:r>
      <w:r w:rsidR="00414C21" w:rsidRPr="00816FC2">
        <w:t xml:space="preserve">afety </w:t>
      </w:r>
      <w:r w:rsidR="005E7E6C">
        <w:t>W</w:t>
      </w:r>
      <w:r w:rsidR="00414C21" w:rsidRPr="00816FC2">
        <w:t xml:space="preserve">orking </w:t>
      </w:r>
      <w:r w:rsidR="005E7E6C">
        <w:t>G</w:t>
      </w:r>
      <w:r w:rsidR="00414C21" w:rsidRPr="00816FC2">
        <w:t xml:space="preserve">roups </w:t>
      </w:r>
      <w:r w:rsidR="005E7E6C">
        <w:t xml:space="preserve">(CSWGs) </w:t>
      </w:r>
      <w:r w:rsidR="00414C21" w:rsidRPr="00816FC2">
        <w:t xml:space="preserve">set up under the AJACS programme, the CSO grant mechanism under Baytna, and the dialogue fora established through TDA </w:t>
      </w:r>
      <w:r w:rsidR="00A42213">
        <w:t>all prioritise p</w:t>
      </w:r>
      <w:r w:rsidR="00A42213" w:rsidRPr="00816FC2">
        <w:t>articipation and non-discrimination</w:t>
      </w:r>
      <w:r w:rsidR="00414C21" w:rsidRPr="00816FC2">
        <w:t xml:space="preserve">. </w:t>
      </w:r>
    </w:p>
    <w:p w:rsidR="003D1E27" w:rsidRPr="00B07765" w:rsidRDefault="003D1E27" w:rsidP="003D1E27">
      <w:r w:rsidRPr="00816FC2">
        <w:t>The</w:t>
      </w:r>
      <w:r w:rsidR="00403EAE">
        <w:t xml:space="preserve"> engagements </w:t>
      </w:r>
      <w:r>
        <w:t xml:space="preserve">are also </w:t>
      </w:r>
      <w:r w:rsidRPr="00816FC2">
        <w:t xml:space="preserve">vehicles through which the programme will contribute to </w:t>
      </w:r>
      <w:r w:rsidRPr="00835A0C">
        <w:rPr>
          <w:b/>
        </w:rPr>
        <w:t>gender equality</w:t>
      </w:r>
      <w:r>
        <w:t xml:space="preserve"> and women’s empowerment and </w:t>
      </w:r>
      <w:r w:rsidRPr="00816FC2">
        <w:t xml:space="preserve">the </w:t>
      </w:r>
      <w:r w:rsidRPr="00816FC2">
        <w:rPr>
          <w:i/>
        </w:rPr>
        <w:t>Danish Action Plan on UNSCR 1325</w:t>
      </w:r>
      <w:r w:rsidRPr="00816FC2">
        <w:t xml:space="preserve">. </w:t>
      </w:r>
      <w:r>
        <w:t xml:space="preserve">For example, </w:t>
      </w:r>
      <w:r w:rsidR="007E5AEA">
        <w:t xml:space="preserve">in Iraq, </w:t>
      </w:r>
      <w:r>
        <w:t xml:space="preserve">women’s participation is a focus area of the FFIS </w:t>
      </w:r>
      <w:r w:rsidR="00E93800">
        <w:t>(particularly windows 2 – livelihoods and 4 - reconciliation)</w:t>
      </w:r>
      <w:r w:rsidR="00E70943">
        <w:t>; UNMAS activities will follow the 2010 UN Gender Guidelines for Mine Action</w:t>
      </w:r>
      <w:r w:rsidR="00D6557E">
        <w:t xml:space="preserve"> and pay special attention to gender aspects of mine risk education, victim assistance, and advocacy; </w:t>
      </w:r>
      <w:r w:rsidR="007E5AEA">
        <w:t xml:space="preserve">in Syria, women’s rights and gender development will be one of the thematic clusters pursued by Baytna; </w:t>
      </w:r>
      <w:r w:rsidR="00F36680">
        <w:t xml:space="preserve">TDA will have a focus on the role of women as mediators </w:t>
      </w:r>
      <w:r w:rsidR="006C4910">
        <w:t>(as one of its four outputs)</w:t>
      </w:r>
      <w:r w:rsidR="000164FD">
        <w:t>, which is also relevant to UNSCR 1325</w:t>
      </w:r>
      <w:r w:rsidR="006C4910">
        <w:t xml:space="preserve">; </w:t>
      </w:r>
      <w:r w:rsidR="000E31C6" w:rsidRPr="00B07765">
        <w:rPr>
          <w:rFonts w:cs="Arial"/>
        </w:rPr>
        <w:t>SCD Women Points will be established to provide first line emergency medical services and community awareness raising from women to women</w:t>
      </w:r>
      <w:r w:rsidR="00477189">
        <w:rPr>
          <w:rFonts w:cs="Arial"/>
        </w:rPr>
        <w:t xml:space="preserve">; and AJACS support the FSP’s </w:t>
      </w:r>
      <w:r w:rsidR="00677354">
        <w:rPr>
          <w:rFonts w:cs="Arial"/>
        </w:rPr>
        <w:t>women’s police units and its capacity to deal with crimes relating to or involving women.</w:t>
      </w:r>
      <w:r w:rsidR="004B6A24">
        <w:rPr>
          <w:rFonts w:cs="Arial"/>
        </w:rPr>
        <w:t xml:space="preserve"> The inclusion of women in C</w:t>
      </w:r>
      <w:r w:rsidR="005E7E6C">
        <w:rPr>
          <w:rFonts w:cs="Arial"/>
        </w:rPr>
        <w:t>SWGs</w:t>
      </w:r>
      <w:r w:rsidR="004B6A24">
        <w:rPr>
          <w:rFonts w:cs="Arial"/>
        </w:rPr>
        <w:t xml:space="preserve"> is also an AJACS priority.</w:t>
      </w:r>
      <w:r w:rsidR="00E70943" w:rsidRPr="00B07765">
        <w:t xml:space="preserve"> </w:t>
      </w:r>
    </w:p>
    <w:p w:rsidR="006923F0" w:rsidRPr="00816FC2" w:rsidRDefault="006E33A1" w:rsidP="007B2E4E">
      <w:pPr>
        <w:pStyle w:val="Overskrift1"/>
      </w:pPr>
      <w:bookmarkStart w:id="37" w:name="_Toc332370517"/>
      <w:bookmarkStart w:id="38" w:name="_Toc323740985"/>
      <w:r w:rsidRPr="00816FC2">
        <w:lastRenderedPageBreak/>
        <w:t xml:space="preserve">Summary of Thematic </w:t>
      </w:r>
      <w:r w:rsidR="006923F0" w:rsidRPr="00816FC2">
        <w:t>Programmes</w:t>
      </w:r>
      <w:bookmarkEnd w:id="37"/>
      <w:r w:rsidR="006923F0" w:rsidRPr="00816FC2">
        <w:t xml:space="preserve"> </w:t>
      </w:r>
    </w:p>
    <w:p w:rsidR="006E33A1" w:rsidRPr="00816FC2" w:rsidRDefault="006E33A1" w:rsidP="006E33A1">
      <w:r w:rsidRPr="00816FC2">
        <w:t xml:space="preserve">This </w:t>
      </w:r>
      <w:r w:rsidR="005B4C0E">
        <w:t>s</w:t>
      </w:r>
      <w:r w:rsidR="00770D7A">
        <w:t>ection</w:t>
      </w:r>
      <w:r w:rsidRPr="00816FC2">
        <w:t xml:space="preserve"> provides an overview of the logic, rationale and basic content of the three thematic programmes </w:t>
      </w:r>
      <w:r w:rsidR="006C0F6D" w:rsidRPr="00816FC2">
        <w:t xml:space="preserve">(TPs) </w:t>
      </w:r>
      <w:r w:rsidRPr="00816FC2">
        <w:t xml:space="preserve">and their </w:t>
      </w:r>
      <w:r w:rsidR="006C0F6D" w:rsidRPr="00816FC2">
        <w:t>peace and stabilisation engagements (PSEs). Further details are provided in the accompanying PSEDs and project documentation.</w:t>
      </w:r>
    </w:p>
    <w:p w:rsidR="0012383F" w:rsidRPr="00816FC2" w:rsidRDefault="00211B5A" w:rsidP="0080400C">
      <w:pPr>
        <w:pStyle w:val="Overskrift2"/>
      </w:pPr>
      <w:bookmarkStart w:id="39" w:name="_Toc332370518"/>
      <w:r w:rsidRPr="00816FC2">
        <w:t>TP1: Political Dialogue and P</w:t>
      </w:r>
      <w:r w:rsidR="00A95F44" w:rsidRPr="00816FC2">
        <w:t>eace</w:t>
      </w:r>
      <w:r w:rsidR="0012383F" w:rsidRPr="00816FC2">
        <w:t>building</w:t>
      </w:r>
      <w:bookmarkEnd w:id="38"/>
      <w:bookmarkEnd w:id="39"/>
    </w:p>
    <w:p w:rsidR="00575153" w:rsidRPr="00816FC2" w:rsidRDefault="00575153" w:rsidP="008770FD">
      <w:pPr>
        <w:pStyle w:val="Overskrift3"/>
      </w:pPr>
      <w:bookmarkStart w:id="40" w:name="_Toc323740987"/>
      <w:r w:rsidRPr="00816FC2">
        <w:t>Thematic objectives</w:t>
      </w:r>
      <w:bookmarkEnd w:id="40"/>
    </w:p>
    <w:p w:rsidR="005B4C0E" w:rsidRPr="00B8275B" w:rsidRDefault="00360B2D" w:rsidP="005B4C0E">
      <w:r w:rsidRPr="00816FC2">
        <w:t>The thematic objective of the support to political dialogue and peace building is</w:t>
      </w:r>
      <w:r w:rsidR="005B4C0E">
        <w:t>:</w:t>
      </w:r>
      <w:r w:rsidRPr="00816FC2">
        <w:t xml:space="preserve"> </w:t>
      </w:r>
      <w:r w:rsidR="005B4C0E" w:rsidRPr="005B4C0E">
        <w:rPr>
          <w:i/>
        </w:rPr>
        <w:t>The coherence and quality of peace initiatives in Syria and reconciliation in Iraq are reinforced, thereby countering Da’esh and other extremist groups and promoting the role of moderate actors.</w:t>
      </w:r>
    </w:p>
    <w:p w:rsidR="00AA1132" w:rsidRPr="00816FC2" w:rsidRDefault="00AC6BAA" w:rsidP="00575153">
      <w:r w:rsidRPr="00816FC2">
        <w:t>TP1 addresses two fundamental enablers of progress towards sustainable peace in Syria and Iraq: the need to gain and maintain traction in the Syrian peace process through political dialogue, and the need to support civil society to promote a counterweight to Da’esh ideology and achieve broader peace building and reconciliation goals in both countries.</w:t>
      </w:r>
      <w:r w:rsidR="00D272ED" w:rsidRPr="00816FC2">
        <w:t xml:space="preserve"> </w:t>
      </w:r>
    </w:p>
    <w:p w:rsidR="00575153" w:rsidRPr="00816FC2" w:rsidRDefault="00575153" w:rsidP="00575153">
      <w:r w:rsidRPr="00816FC2">
        <w:t>D</w:t>
      </w:r>
      <w:r w:rsidR="00683C17" w:rsidRPr="00816FC2">
        <w:t xml:space="preserve">anish policy is </w:t>
      </w:r>
      <w:r w:rsidRPr="00816FC2">
        <w:t>that only negotiated settlement</w:t>
      </w:r>
      <w:r w:rsidR="00683C17" w:rsidRPr="00816FC2">
        <w:t>s</w:t>
      </w:r>
      <w:r w:rsidRPr="00816FC2">
        <w:t xml:space="preserve"> can effectively end the conflict in Syria and ensure a sustainable political settlement in Iraq. Though efforts towards a political resolution to the Syrian crisis have yet to achieve tangible results, it remains essential that the international community continues to push for a peaceful </w:t>
      </w:r>
      <w:r w:rsidR="005C3BD4">
        <w:t xml:space="preserve">political </w:t>
      </w:r>
      <w:r w:rsidRPr="00816FC2">
        <w:t>solution to both conflicts.</w:t>
      </w:r>
    </w:p>
    <w:p w:rsidR="00A95F44" w:rsidRPr="00816FC2" w:rsidRDefault="00AC6BAA" w:rsidP="0080400C">
      <w:r w:rsidRPr="00816FC2">
        <w:t xml:space="preserve">In line with the scenario assessment presented earlier, continued Danish support to political dialogue, peace building and civil society will help to achieve the overall policy objectives of degrading Da’esh and supporting moderate </w:t>
      </w:r>
      <w:r w:rsidR="00683C17" w:rsidRPr="00816FC2">
        <w:t>actors</w:t>
      </w:r>
      <w:r w:rsidRPr="00816FC2">
        <w:t xml:space="preserve">. </w:t>
      </w:r>
    </w:p>
    <w:p w:rsidR="0012383F" w:rsidRPr="00816FC2" w:rsidRDefault="0012383F" w:rsidP="008770FD">
      <w:pPr>
        <w:pStyle w:val="Overskrift3"/>
      </w:pPr>
      <w:bookmarkStart w:id="41" w:name="_Toc323740988"/>
      <w:r w:rsidRPr="00816FC2">
        <w:t>Theory of change</w:t>
      </w:r>
      <w:bookmarkEnd w:id="41"/>
    </w:p>
    <w:tbl>
      <w:tblPr>
        <w:tblStyle w:val="Tabel-Gitter"/>
        <w:tblW w:w="9644"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4A0" w:firstRow="1" w:lastRow="0" w:firstColumn="1" w:lastColumn="0" w:noHBand="0" w:noVBand="1"/>
      </w:tblPr>
      <w:tblGrid>
        <w:gridCol w:w="4707"/>
        <w:gridCol w:w="2551"/>
        <w:gridCol w:w="2386"/>
      </w:tblGrid>
      <w:tr w:rsidR="00A95F44" w:rsidRPr="00816FC2" w:rsidTr="006239DE">
        <w:tc>
          <w:tcPr>
            <w:tcW w:w="9644" w:type="dxa"/>
            <w:gridSpan w:val="3"/>
            <w:tcBorders>
              <w:top w:val="single" w:sz="4" w:space="0" w:color="3E2C42"/>
              <w:left w:val="single" w:sz="4" w:space="0" w:color="3E2C42"/>
              <w:bottom w:val="single" w:sz="4" w:space="0" w:color="3E2C42"/>
              <w:right w:val="single" w:sz="4" w:space="0" w:color="3E2C42"/>
            </w:tcBorders>
            <w:shd w:val="clear" w:color="auto" w:fill="3E2C42"/>
          </w:tcPr>
          <w:p w:rsidR="00A95F44" w:rsidRPr="00816FC2" w:rsidRDefault="00A95F44" w:rsidP="00AA1132">
            <w:pPr>
              <w:jc w:val="center"/>
              <w:rPr>
                <w:b/>
                <w:bCs/>
                <w:color w:val="FFFFFF" w:themeColor="background1"/>
                <w:sz w:val="22"/>
                <w:szCs w:val="22"/>
              </w:rPr>
            </w:pPr>
            <w:r w:rsidRPr="00816FC2">
              <w:rPr>
                <w:b/>
                <w:bCs/>
                <w:color w:val="FFFFFF" w:themeColor="background1"/>
                <w:sz w:val="22"/>
                <w:szCs w:val="22"/>
              </w:rPr>
              <w:t xml:space="preserve">TP 1 Theory of Change </w:t>
            </w:r>
            <w:r w:rsidRPr="00816FC2">
              <w:rPr>
                <w:b/>
                <w:bCs/>
                <w:color w:val="FFFFFF" w:themeColor="background1"/>
                <w:sz w:val="22"/>
                <w:szCs w:val="22"/>
              </w:rPr>
              <w:br/>
              <w:t>Political Dialogue and Peacebuilding</w:t>
            </w:r>
          </w:p>
        </w:tc>
      </w:tr>
      <w:tr w:rsidR="00A95F44" w:rsidRPr="00816FC2" w:rsidTr="005268A2">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A95F44" w:rsidP="0080400C">
            <w:pPr>
              <w:rPr>
                <w:sz w:val="22"/>
                <w:szCs w:val="22"/>
              </w:rPr>
            </w:pPr>
            <w:r w:rsidRPr="00816FC2">
              <w:rPr>
                <w:sz w:val="22"/>
                <w:szCs w:val="22"/>
              </w:rPr>
              <w:t>IF</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A95F44" w:rsidP="0080400C">
            <w:pPr>
              <w:rPr>
                <w:sz w:val="22"/>
                <w:szCs w:val="22"/>
              </w:rPr>
            </w:pPr>
            <w:r w:rsidRPr="00816FC2">
              <w:rPr>
                <w:sz w:val="22"/>
                <w:szCs w:val="22"/>
              </w:rPr>
              <w:t>Results</w:t>
            </w:r>
          </w:p>
        </w:tc>
        <w:tc>
          <w:tcPr>
            <w:tcW w:w="2386"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A95F44" w:rsidP="0080400C">
            <w:pPr>
              <w:rPr>
                <w:sz w:val="22"/>
                <w:szCs w:val="22"/>
              </w:rPr>
            </w:pPr>
            <w:r w:rsidRPr="00816FC2">
              <w:rPr>
                <w:sz w:val="22"/>
                <w:szCs w:val="22"/>
              </w:rPr>
              <w:t>Engagement</w:t>
            </w:r>
          </w:p>
        </w:tc>
      </w:tr>
      <w:tr w:rsidR="00A95F44" w:rsidRPr="00816FC2" w:rsidTr="005268A2">
        <w:tc>
          <w:tcPr>
            <w:tcW w:w="4707" w:type="dxa"/>
            <w:tcBorders>
              <w:top w:val="single" w:sz="4" w:space="0" w:color="3E2C42"/>
              <w:left w:val="single" w:sz="4" w:space="0" w:color="3E2C42"/>
              <w:bottom w:val="single" w:sz="4" w:space="0" w:color="3E2C42"/>
              <w:right w:val="single" w:sz="4" w:space="0" w:color="3E2C42"/>
            </w:tcBorders>
          </w:tcPr>
          <w:p w:rsidR="00A95F44" w:rsidRPr="00816FC2" w:rsidRDefault="004536DB" w:rsidP="0080400C">
            <w:pPr>
              <w:rPr>
                <w:sz w:val="22"/>
                <w:szCs w:val="22"/>
              </w:rPr>
            </w:pPr>
            <w:r w:rsidRPr="00816FC2">
              <w:rPr>
                <w:sz w:val="22"/>
                <w:szCs w:val="22"/>
              </w:rPr>
              <w:t>Denmark and its partners support political processes and dialogue for peace in Syria and Iraq</w:t>
            </w:r>
          </w:p>
        </w:tc>
        <w:tc>
          <w:tcPr>
            <w:tcW w:w="2551" w:type="dxa"/>
            <w:tcBorders>
              <w:top w:val="single" w:sz="4" w:space="0" w:color="3E2C42"/>
              <w:left w:val="single" w:sz="4" w:space="0" w:color="3E2C42"/>
              <w:bottom w:val="single" w:sz="4" w:space="0" w:color="3E2C42"/>
              <w:right w:val="single" w:sz="4" w:space="0" w:color="3E2C42"/>
            </w:tcBorders>
          </w:tcPr>
          <w:p w:rsidR="00A95F44" w:rsidRPr="00816FC2" w:rsidRDefault="00A95F44" w:rsidP="0080400C">
            <w:pPr>
              <w:rPr>
                <w:sz w:val="22"/>
                <w:szCs w:val="22"/>
              </w:rPr>
            </w:pPr>
            <w:r w:rsidRPr="00816FC2">
              <w:rPr>
                <w:sz w:val="22"/>
                <w:szCs w:val="22"/>
              </w:rPr>
              <w:t>Intermediate outcome 1.1</w:t>
            </w:r>
          </w:p>
          <w:p w:rsidR="00A95F44" w:rsidRPr="00816FC2" w:rsidRDefault="00A95F44" w:rsidP="0080400C">
            <w:pPr>
              <w:rPr>
                <w:sz w:val="22"/>
                <w:szCs w:val="22"/>
              </w:rPr>
            </w:pPr>
            <w:r w:rsidRPr="00816FC2">
              <w:rPr>
                <w:sz w:val="22"/>
                <w:szCs w:val="22"/>
              </w:rPr>
              <w:t xml:space="preserve">(short and medium term) </w:t>
            </w:r>
          </w:p>
        </w:tc>
        <w:tc>
          <w:tcPr>
            <w:tcW w:w="2386" w:type="dxa"/>
            <w:tcBorders>
              <w:top w:val="single" w:sz="4" w:space="0" w:color="3E2C42"/>
              <w:left w:val="single" w:sz="4" w:space="0" w:color="3E2C42"/>
              <w:bottom w:val="single" w:sz="4" w:space="0" w:color="3E2C42"/>
              <w:right w:val="single" w:sz="4" w:space="0" w:color="3E2C42"/>
            </w:tcBorders>
          </w:tcPr>
          <w:p w:rsidR="00A95F44" w:rsidRPr="00816FC2" w:rsidRDefault="00A95F44" w:rsidP="0080400C">
            <w:pPr>
              <w:rPr>
                <w:sz w:val="22"/>
                <w:szCs w:val="22"/>
              </w:rPr>
            </w:pPr>
            <w:r w:rsidRPr="00816FC2">
              <w:rPr>
                <w:sz w:val="22"/>
                <w:szCs w:val="22"/>
              </w:rPr>
              <w:t xml:space="preserve">Support to </w:t>
            </w:r>
            <w:r w:rsidR="00D272ED" w:rsidRPr="00816FC2">
              <w:rPr>
                <w:sz w:val="22"/>
                <w:szCs w:val="22"/>
              </w:rPr>
              <w:t>Track</w:t>
            </w:r>
            <w:r w:rsidRPr="00816FC2">
              <w:rPr>
                <w:sz w:val="22"/>
                <w:szCs w:val="22"/>
              </w:rPr>
              <w:t>-I peac</w:t>
            </w:r>
            <w:r w:rsidR="008D0663" w:rsidRPr="00816FC2">
              <w:rPr>
                <w:sz w:val="22"/>
                <w:szCs w:val="22"/>
              </w:rPr>
              <w:t>e negotiations (UNDPA</w:t>
            </w:r>
            <w:r w:rsidRPr="00816FC2">
              <w:rPr>
                <w:sz w:val="22"/>
                <w:szCs w:val="22"/>
              </w:rPr>
              <w:t>)</w:t>
            </w:r>
          </w:p>
        </w:tc>
      </w:tr>
      <w:tr w:rsidR="00A95F44" w:rsidRPr="00816FC2" w:rsidTr="005268A2">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4E558D" w:rsidP="0080400C">
            <w:pPr>
              <w:rPr>
                <w:sz w:val="22"/>
                <w:szCs w:val="22"/>
              </w:rPr>
            </w:pPr>
            <w:r w:rsidRPr="00816FC2">
              <w:rPr>
                <w:sz w:val="22"/>
                <w:szCs w:val="22"/>
              </w:rPr>
              <w:t>A</w:t>
            </w:r>
            <w:r w:rsidR="00A95F44" w:rsidRPr="00816FC2">
              <w:rPr>
                <w:sz w:val="22"/>
                <w:szCs w:val="22"/>
              </w:rPr>
              <w:t>nd</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A95F44" w:rsidP="0080400C">
            <w:pPr>
              <w:rPr>
                <w:sz w:val="22"/>
                <w:szCs w:val="22"/>
              </w:rPr>
            </w:pPr>
          </w:p>
        </w:tc>
        <w:tc>
          <w:tcPr>
            <w:tcW w:w="2386" w:type="dxa"/>
            <w:tcBorders>
              <w:top w:val="single" w:sz="4" w:space="0" w:color="3E2C42"/>
              <w:left w:val="single" w:sz="4" w:space="0" w:color="3E2C42"/>
              <w:bottom w:val="single" w:sz="4" w:space="0" w:color="3E2C42"/>
              <w:right w:val="single" w:sz="4" w:space="0" w:color="3E2C42"/>
            </w:tcBorders>
            <w:shd w:val="clear" w:color="auto" w:fill="EBD9E2"/>
          </w:tcPr>
          <w:p w:rsidR="00A95F44" w:rsidRPr="00816FC2" w:rsidRDefault="00A95F44" w:rsidP="0080400C">
            <w:pPr>
              <w:rPr>
                <w:sz w:val="22"/>
                <w:szCs w:val="22"/>
              </w:rPr>
            </w:pPr>
          </w:p>
        </w:tc>
      </w:tr>
      <w:tr w:rsidR="0057481E" w:rsidRPr="00816FC2" w:rsidTr="005268A2">
        <w:tc>
          <w:tcPr>
            <w:tcW w:w="4707"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57481E" w:rsidRPr="00816FC2" w:rsidRDefault="0057481E" w:rsidP="0080400C">
            <w:pPr>
              <w:rPr>
                <w:i/>
                <w:sz w:val="22"/>
                <w:szCs w:val="22"/>
              </w:rPr>
            </w:pPr>
            <w:r w:rsidRPr="00816FC2">
              <w:rPr>
                <w:sz w:val="22"/>
                <w:szCs w:val="22"/>
              </w:rPr>
              <w:t>We improve coordination and information sharing between track I and track II stakeholders about their respective initiatives and achievements</w:t>
            </w:r>
          </w:p>
        </w:tc>
        <w:tc>
          <w:tcPr>
            <w:tcW w:w="2551"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57481E" w:rsidRPr="00816FC2" w:rsidRDefault="0057481E" w:rsidP="0080400C">
            <w:pPr>
              <w:rPr>
                <w:sz w:val="22"/>
                <w:szCs w:val="22"/>
              </w:rPr>
            </w:pPr>
            <w:r w:rsidRPr="00816FC2">
              <w:rPr>
                <w:sz w:val="22"/>
                <w:szCs w:val="22"/>
              </w:rPr>
              <w:t>Intermediate outcome 1.2</w:t>
            </w:r>
          </w:p>
          <w:p w:rsidR="0057481E" w:rsidRPr="00816FC2" w:rsidRDefault="0057481E" w:rsidP="0080400C">
            <w:pPr>
              <w:rPr>
                <w:i/>
                <w:sz w:val="22"/>
                <w:szCs w:val="22"/>
              </w:rPr>
            </w:pPr>
            <w:r w:rsidRPr="00816FC2">
              <w:rPr>
                <w:sz w:val="22"/>
                <w:szCs w:val="22"/>
              </w:rPr>
              <w:t>(short and medium term)</w:t>
            </w:r>
          </w:p>
        </w:tc>
        <w:tc>
          <w:tcPr>
            <w:tcW w:w="2386"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57481E" w:rsidRPr="00816FC2" w:rsidRDefault="0057481E" w:rsidP="0080400C">
            <w:pPr>
              <w:rPr>
                <w:i/>
                <w:sz w:val="22"/>
                <w:szCs w:val="22"/>
              </w:rPr>
            </w:pPr>
            <w:r w:rsidRPr="00816FC2">
              <w:rPr>
                <w:sz w:val="22"/>
                <w:szCs w:val="22"/>
              </w:rPr>
              <w:t>Support to The Day After</w:t>
            </w:r>
          </w:p>
        </w:tc>
      </w:tr>
      <w:tr w:rsidR="0057481E" w:rsidRPr="00816FC2" w:rsidTr="005268A2">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4E558D" w:rsidP="0080400C">
            <w:pPr>
              <w:rPr>
                <w:sz w:val="22"/>
                <w:szCs w:val="22"/>
              </w:rPr>
            </w:pPr>
            <w:r w:rsidRPr="00816FC2">
              <w:rPr>
                <w:sz w:val="22"/>
                <w:szCs w:val="22"/>
              </w:rPr>
              <w:t>A</w:t>
            </w:r>
            <w:r w:rsidR="0057481E" w:rsidRPr="00816FC2">
              <w:rPr>
                <w:sz w:val="22"/>
                <w:szCs w:val="22"/>
              </w:rPr>
              <w:t>nd</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57481E" w:rsidP="0080400C">
            <w:pPr>
              <w:rPr>
                <w:sz w:val="22"/>
                <w:szCs w:val="22"/>
              </w:rPr>
            </w:pPr>
          </w:p>
        </w:tc>
        <w:tc>
          <w:tcPr>
            <w:tcW w:w="2386"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57481E" w:rsidP="0080400C">
            <w:pPr>
              <w:rPr>
                <w:sz w:val="22"/>
                <w:szCs w:val="22"/>
              </w:rPr>
            </w:pPr>
          </w:p>
        </w:tc>
      </w:tr>
      <w:tr w:rsidR="0057481E" w:rsidRPr="00816FC2" w:rsidTr="005268A2">
        <w:tc>
          <w:tcPr>
            <w:tcW w:w="4707" w:type="dxa"/>
            <w:tcBorders>
              <w:top w:val="single" w:sz="4" w:space="0" w:color="3E2C42"/>
              <w:left w:val="single" w:sz="4" w:space="0" w:color="3E2C42"/>
              <w:bottom w:val="single" w:sz="4" w:space="0" w:color="3E2C42"/>
              <w:right w:val="single" w:sz="4" w:space="0" w:color="3E2C42"/>
            </w:tcBorders>
          </w:tcPr>
          <w:p w:rsidR="0057481E" w:rsidRPr="00816FC2" w:rsidRDefault="00981F12" w:rsidP="0080400C">
            <w:pPr>
              <w:rPr>
                <w:sz w:val="22"/>
                <w:szCs w:val="22"/>
              </w:rPr>
            </w:pPr>
            <w:r w:rsidRPr="00816FC2">
              <w:rPr>
                <w:sz w:val="22"/>
                <w:szCs w:val="22"/>
              </w:rPr>
              <w:t>Strengthen</w:t>
            </w:r>
            <w:r w:rsidR="0057481E" w:rsidRPr="00816FC2">
              <w:rPr>
                <w:sz w:val="22"/>
                <w:szCs w:val="22"/>
              </w:rPr>
              <w:t xml:space="preserve"> </w:t>
            </w:r>
            <w:r w:rsidRPr="00816FC2">
              <w:rPr>
                <w:sz w:val="22"/>
                <w:szCs w:val="22"/>
              </w:rPr>
              <w:t xml:space="preserve">the role of </w:t>
            </w:r>
            <w:r w:rsidR="0057481E" w:rsidRPr="00816FC2">
              <w:rPr>
                <w:sz w:val="22"/>
                <w:szCs w:val="22"/>
              </w:rPr>
              <w:t>moderate civil society actors in Syria and Iraq</w:t>
            </w:r>
            <w:r w:rsidRPr="00816FC2">
              <w:rPr>
                <w:sz w:val="22"/>
                <w:szCs w:val="22"/>
              </w:rPr>
              <w:t xml:space="preserve"> to develop and represent the views and interests of Syrian people across Track I and Track II processes</w:t>
            </w:r>
            <w:r w:rsidR="0057481E" w:rsidRPr="00816FC2">
              <w:rPr>
                <w:sz w:val="22"/>
                <w:szCs w:val="22"/>
              </w:rPr>
              <w:t>.</w:t>
            </w:r>
          </w:p>
        </w:tc>
        <w:tc>
          <w:tcPr>
            <w:tcW w:w="2551" w:type="dxa"/>
            <w:tcBorders>
              <w:top w:val="single" w:sz="4" w:space="0" w:color="3E2C42"/>
              <w:left w:val="single" w:sz="4" w:space="0" w:color="3E2C42"/>
              <w:bottom w:val="single" w:sz="4" w:space="0" w:color="3E2C42"/>
              <w:right w:val="single" w:sz="4" w:space="0" w:color="3E2C42"/>
            </w:tcBorders>
          </w:tcPr>
          <w:p w:rsidR="0057481E" w:rsidRPr="00816FC2" w:rsidRDefault="006239DE" w:rsidP="0080400C">
            <w:pPr>
              <w:rPr>
                <w:sz w:val="22"/>
                <w:szCs w:val="22"/>
              </w:rPr>
            </w:pPr>
            <w:r w:rsidRPr="00816FC2">
              <w:rPr>
                <w:sz w:val="22"/>
                <w:szCs w:val="22"/>
              </w:rPr>
              <w:t xml:space="preserve">Intermediate outcome 1.3 </w:t>
            </w:r>
            <w:r w:rsidR="0057481E" w:rsidRPr="00816FC2">
              <w:rPr>
                <w:sz w:val="22"/>
                <w:szCs w:val="22"/>
              </w:rPr>
              <w:t>(short and medium term)</w:t>
            </w:r>
          </w:p>
        </w:tc>
        <w:tc>
          <w:tcPr>
            <w:tcW w:w="2386" w:type="dxa"/>
            <w:tcBorders>
              <w:top w:val="single" w:sz="4" w:space="0" w:color="3E2C42"/>
              <w:left w:val="single" w:sz="4" w:space="0" w:color="3E2C42"/>
              <w:bottom w:val="single" w:sz="4" w:space="0" w:color="3E2C42"/>
              <w:right w:val="single" w:sz="4" w:space="0" w:color="3E2C42"/>
            </w:tcBorders>
          </w:tcPr>
          <w:p w:rsidR="0057481E" w:rsidRPr="00816FC2" w:rsidRDefault="0057481E" w:rsidP="0080400C">
            <w:pPr>
              <w:rPr>
                <w:sz w:val="22"/>
                <w:szCs w:val="22"/>
              </w:rPr>
            </w:pPr>
            <w:r w:rsidRPr="00816FC2">
              <w:rPr>
                <w:sz w:val="22"/>
                <w:szCs w:val="22"/>
              </w:rPr>
              <w:t>Support to Baytna</w:t>
            </w:r>
          </w:p>
          <w:p w:rsidR="00981F12" w:rsidRPr="00816FC2" w:rsidRDefault="00981F12" w:rsidP="0080400C">
            <w:pPr>
              <w:rPr>
                <w:sz w:val="22"/>
                <w:szCs w:val="22"/>
              </w:rPr>
            </w:pPr>
            <w:r w:rsidRPr="00816FC2">
              <w:rPr>
                <w:sz w:val="22"/>
                <w:szCs w:val="22"/>
              </w:rPr>
              <w:t>Support to FFIS</w:t>
            </w:r>
          </w:p>
        </w:tc>
      </w:tr>
      <w:tr w:rsidR="0057481E" w:rsidRPr="00816FC2" w:rsidTr="005268A2">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57481E" w:rsidP="0080400C">
            <w:pPr>
              <w:rPr>
                <w:sz w:val="22"/>
                <w:szCs w:val="22"/>
              </w:rPr>
            </w:pPr>
            <w:r w:rsidRPr="00816FC2">
              <w:rPr>
                <w:sz w:val="22"/>
                <w:szCs w:val="22"/>
              </w:rPr>
              <w:t>THEN</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57481E" w:rsidP="0080400C">
            <w:pPr>
              <w:rPr>
                <w:sz w:val="22"/>
                <w:szCs w:val="22"/>
              </w:rPr>
            </w:pPr>
          </w:p>
        </w:tc>
        <w:tc>
          <w:tcPr>
            <w:tcW w:w="2386" w:type="dxa"/>
            <w:tcBorders>
              <w:top w:val="single" w:sz="4" w:space="0" w:color="3E2C42"/>
              <w:left w:val="single" w:sz="4" w:space="0" w:color="3E2C42"/>
              <w:bottom w:val="single" w:sz="4" w:space="0" w:color="3E2C42"/>
              <w:right w:val="single" w:sz="4" w:space="0" w:color="3E2C42"/>
            </w:tcBorders>
            <w:shd w:val="clear" w:color="auto" w:fill="EBD9E2"/>
          </w:tcPr>
          <w:p w:rsidR="0057481E" w:rsidRPr="00816FC2" w:rsidRDefault="0057481E" w:rsidP="0080400C">
            <w:pPr>
              <w:rPr>
                <w:sz w:val="22"/>
                <w:szCs w:val="22"/>
              </w:rPr>
            </w:pPr>
          </w:p>
        </w:tc>
      </w:tr>
      <w:tr w:rsidR="0057481E" w:rsidRPr="00816FC2" w:rsidTr="005268A2">
        <w:tc>
          <w:tcPr>
            <w:tcW w:w="4707" w:type="dxa"/>
            <w:tcBorders>
              <w:top w:val="single" w:sz="4" w:space="0" w:color="3E2C42"/>
              <w:left w:val="single" w:sz="4" w:space="0" w:color="3E2C42"/>
              <w:bottom w:val="single" w:sz="4" w:space="0" w:color="3E2C42"/>
              <w:right w:val="single" w:sz="4" w:space="0" w:color="3E2C42"/>
            </w:tcBorders>
          </w:tcPr>
          <w:p w:rsidR="0057481E" w:rsidRPr="00816FC2" w:rsidRDefault="0057481E" w:rsidP="0080400C">
            <w:pPr>
              <w:rPr>
                <w:sz w:val="22"/>
                <w:szCs w:val="22"/>
              </w:rPr>
            </w:pPr>
            <w:r w:rsidRPr="00816FC2">
              <w:rPr>
                <w:sz w:val="22"/>
                <w:szCs w:val="22"/>
              </w:rPr>
              <w:t>Conditions for a</w:t>
            </w:r>
            <w:r w:rsidR="006239DE" w:rsidRPr="00816FC2">
              <w:rPr>
                <w:sz w:val="22"/>
                <w:szCs w:val="22"/>
              </w:rPr>
              <w:t>n inclusive</w:t>
            </w:r>
            <w:r w:rsidRPr="00816FC2">
              <w:rPr>
                <w:sz w:val="22"/>
                <w:szCs w:val="22"/>
              </w:rPr>
              <w:t xml:space="preserve"> political resolution to the conflict</w:t>
            </w:r>
            <w:r w:rsidR="00FD08FA" w:rsidRPr="00816FC2">
              <w:rPr>
                <w:sz w:val="22"/>
                <w:szCs w:val="22"/>
              </w:rPr>
              <w:t>s</w:t>
            </w:r>
            <w:r w:rsidRPr="00816FC2">
              <w:rPr>
                <w:sz w:val="22"/>
                <w:szCs w:val="22"/>
              </w:rPr>
              <w:t xml:space="preserve"> in Syria </w:t>
            </w:r>
            <w:r w:rsidR="00FD08FA" w:rsidRPr="00816FC2">
              <w:rPr>
                <w:sz w:val="22"/>
                <w:szCs w:val="22"/>
              </w:rPr>
              <w:t xml:space="preserve">and Iraq </w:t>
            </w:r>
            <w:r w:rsidRPr="00816FC2">
              <w:rPr>
                <w:sz w:val="22"/>
                <w:szCs w:val="22"/>
              </w:rPr>
              <w:t>will be maintained</w:t>
            </w:r>
            <w:r w:rsidR="006239DE" w:rsidRPr="00816FC2">
              <w:rPr>
                <w:sz w:val="22"/>
                <w:szCs w:val="22"/>
              </w:rPr>
              <w:t xml:space="preserve"> with moderate narratives and views better represented within Track 1 processes.</w:t>
            </w:r>
          </w:p>
        </w:tc>
        <w:tc>
          <w:tcPr>
            <w:tcW w:w="2551" w:type="dxa"/>
            <w:tcBorders>
              <w:top w:val="single" w:sz="4" w:space="0" w:color="3E2C42"/>
              <w:left w:val="single" w:sz="4" w:space="0" w:color="3E2C42"/>
              <w:bottom w:val="single" w:sz="4" w:space="0" w:color="3E2C42"/>
              <w:right w:val="single" w:sz="4" w:space="0" w:color="3E2C42"/>
            </w:tcBorders>
          </w:tcPr>
          <w:p w:rsidR="0057481E" w:rsidRPr="00816FC2" w:rsidRDefault="0057481E" w:rsidP="0080400C">
            <w:pPr>
              <w:rPr>
                <w:sz w:val="22"/>
                <w:szCs w:val="22"/>
              </w:rPr>
            </w:pPr>
            <w:r w:rsidRPr="00816FC2">
              <w:rPr>
                <w:sz w:val="22"/>
                <w:szCs w:val="22"/>
              </w:rPr>
              <w:t>OUTCOME 1</w:t>
            </w:r>
          </w:p>
          <w:p w:rsidR="0057481E" w:rsidRPr="00816FC2" w:rsidRDefault="0057481E" w:rsidP="0080400C">
            <w:pPr>
              <w:rPr>
                <w:sz w:val="22"/>
                <w:szCs w:val="22"/>
              </w:rPr>
            </w:pPr>
            <w:r w:rsidRPr="00816FC2">
              <w:rPr>
                <w:sz w:val="22"/>
                <w:szCs w:val="22"/>
              </w:rPr>
              <w:t>(Long-term)</w:t>
            </w:r>
          </w:p>
        </w:tc>
        <w:tc>
          <w:tcPr>
            <w:tcW w:w="2386" w:type="dxa"/>
            <w:tcBorders>
              <w:top w:val="single" w:sz="4" w:space="0" w:color="3E2C42"/>
              <w:left w:val="single" w:sz="4" w:space="0" w:color="3E2C42"/>
              <w:bottom w:val="single" w:sz="4" w:space="0" w:color="3E2C42"/>
              <w:right w:val="single" w:sz="4" w:space="0" w:color="3E2C42"/>
            </w:tcBorders>
          </w:tcPr>
          <w:p w:rsidR="0057481E" w:rsidRPr="00816FC2" w:rsidRDefault="0057481E" w:rsidP="0080400C">
            <w:pPr>
              <w:rPr>
                <w:sz w:val="22"/>
                <w:szCs w:val="22"/>
                <w:highlight w:val="yellow"/>
              </w:rPr>
            </w:pPr>
          </w:p>
        </w:tc>
      </w:tr>
    </w:tbl>
    <w:p w:rsidR="00575153" w:rsidRPr="00816FC2" w:rsidRDefault="00575153" w:rsidP="00575153"/>
    <w:p w:rsidR="00843F7B" w:rsidRPr="00816FC2" w:rsidRDefault="00843F7B" w:rsidP="008770FD">
      <w:pPr>
        <w:pStyle w:val="Overskrift3"/>
      </w:pPr>
      <w:r w:rsidRPr="00816FC2">
        <w:lastRenderedPageBreak/>
        <w:t xml:space="preserve">Overview of </w:t>
      </w:r>
      <w:r w:rsidR="00AF2855" w:rsidRPr="00816FC2">
        <w:t xml:space="preserve">TP1 </w:t>
      </w:r>
      <w:r w:rsidRPr="00816FC2">
        <w:t>Engagements</w:t>
      </w:r>
    </w:p>
    <w:p w:rsidR="00575153" w:rsidRPr="00816FC2" w:rsidRDefault="0057481E" w:rsidP="0093426F">
      <w:r w:rsidRPr="00816FC2">
        <w:t xml:space="preserve">Denmark will continue its support to the United Nations and its efforts to find a political solution to the conflict by providing </w:t>
      </w:r>
      <w:r w:rsidR="00AB0789" w:rsidRPr="00816FC2">
        <w:t xml:space="preserve">DKK </w:t>
      </w:r>
      <w:r w:rsidR="009A1E8F" w:rsidRPr="00816FC2">
        <w:t>4</w:t>
      </w:r>
      <w:r w:rsidR="00AB0789" w:rsidRPr="00816FC2">
        <w:t xml:space="preserve"> </w:t>
      </w:r>
      <w:r w:rsidRPr="00816FC2">
        <w:t>million in funding to the office of the Speci</w:t>
      </w:r>
      <w:r w:rsidR="00981F12" w:rsidRPr="00816FC2">
        <w:t>al Envoy to Syria via the UNDPA</w:t>
      </w:r>
      <w:r w:rsidR="00575153" w:rsidRPr="00816FC2">
        <w:t xml:space="preserve">, at the same time as supporting TDA and Baytna (with </w:t>
      </w:r>
      <w:r w:rsidR="00AB0789" w:rsidRPr="00816FC2">
        <w:t xml:space="preserve">DKK 10 M </w:t>
      </w:r>
      <w:r w:rsidR="00575153" w:rsidRPr="00816FC2">
        <w:t xml:space="preserve">and </w:t>
      </w:r>
      <w:r w:rsidR="00AB0789" w:rsidRPr="00816FC2">
        <w:t xml:space="preserve">DKK 10 M </w:t>
      </w:r>
      <w:r w:rsidR="00575153" w:rsidRPr="00816FC2">
        <w:t>respectively) to continue their work in creating synergies between Syrian stakeholders on key issues of transition, and amplifying the voice of moderate civil society and other Trac</w:t>
      </w:r>
      <w:r w:rsidR="0080570A" w:rsidRPr="00816FC2">
        <w:t>k II actors within the Track I process.</w:t>
      </w:r>
      <w:r w:rsidR="0093426F">
        <w:t xml:space="preserve"> UNDPA support will be reviewed in the 2017 MTD to ensure continued relevance with future contextual and political developments.</w:t>
      </w:r>
    </w:p>
    <w:p w:rsidR="00981F12" w:rsidRPr="00816FC2" w:rsidRDefault="001B0675" w:rsidP="00575153">
      <w:pPr>
        <w:rPr>
          <w:bCs/>
        </w:rPr>
      </w:pPr>
      <w:r w:rsidRPr="00816FC2">
        <w:t xml:space="preserve">In Iraq, </w:t>
      </w:r>
      <w:r w:rsidR="00981F12" w:rsidRPr="00816FC2">
        <w:t xml:space="preserve">support will be provided to the </w:t>
      </w:r>
      <w:r w:rsidRPr="00816FC2">
        <w:t xml:space="preserve">UNDP’s Funding Facility for Immediate Stabilisation (FFIS), which has a window for community reconciliation that </w:t>
      </w:r>
      <w:r w:rsidR="0080570A" w:rsidRPr="00816FC2">
        <w:t xml:space="preserve">is intended to </w:t>
      </w:r>
      <w:r w:rsidRPr="00816FC2">
        <w:t>help l</w:t>
      </w:r>
      <w:r w:rsidRPr="00816FC2">
        <w:rPr>
          <w:bCs/>
        </w:rPr>
        <w:t>ocal leaders and communities to promote social cohesion and dialogue, reconciliation and restorative justice</w:t>
      </w:r>
      <w:r w:rsidR="0080570A" w:rsidRPr="00816FC2">
        <w:rPr>
          <w:bCs/>
        </w:rPr>
        <w:t xml:space="preserve">. This engagement is </w:t>
      </w:r>
      <w:r w:rsidRPr="00816FC2">
        <w:rPr>
          <w:bCs/>
        </w:rPr>
        <w:t xml:space="preserve">placed within Thematic Programme 2 </w:t>
      </w:r>
      <w:r w:rsidRPr="00816FC2">
        <w:t>due</w:t>
      </w:r>
      <w:r w:rsidRPr="00816FC2">
        <w:rPr>
          <w:bCs/>
        </w:rPr>
        <w:t xml:space="preserve"> to its emphasis on stabilisation (see below). </w:t>
      </w:r>
    </w:p>
    <w:p w:rsidR="00A95F44" w:rsidRPr="00816FC2" w:rsidRDefault="001B0675" w:rsidP="00603362">
      <w:pPr>
        <w:rPr>
          <w:highlight w:val="yellow"/>
        </w:rPr>
      </w:pPr>
      <w:r w:rsidRPr="00816FC2">
        <w:t xml:space="preserve">Should other possibilities in Iraq emerge that warrant Danish support within the scope of this thematic programme (including, for example, </w:t>
      </w:r>
      <w:r w:rsidR="00183005" w:rsidRPr="00816FC2">
        <w:t>UNAMI’s or other relevant actor</w:t>
      </w:r>
      <w:r w:rsidRPr="00816FC2">
        <w:t>s</w:t>
      </w:r>
      <w:r w:rsidR="00183005" w:rsidRPr="00816FC2">
        <w:t>’</w:t>
      </w:r>
      <w:r w:rsidRPr="00816FC2">
        <w:t xml:space="preserve"> role on political reconciliation), they could be </w:t>
      </w:r>
      <w:r w:rsidR="00183005" w:rsidRPr="00816FC2">
        <w:t xml:space="preserve">considered </w:t>
      </w:r>
      <w:r w:rsidRPr="00816FC2">
        <w:t xml:space="preserve">at a later date. </w:t>
      </w:r>
      <w:r w:rsidR="00183005" w:rsidRPr="00816FC2">
        <w:t>A vehicle for this would be to include such an assessment in the remit of the 2017</w:t>
      </w:r>
      <w:r w:rsidR="00603362">
        <w:t xml:space="preserve"> MTR</w:t>
      </w:r>
      <w:r w:rsidR="00183005" w:rsidRPr="00816FC2">
        <w:t>.</w:t>
      </w:r>
    </w:p>
    <w:p w:rsidR="00F91B9F" w:rsidRPr="00816FC2" w:rsidRDefault="00C93500" w:rsidP="00AA23C9">
      <w:pPr>
        <w:pStyle w:val="Overskrift4"/>
        <w:numPr>
          <w:ilvl w:val="0"/>
          <w:numId w:val="45"/>
        </w:numPr>
      </w:pPr>
      <w:r w:rsidRPr="00816FC2">
        <w:t xml:space="preserve">Support to the UN-led Syrian peace process </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336E81" w:rsidRPr="00AA23C9" w:rsidTr="002D4065">
        <w:tc>
          <w:tcPr>
            <w:tcW w:w="9639" w:type="dxa"/>
            <w:gridSpan w:val="2"/>
            <w:shd w:val="clear" w:color="auto" w:fill="3E2C42"/>
          </w:tcPr>
          <w:p w:rsidR="00336E81" w:rsidRPr="00AA23C9" w:rsidRDefault="00336E81" w:rsidP="0080400C">
            <w:pPr>
              <w:rPr>
                <w:b/>
                <w:color w:val="FFFFFF" w:themeColor="background1"/>
                <w:sz w:val="22"/>
                <w:szCs w:val="22"/>
              </w:rPr>
            </w:pPr>
            <w:r w:rsidRPr="00AA23C9">
              <w:rPr>
                <w:b/>
                <w:color w:val="FFFFFF" w:themeColor="background1"/>
                <w:sz w:val="22"/>
                <w:szCs w:val="22"/>
              </w:rPr>
              <w:t>Overview</w:t>
            </w:r>
          </w:p>
        </w:tc>
      </w:tr>
      <w:tr w:rsidR="00336E81" w:rsidRPr="00AA23C9" w:rsidTr="002D4065">
        <w:tc>
          <w:tcPr>
            <w:tcW w:w="2694" w:type="dxa"/>
            <w:shd w:val="clear" w:color="auto" w:fill="EBD9E2"/>
          </w:tcPr>
          <w:p w:rsidR="00336E81" w:rsidRPr="00AA23C9" w:rsidRDefault="00336E81" w:rsidP="0080400C">
            <w:pPr>
              <w:rPr>
                <w:sz w:val="22"/>
                <w:szCs w:val="22"/>
              </w:rPr>
            </w:pPr>
            <w:r w:rsidRPr="00AA23C9">
              <w:rPr>
                <w:sz w:val="22"/>
                <w:szCs w:val="22"/>
              </w:rPr>
              <w:t>Implementing partner</w:t>
            </w:r>
          </w:p>
        </w:tc>
        <w:tc>
          <w:tcPr>
            <w:tcW w:w="6945" w:type="dxa"/>
          </w:tcPr>
          <w:p w:rsidR="00336E81" w:rsidRPr="00AA23C9" w:rsidRDefault="00336E81" w:rsidP="0080400C">
            <w:pPr>
              <w:rPr>
                <w:sz w:val="22"/>
                <w:szCs w:val="22"/>
              </w:rPr>
            </w:pPr>
            <w:r w:rsidRPr="00AA23C9">
              <w:rPr>
                <w:sz w:val="22"/>
                <w:szCs w:val="22"/>
              </w:rPr>
              <w:t>United Nations Department of Political Affairs (UNDPA)</w:t>
            </w:r>
          </w:p>
        </w:tc>
      </w:tr>
      <w:tr w:rsidR="005266F9" w:rsidRPr="00AA23C9" w:rsidTr="002D4065">
        <w:tc>
          <w:tcPr>
            <w:tcW w:w="2694" w:type="dxa"/>
            <w:shd w:val="clear" w:color="auto" w:fill="EBD9E2"/>
          </w:tcPr>
          <w:p w:rsidR="005266F9" w:rsidRPr="00AA23C9" w:rsidRDefault="005266F9" w:rsidP="0080400C">
            <w:pPr>
              <w:rPr>
                <w:sz w:val="22"/>
                <w:szCs w:val="22"/>
              </w:rPr>
            </w:pPr>
            <w:r w:rsidRPr="00AA23C9">
              <w:rPr>
                <w:sz w:val="22"/>
                <w:szCs w:val="22"/>
              </w:rPr>
              <w:t>Danish contribution</w:t>
            </w:r>
          </w:p>
        </w:tc>
        <w:tc>
          <w:tcPr>
            <w:tcW w:w="6945" w:type="dxa"/>
          </w:tcPr>
          <w:p w:rsidR="005266F9" w:rsidRPr="00AA23C9" w:rsidRDefault="00B96D89" w:rsidP="0080400C">
            <w:pPr>
              <w:rPr>
                <w:sz w:val="22"/>
                <w:szCs w:val="22"/>
              </w:rPr>
            </w:pPr>
            <w:r w:rsidRPr="00AA23C9">
              <w:rPr>
                <w:sz w:val="22"/>
                <w:szCs w:val="22"/>
              </w:rPr>
              <w:t>DKK 4 million</w:t>
            </w:r>
            <w:r w:rsidR="005C3BD4" w:rsidRPr="00AA23C9">
              <w:rPr>
                <w:sz w:val="22"/>
                <w:szCs w:val="22"/>
              </w:rPr>
              <w:t xml:space="preserve"> (planned for 2017)</w:t>
            </w:r>
          </w:p>
        </w:tc>
      </w:tr>
      <w:tr w:rsidR="00336E81" w:rsidRPr="00AA23C9" w:rsidTr="002D4065">
        <w:tc>
          <w:tcPr>
            <w:tcW w:w="2694" w:type="dxa"/>
            <w:shd w:val="clear" w:color="auto" w:fill="EBD9E2"/>
          </w:tcPr>
          <w:p w:rsidR="00336E81" w:rsidRPr="00AA23C9" w:rsidRDefault="00336E81" w:rsidP="0080400C">
            <w:pPr>
              <w:rPr>
                <w:sz w:val="22"/>
                <w:szCs w:val="22"/>
              </w:rPr>
            </w:pPr>
            <w:r w:rsidRPr="00AA23C9">
              <w:rPr>
                <w:sz w:val="22"/>
                <w:szCs w:val="22"/>
              </w:rPr>
              <w:t>Budget</w:t>
            </w:r>
          </w:p>
        </w:tc>
        <w:tc>
          <w:tcPr>
            <w:tcW w:w="6945" w:type="dxa"/>
          </w:tcPr>
          <w:p w:rsidR="00336E81" w:rsidRPr="00AA23C9" w:rsidRDefault="005C3BD4" w:rsidP="00EC7E04">
            <w:pPr>
              <w:rPr>
                <w:sz w:val="22"/>
                <w:szCs w:val="22"/>
              </w:rPr>
            </w:pPr>
            <w:r w:rsidRPr="00AA23C9">
              <w:rPr>
                <w:sz w:val="22"/>
                <w:szCs w:val="22"/>
              </w:rPr>
              <w:t>-</w:t>
            </w:r>
          </w:p>
        </w:tc>
      </w:tr>
      <w:tr w:rsidR="00336E81" w:rsidRPr="00AA23C9" w:rsidTr="002D4065">
        <w:tc>
          <w:tcPr>
            <w:tcW w:w="2694" w:type="dxa"/>
            <w:shd w:val="clear" w:color="auto" w:fill="EBD9E2"/>
          </w:tcPr>
          <w:p w:rsidR="00336E81" w:rsidRPr="00AA23C9" w:rsidRDefault="00336E81" w:rsidP="0080400C">
            <w:pPr>
              <w:rPr>
                <w:sz w:val="22"/>
                <w:szCs w:val="22"/>
              </w:rPr>
            </w:pPr>
            <w:r w:rsidRPr="00AA23C9">
              <w:rPr>
                <w:sz w:val="22"/>
                <w:szCs w:val="22"/>
              </w:rPr>
              <w:t>Project period</w:t>
            </w:r>
          </w:p>
        </w:tc>
        <w:tc>
          <w:tcPr>
            <w:tcW w:w="6945" w:type="dxa"/>
          </w:tcPr>
          <w:p w:rsidR="00336E81" w:rsidRPr="00AA23C9" w:rsidRDefault="005C3BD4" w:rsidP="0080400C">
            <w:pPr>
              <w:rPr>
                <w:sz w:val="22"/>
                <w:szCs w:val="22"/>
              </w:rPr>
            </w:pPr>
            <w:r w:rsidRPr="00AA23C9">
              <w:rPr>
                <w:sz w:val="22"/>
                <w:szCs w:val="22"/>
              </w:rPr>
              <w:t>2017-2018</w:t>
            </w:r>
          </w:p>
        </w:tc>
      </w:tr>
      <w:tr w:rsidR="00336E81" w:rsidRPr="00AA23C9" w:rsidTr="002D4065">
        <w:tc>
          <w:tcPr>
            <w:tcW w:w="2694" w:type="dxa"/>
            <w:shd w:val="clear" w:color="auto" w:fill="EBD9E2"/>
          </w:tcPr>
          <w:p w:rsidR="00336E81" w:rsidRPr="00AA23C9" w:rsidRDefault="00336E81" w:rsidP="0080400C">
            <w:pPr>
              <w:rPr>
                <w:sz w:val="22"/>
                <w:szCs w:val="22"/>
              </w:rPr>
            </w:pPr>
            <w:r w:rsidRPr="00AA23C9">
              <w:rPr>
                <w:sz w:val="22"/>
                <w:szCs w:val="22"/>
              </w:rPr>
              <w:t>Other donors</w:t>
            </w:r>
          </w:p>
        </w:tc>
        <w:tc>
          <w:tcPr>
            <w:tcW w:w="6945" w:type="dxa"/>
          </w:tcPr>
          <w:p w:rsidR="00336E81" w:rsidRPr="00AA23C9" w:rsidRDefault="005C3BD4" w:rsidP="0080400C">
            <w:pPr>
              <w:rPr>
                <w:sz w:val="22"/>
                <w:szCs w:val="22"/>
              </w:rPr>
            </w:pPr>
            <w:r w:rsidRPr="00AA23C9">
              <w:rPr>
                <w:sz w:val="22"/>
                <w:szCs w:val="22"/>
              </w:rPr>
              <w:t xml:space="preserve">Several </w:t>
            </w:r>
            <w:r w:rsidR="00336E81" w:rsidRPr="00AA23C9">
              <w:rPr>
                <w:sz w:val="22"/>
                <w:szCs w:val="22"/>
              </w:rPr>
              <w:t>other donors provide funding to the UNDPA relevant to Syria and to the office of the Special Envoy.</w:t>
            </w:r>
          </w:p>
        </w:tc>
      </w:tr>
      <w:tr w:rsidR="00336E81" w:rsidRPr="00AA23C9" w:rsidTr="002D4065">
        <w:tc>
          <w:tcPr>
            <w:tcW w:w="9639" w:type="dxa"/>
            <w:gridSpan w:val="2"/>
            <w:shd w:val="clear" w:color="auto" w:fill="EBD9E2"/>
          </w:tcPr>
          <w:p w:rsidR="00336E81" w:rsidRPr="00AA23C9" w:rsidRDefault="00F174C6" w:rsidP="0080400C">
            <w:pPr>
              <w:rPr>
                <w:sz w:val="22"/>
                <w:szCs w:val="22"/>
              </w:rPr>
            </w:pPr>
            <w:r w:rsidRPr="00AA23C9">
              <w:rPr>
                <w:sz w:val="22"/>
                <w:szCs w:val="22"/>
              </w:rPr>
              <w:t>O</w:t>
            </w:r>
            <w:r w:rsidR="00336E81" w:rsidRPr="00AA23C9">
              <w:rPr>
                <w:sz w:val="22"/>
                <w:szCs w:val="22"/>
              </w:rPr>
              <w:t>bjective (output to overall programme results framework)</w:t>
            </w:r>
          </w:p>
        </w:tc>
      </w:tr>
      <w:tr w:rsidR="00336E81" w:rsidRPr="00AA23C9" w:rsidTr="00EB5A86">
        <w:tc>
          <w:tcPr>
            <w:tcW w:w="9639" w:type="dxa"/>
            <w:gridSpan w:val="2"/>
          </w:tcPr>
          <w:p w:rsidR="00336E81" w:rsidRPr="00AA23C9" w:rsidRDefault="00483AC5" w:rsidP="0080400C">
            <w:pPr>
              <w:rPr>
                <w:sz w:val="22"/>
                <w:szCs w:val="22"/>
              </w:rPr>
            </w:pPr>
            <w:r w:rsidRPr="00AA23C9">
              <w:rPr>
                <w:sz w:val="22"/>
                <w:szCs w:val="22"/>
              </w:rPr>
              <w:t>T</w:t>
            </w:r>
            <w:r w:rsidR="00336E81" w:rsidRPr="00AA23C9">
              <w:rPr>
                <w:sz w:val="22"/>
                <w:szCs w:val="22"/>
              </w:rPr>
              <w:t xml:space="preserve">he office of the UN Special Envoy to Syria </w:t>
            </w:r>
            <w:r w:rsidRPr="00AA23C9">
              <w:rPr>
                <w:sz w:val="22"/>
                <w:szCs w:val="22"/>
              </w:rPr>
              <w:t xml:space="preserve">is enabled </w:t>
            </w:r>
            <w:r w:rsidR="00336E81" w:rsidRPr="00AA23C9">
              <w:rPr>
                <w:sz w:val="22"/>
                <w:szCs w:val="22"/>
              </w:rPr>
              <w:t>to continue UN-brokered efforts to establish a credible process of negotiation of a peaceful political settlement to the Syria crisis.</w:t>
            </w:r>
          </w:p>
        </w:tc>
      </w:tr>
      <w:tr w:rsidR="00336E81" w:rsidRPr="00AA23C9" w:rsidTr="002D4065">
        <w:tc>
          <w:tcPr>
            <w:tcW w:w="9639" w:type="dxa"/>
            <w:gridSpan w:val="2"/>
            <w:shd w:val="clear" w:color="auto" w:fill="EBD9E2"/>
          </w:tcPr>
          <w:p w:rsidR="00336E81" w:rsidRPr="00AA23C9" w:rsidRDefault="00336E81" w:rsidP="0080400C">
            <w:pPr>
              <w:rPr>
                <w:sz w:val="22"/>
                <w:szCs w:val="22"/>
              </w:rPr>
            </w:pPr>
            <w:r w:rsidRPr="00AA23C9">
              <w:rPr>
                <w:sz w:val="22"/>
                <w:szCs w:val="22"/>
              </w:rPr>
              <w:t>Engagement description</w:t>
            </w:r>
          </w:p>
        </w:tc>
      </w:tr>
      <w:tr w:rsidR="00336E81" w:rsidRPr="00AA23C9" w:rsidTr="00EB5A86">
        <w:tc>
          <w:tcPr>
            <w:tcW w:w="9639" w:type="dxa"/>
            <w:gridSpan w:val="2"/>
          </w:tcPr>
          <w:p w:rsidR="00EA17F0" w:rsidRPr="00AA23C9" w:rsidRDefault="00336E81" w:rsidP="00603362">
            <w:pPr>
              <w:rPr>
                <w:sz w:val="22"/>
                <w:szCs w:val="22"/>
              </w:rPr>
            </w:pPr>
            <w:r w:rsidRPr="00AA23C9">
              <w:rPr>
                <w:sz w:val="22"/>
                <w:szCs w:val="22"/>
              </w:rPr>
              <w:t xml:space="preserve">Denmark will continue its multi-year support for the UNDPA and office of the Special Envoy to Syria, and the UN-brokered efforts to find a political solution to the Syria conflict. </w:t>
            </w:r>
            <w:r w:rsidR="00EA17F0" w:rsidRPr="00AA23C9">
              <w:rPr>
                <w:sz w:val="22"/>
                <w:szCs w:val="22"/>
              </w:rPr>
              <w:t xml:space="preserve">This is particularly relevant in view of the recent progress made in reaching the </w:t>
            </w:r>
            <w:r w:rsidR="00603362" w:rsidRPr="00AA23C9">
              <w:rPr>
                <w:sz w:val="22"/>
                <w:szCs w:val="22"/>
              </w:rPr>
              <w:t xml:space="preserve">now precarious </w:t>
            </w:r>
            <w:r w:rsidR="00EA17F0" w:rsidRPr="00AA23C9">
              <w:rPr>
                <w:sz w:val="22"/>
                <w:szCs w:val="22"/>
              </w:rPr>
              <w:t xml:space="preserve">CoH agreement. </w:t>
            </w:r>
          </w:p>
          <w:p w:rsidR="00EA17F0" w:rsidRPr="00AA23C9" w:rsidRDefault="00EA17F0" w:rsidP="00603362">
            <w:pPr>
              <w:rPr>
                <w:sz w:val="22"/>
                <w:szCs w:val="22"/>
              </w:rPr>
            </w:pPr>
            <w:r w:rsidRPr="00AA23C9">
              <w:rPr>
                <w:sz w:val="22"/>
                <w:szCs w:val="22"/>
              </w:rPr>
              <w:t xml:space="preserve">The UNDPA is currently leading post-agreement planning for Syria through a Working Group </w:t>
            </w:r>
            <w:r w:rsidR="00603362" w:rsidRPr="00AA23C9">
              <w:rPr>
                <w:sz w:val="22"/>
                <w:szCs w:val="22"/>
              </w:rPr>
              <w:t xml:space="preserve">(WG) </w:t>
            </w:r>
            <w:r w:rsidRPr="00AA23C9">
              <w:rPr>
                <w:sz w:val="22"/>
                <w:szCs w:val="22"/>
              </w:rPr>
              <w:t xml:space="preserve">set up under the auspices of the Syria Inter-Agency Task Force. The </w:t>
            </w:r>
            <w:r w:rsidR="00603362" w:rsidRPr="00AA23C9">
              <w:rPr>
                <w:sz w:val="22"/>
                <w:szCs w:val="22"/>
              </w:rPr>
              <w:t xml:space="preserve">WG </w:t>
            </w:r>
            <w:r w:rsidRPr="00AA23C9">
              <w:rPr>
                <w:sz w:val="22"/>
                <w:szCs w:val="22"/>
              </w:rPr>
              <w:t xml:space="preserve">will be co-Chaired by the UNDPA and will be responsible for identifying and preparing a coordinated engagement by the UN system to support </w:t>
            </w:r>
            <w:r w:rsidR="00603362" w:rsidRPr="00AA23C9">
              <w:rPr>
                <w:sz w:val="22"/>
                <w:szCs w:val="22"/>
              </w:rPr>
              <w:t>s</w:t>
            </w:r>
            <w:r w:rsidRPr="00AA23C9">
              <w:rPr>
                <w:sz w:val="22"/>
                <w:szCs w:val="22"/>
              </w:rPr>
              <w:t>tabilisatio</w:t>
            </w:r>
            <w:r w:rsidR="00603362" w:rsidRPr="00AA23C9">
              <w:rPr>
                <w:sz w:val="22"/>
                <w:szCs w:val="22"/>
              </w:rPr>
              <w:t xml:space="preserve">n, </w:t>
            </w:r>
            <w:r w:rsidRPr="00AA23C9">
              <w:rPr>
                <w:sz w:val="22"/>
                <w:szCs w:val="22"/>
              </w:rPr>
              <w:t xml:space="preserve">recovery and peacebuilding upon the signing of a peace agreement. </w:t>
            </w:r>
          </w:p>
          <w:p w:rsidR="00336E81" w:rsidRPr="00AA23C9" w:rsidRDefault="00EA17F0" w:rsidP="0093426F">
            <w:pPr>
              <w:rPr>
                <w:sz w:val="22"/>
                <w:szCs w:val="22"/>
              </w:rPr>
            </w:pPr>
            <w:r w:rsidRPr="00AA23C9">
              <w:rPr>
                <w:sz w:val="22"/>
                <w:szCs w:val="22"/>
              </w:rPr>
              <w:t>UNDPA</w:t>
            </w:r>
            <w:r w:rsidR="00603362" w:rsidRPr="00AA23C9">
              <w:rPr>
                <w:sz w:val="22"/>
                <w:szCs w:val="22"/>
              </w:rPr>
              <w:t>’s</w:t>
            </w:r>
            <w:r w:rsidRPr="00AA23C9">
              <w:rPr>
                <w:sz w:val="22"/>
                <w:szCs w:val="22"/>
              </w:rPr>
              <w:t xml:space="preserve"> support</w:t>
            </w:r>
            <w:r w:rsidR="00603362" w:rsidRPr="00AA23C9">
              <w:rPr>
                <w:sz w:val="22"/>
                <w:szCs w:val="22"/>
              </w:rPr>
              <w:t xml:space="preserve"> to </w:t>
            </w:r>
            <w:r w:rsidRPr="00AA23C9">
              <w:rPr>
                <w:sz w:val="22"/>
                <w:szCs w:val="22"/>
              </w:rPr>
              <w:t xml:space="preserve">peace process </w:t>
            </w:r>
            <w:r w:rsidR="00603362" w:rsidRPr="00AA23C9">
              <w:rPr>
                <w:sz w:val="22"/>
                <w:szCs w:val="22"/>
              </w:rPr>
              <w:t xml:space="preserve">and work to </w:t>
            </w:r>
            <w:r w:rsidRPr="00AA23C9">
              <w:rPr>
                <w:sz w:val="22"/>
                <w:szCs w:val="22"/>
              </w:rPr>
              <w:t xml:space="preserve">lay the foundations necessary to ensure it is well placed to support and implement such a process, its work remains relevant under the panoply of scenarios that may emerge as the Syrian conflict evolves. </w:t>
            </w:r>
            <w:r w:rsidR="0093426F" w:rsidRPr="00AA23C9">
              <w:rPr>
                <w:sz w:val="22"/>
                <w:szCs w:val="22"/>
              </w:rPr>
              <w:t>Given the nature of this intervention as highly subject to the vicissitudes of conflict dynamics, support to UNDPA will be revisited in the 2017 MTR based on finalised partner documentation and an assessment of the political context,</w:t>
            </w:r>
          </w:p>
        </w:tc>
      </w:tr>
      <w:tr w:rsidR="00336E81" w:rsidRPr="00AA23C9" w:rsidTr="002D4065">
        <w:tc>
          <w:tcPr>
            <w:tcW w:w="9639" w:type="dxa"/>
            <w:gridSpan w:val="2"/>
            <w:shd w:val="clear" w:color="auto" w:fill="EBD9E2"/>
          </w:tcPr>
          <w:p w:rsidR="00336E81" w:rsidRPr="00AA23C9" w:rsidRDefault="00336E81" w:rsidP="0080400C">
            <w:pPr>
              <w:rPr>
                <w:sz w:val="22"/>
                <w:szCs w:val="22"/>
              </w:rPr>
            </w:pPr>
            <w:r w:rsidRPr="00AA23C9">
              <w:rPr>
                <w:sz w:val="22"/>
                <w:szCs w:val="22"/>
              </w:rPr>
              <w:t>Previous support</w:t>
            </w:r>
          </w:p>
        </w:tc>
      </w:tr>
      <w:tr w:rsidR="00336E81" w:rsidRPr="00AA23C9" w:rsidTr="00EB5A86">
        <w:tc>
          <w:tcPr>
            <w:tcW w:w="9639" w:type="dxa"/>
            <w:gridSpan w:val="2"/>
            <w:shd w:val="clear" w:color="auto" w:fill="auto"/>
          </w:tcPr>
          <w:p w:rsidR="00336E81" w:rsidRPr="00AA23C9" w:rsidRDefault="00336E81" w:rsidP="003148B4">
            <w:pPr>
              <w:rPr>
                <w:color w:val="auto"/>
                <w:sz w:val="22"/>
                <w:szCs w:val="22"/>
              </w:rPr>
            </w:pPr>
            <w:r w:rsidRPr="00AA23C9">
              <w:rPr>
                <w:color w:val="auto"/>
                <w:sz w:val="22"/>
                <w:szCs w:val="22"/>
              </w:rPr>
              <w:t xml:space="preserve">Denmark has already supported the missions of the special envoys to the United Nations and the Arab League in 2012 and 2013 with a total of DKK 4.5 million, provided a further DKK 6 million in 2014 and then DKK </w:t>
            </w:r>
            <w:r w:rsidR="003148B4" w:rsidRPr="00AA23C9">
              <w:rPr>
                <w:color w:val="auto"/>
                <w:sz w:val="22"/>
                <w:szCs w:val="22"/>
              </w:rPr>
              <w:t xml:space="preserve">6 </w:t>
            </w:r>
            <w:r w:rsidRPr="00AA23C9">
              <w:rPr>
                <w:color w:val="auto"/>
                <w:sz w:val="22"/>
                <w:szCs w:val="22"/>
              </w:rPr>
              <w:t xml:space="preserve">million from 1 September 2015 to 31 August 2016. The support included </w:t>
            </w:r>
            <w:r w:rsidR="00663EA2" w:rsidRPr="00AA23C9">
              <w:rPr>
                <w:color w:val="auto"/>
                <w:sz w:val="22"/>
                <w:szCs w:val="22"/>
              </w:rPr>
              <w:t xml:space="preserve">core funding </w:t>
            </w:r>
            <w:r w:rsidRPr="00AA23C9">
              <w:rPr>
                <w:color w:val="auto"/>
                <w:sz w:val="22"/>
                <w:szCs w:val="22"/>
              </w:rPr>
              <w:t xml:space="preserve">as well as financing for strategic planning of a possible post-conflict transition process. </w:t>
            </w:r>
          </w:p>
        </w:tc>
      </w:tr>
    </w:tbl>
    <w:p w:rsidR="005F57BE" w:rsidRPr="00816FC2" w:rsidRDefault="005F57BE" w:rsidP="00AA23C9">
      <w:pPr>
        <w:pStyle w:val="Overskrift4"/>
        <w:numPr>
          <w:ilvl w:val="0"/>
          <w:numId w:val="45"/>
        </w:numPr>
      </w:pPr>
      <w:r w:rsidRPr="00816FC2">
        <w:lastRenderedPageBreak/>
        <w:t>F</w:t>
      </w:r>
      <w:r w:rsidR="00C93500" w:rsidRPr="00816FC2">
        <w:t>unding for Track II initiatives</w:t>
      </w:r>
      <w:r w:rsidRPr="00816FC2">
        <w:t xml:space="preserve"> through The Day After</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5F57BE" w:rsidRPr="00DD3A5F" w:rsidTr="002D4065">
        <w:tc>
          <w:tcPr>
            <w:tcW w:w="9639" w:type="dxa"/>
            <w:gridSpan w:val="2"/>
            <w:shd w:val="clear" w:color="auto" w:fill="3E2C42"/>
          </w:tcPr>
          <w:p w:rsidR="005F57BE" w:rsidRPr="00DD3A5F" w:rsidRDefault="005F57BE" w:rsidP="0080400C">
            <w:pPr>
              <w:rPr>
                <w:b/>
                <w:color w:val="FFFFFF" w:themeColor="background1"/>
                <w:sz w:val="22"/>
                <w:szCs w:val="22"/>
              </w:rPr>
            </w:pPr>
            <w:r w:rsidRPr="00DD3A5F">
              <w:rPr>
                <w:b/>
                <w:color w:val="FFFFFF" w:themeColor="background1"/>
                <w:sz w:val="22"/>
                <w:szCs w:val="22"/>
              </w:rPr>
              <w:t>Overview</w:t>
            </w:r>
          </w:p>
        </w:tc>
      </w:tr>
      <w:tr w:rsidR="005F57BE" w:rsidRPr="00DD3A5F" w:rsidTr="002D4065">
        <w:tc>
          <w:tcPr>
            <w:tcW w:w="2694" w:type="dxa"/>
            <w:shd w:val="clear" w:color="auto" w:fill="EBD9E2"/>
          </w:tcPr>
          <w:p w:rsidR="005F57BE" w:rsidRPr="00DD3A5F" w:rsidRDefault="005F57BE" w:rsidP="0080400C">
            <w:pPr>
              <w:rPr>
                <w:sz w:val="22"/>
                <w:szCs w:val="22"/>
              </w:rPr>
            </w:pPr>
            <w:r w:rsidRPr="00DD3A5F">
              <w:rPr>
                <w:sz w:val="22"/>
                <w:szCs w:val="22"/>
              </w:rPr>
              <w:t>Implementing partner</w:t>
            </w:r>
          </w:p>
        </w:tc>
        <w:tc>
          <w:tcPr>
            <w:tcW w:w="6945" w:type="dxa"/>
          </w:tcPr>
          <w:p w:rsidR="005F57BE" w:rsidRPr="00DD3A5F" w:rsidRDefault="005F57BE" w:rsidP="0080400C">
            <w:pPr>
              <w:rPr>
                <w:sz w:val="22"/>
                <w:szCs w:val="22"/>
              </w:rPr>
            </w:pPr>
            <w:r w:rsidRPr="00DD3A5F">
              <w:rPr>
                <w:sz w:val="22"/>
                <w:szCs w:val="22"/>
              </w:rPr>
              <w:t>The Day After (TDA)</w:t>
            </w:r>
          </w:p>
        </w:tc>
      </w:tr>
      <w:tr w:rsidR="006C0F6D" w:rsidRPr="00DD3A5F" w:rsidTr="002D4065">
        <w:tc>
          <w:tcPr>
            <w:tcW w:w="2694" w:type="dxa"/>
            <w:shd w:val="clear" w:color="auto" w:fill="EBD9E2"/>
          </w:tcPr>
          <w:p w:rsidR="006C0F6D" w:rsidRPr="00DD3A5F" w:rsidRDefault="006C0F6D" w:rsidP="0080400C">
            <w:pPr>
              <w:rPr>
                <w:sz w:val="22"/>
                <w:szCs w:val="22"/>
              </w:rPr>
            </w:pPr>
            <w:r w:rsidRPr="00DD3A5F">
              <w:rPr>
                <w:sz w:val="22"/>
                <w:szCs w:val="22"/>
              </w:rPr>
              <w:t>Danish contribution</w:t>
            </w:r>
          </w:p>
        </w:tc>
        <w:tc>
          <w:tcPr>
            <w:tcW w:w="6945" w:type="dxa"/>
          </w:tcPr>
          <w:p w:rsidR="006C0F6D" w:rsidRPr="00DD3A5F" w:rsidRDefault="007134C7" w:rsidP="0080400C">
            <w:pPr>
              <w:rPr>
                <w:sz w:val="22"/>
                <w:szCs w:val="22"/>
              </w:rPr>
            </w:pPr>
            <w:r w:rsidRPr="00DD3A5F">
              <w:rPr>
                <w:sz w:val="22"/>
                <w:szCs w:val="22"/>
              </w:rPr>
              <w:t>10 M DKK</w:t>
            </w:r>
          </w:p>
        </w:tc>
      </w:tr>
      <w:tr w:rsidR="005F57BE" w:rsidRPr="00DD3A5F" w:rsidTr="002D4065">
        <w:tc>
          <w:tcPr>
            <w:tcW w:w="2694" w:type="dxa"/>
            <w:shd w:val="clear" w:color="auto" w:fill="EBD9E2"/>
          </w:tcPr>
          <w:p w:rsidR="005F57BE" w:rsidRPr="00DD3A5F" w:rsidRDefault="005F57BE" w:rsidP="0080400C">
            <w:pPr>
              <w:rPr>
                <w:sz w:val="22"/>
                <w:szCs w:val="22"/>
              </w:rPr>
            </w:pPr>
            <w:r w:rsidRPr="00DD3A5F">
              <w:rPr>
                <w:sz w:val="22"/>
                <w:szCs w:val="22"/>
              </w:rPr>
              <w:t>Budget</w:t>
            </w:r>
          </w:p>
        </w:tc>
        <w:tc>
          <w:tcPr>
            <w:tcW w:w="6945" w:type="dxa"/>
          </w:tcPr>
          <w:p w:rsidR="005F57BE" w:rsidRPr="00DD3A5F" w:rsidRDefault="00275A80" w:rsidP="0080400C">
            <w:pPr>
              <w:rPr>
                <w:sz w:val="22"/>
                <w:szCs w:val="22"/>
              </w:rPr>
            </w:pPr>
            <w:r w:rsidRPr="00DD3A5F">
              <w:rPr>
                <w:sz w:val="22"/>
                <w:szCs w:val="22"/>
              </w:rPr>
              <w:t>USD 3.39 million until Sept 2018.</w:t>
            </w:r>
          </w:p>
        </w:tc>
      </w:tr>
      <w:tr w:rsidR="005F57BE" w:rsidRPr="00DD3A5F" w:rsidTr="002D4065">
        <w:tc>
          <w:tcPr>
            <w:tcW w:w="2694" w:type="dxa"/>
            <w:shd w:val="clear" w:color="auto" w:fill="EBD9E2"/>
          </w:tcPr>
          <w:p w:rsidR="005F57BE" w:rsidRPr="00DD3A5F" w:rsidRDefault="005F57BE" w:rsidP="0080400C">
            <w:pPr>
              <w:rPr>
                <w:sz w:val="22"/>
                <w:szCs w:val="22"/>
              </w:rPr>
            </w:pPr>
            <w:r w:rsidRPr="00DD3A5F">
              <w:rPr>
                <w:sz w:val="22"/>
                <w:szCs w:val="22"/>
              </w:rPr>
              <w:t>Project period</w:t>
            </w:r>
          </w:p>
        </w:tc>
        <w:tc>
          <w:tcPr>
            <w:tcW w:w="6945" w:type="dxa"/>
          </w:tcPr>
          <w:p w:rsidR="005F57BE" w:rsidRPr="00DD3A5F" w:rsidRDefault="0039597F" w:rsidP="0080400C">
            <w:pPr>
              <w:rPr>
                <w:sz w:val="22"/>
                <w:szCs w:val="22"/>
              </w:rPr>
            </w:pPr>
            <w:r w:rsidRPr="00DD3A5F">
              <w:rPr>
                <w:sz w:val="22"/>
                <w:szCs w:val="22"/>
              </w:rPr>
              <w:t>2016-2018</w:t>
            </w:r>
          </w:p>
        </w:tc>
      </w:tr>
      <w:tr w:rsidR="005F57BE" w:rsidRPr="00DD3A5F" w:rsidTr="002D4065">
        <w:tc>
          <w:tcPr>
            <w:tcW w:w="2694" w:type="dxa"/>
            <w:shd w:val="clear" w:color="auto" w:fill="EBD9E2"/>
          </w:tcPr>
          <w:p w:rsidR="005F57BE" w:rsidRPr="00DD3A5F" w:rsidRDefault="005F57BE" w:rsidP="0080400C">
            <w:pPr>
              <w:rPr>
                <w:sz w:val="22"/>
                <w:szCs w:val="22"/>
              </w:rPr>
            </w:pPr>
            <w:r w:rsidRPr="00DD3A5F">
              <w:rPr>
                <w:sz w:val="22"/>
                <w:szCs w:val="22"/>
              </w:rPr>
              <w:t>Other donors</w:t>
            </w:r>
          </w:p>
        </w:tc>
        <w:tc>
          <w:tcPr>
            <w:tcW w:w="6945" w:type="dxa"/>
          </w:tcPr>
          <w:p w:rsidR="005F57BE" w:rsidRPr="00DD3A5F" w:rsidRDefault="00E45238" w:rsidP="0080400C">
            <w:pPr>
              <w:rPr>
                <w:sz w:val="22"/>
                <w:szCs w:val="22"/>
              </w:rPr>
            </w:pPr>
            <w:r w:rsidRPr="00DD3A5F">
              <w:rPr>
                <w:sz w:val="22"/>
                <w:szCs w:val="22"/>
              </w:rPr>
              <w:t>Sweden (tbc)</w:t>
            </w:r>
          </w:p>
        </w:tc>
      </w:tr>
      <w:tr w:rsidR="005F57BE" w:rsidRPr="00DD3A5F" w:rsidTr="002D4065">
        <w:tc>
          <w:tcPr>
            <w:tcW w:w="9639" w:type="dxa"/>
            <w:gridSpan w:val="2"/>
            <w:shd w:val="clear" w:color="auto" w:fill="EBD9E2"/>
          </w:tcPr>
          <w:p w:rsidR="005F57BE" w:rsidRPr="00DD3A5F" w:rsidRDefault="00F174C6" w:rsidP="0080400C">
            <w:pPr>
              <w:rPr>
                <w:sz w:val="22"/>
                <w:szCs w:val="22"/>
                <w:shd w:val="clear" w:color="auto" w:fill="EBD9E2"/>
              </w:rPr>
            </w:pPr>
            <w:r w:rsidRPr="00DD3A5F">
              <w:rPr>
                <w:sz w:val="22"/>
                <w:szCs w:val="22"/>
                <w:shd w:val="clear" w:color="auto" w:fill="EBD9E2"/>
              </w:rPr>
              <w:t>O</w:t>
            </w:r>
            <w:r w:rsidR="005F57BE" w:rsidRPr="00DD3A5F">
              <w:rPr>
                <w:sz w:val="22"/>
                <w:szCs w:val="22"/>
                <w:shd w:val="clear" w:color="auto" w:fill="EBD9E2"/>
              </w:rPr>
              <w:t>bjective (output to overall programme results framework)</w:t>
            </w:r>
          </w:p>
        </w:tc>
      </w:tr>
      <w:tr w:rsidR="005F57BE" w:rsidRPr="00DD3A5F" w:rsidTr="00EB5A86">
        <w:tc>
          <w:tcPr>
            <w:tcW w:w="9639" w:type="dxa"/>
            <w:gridSpan w:val="2"/>
          </w:tcPr>
          <w:p w:rsidR="00D41930" w:rsidRPr="000C0435" w:rsidRDefault="000C0435" w:rsidP="00603362">
            <w:pPr>
              <w:rPr>
                <w:sz w:val="22"/>
                <w:szCs w:val="22"/>
              </w:rPr>
            </w:pPr>
            <w:r w:rsidRPr="007F2463">
              <w:rPr>
                <w:sz w:val="22"/>
                <w:szCs w:val="22"/>
              </w:rPr>
              <w:t>Civil society actors are more representative, better coordinated and amplified, and able bring to discussions cohesive, evidence-based, widely supported recommendations, with an eye on a future transition</w:t>
            </w:r>
          </w:p>
        </w:tc>
      </w:tr>
      <w:tr w:rsidR="005F57BE" w:rsidRPr="00DD3A5F" w:rsidTr="0010399D">
        <w:tc>
          <w:tcPr>
            <w:tcW w:w="9639" w:type="dxa"/>
            <w:gridSpan w:val="2"/>
            <w:shd w:val="clear" w:color="auto" w:fill="EBD9E2"/>
          </w:tcPr>
          <w:p w:rsidR="005F57BE" w:rsidRPr="00DD3A5F" w:rsidRDefault="005F57BE" w:rsidP="0080400C">
            <w:pPr>
              <w:rPr>
                <w:sz w:val="22"/>
                <w:szCs w:val="22"/>
                <w:shd w:val="clear" w:color="auto" w:fill="EBD9E2"/>
              </w:rPr>
            </w:pPr>
            <w:r w:rsidRPr="00DD3A5F">
              <w:rPr>
                <w:sz w:val="22"/>
                <w:szCs w:val="22"/>
                <w:shd w:val="clear" w:color="auto" w:fill="EBD9E2"/>
              </w:rPr>
              <w:t>Project description</w:t>
            </w:r>
          </w:p>
        </w:tc>
      </w:tr>
      <w:tr w:rsidR="005F57BE" w:rsidRPr="00DD3A5F" w:rsidTr="00EB5A86">
        <w:tc>
          <w:tcPr>
            <w:tcW w:w="9639" w:type="dxa"/>
            <w:gridSpan w:val="2"/>
          </w:tcPr>
          <w:p w:rsidR="00255D27" w:rsidRPr="00DD3A5F" w:rsidRDefault="00663EA2" w:rsidP="00603362">
            <w:pPr>
              <w:rPr>
                <w:sz w:val="22"/>
                <w:szCs w:val="22"/>
              </w:rPr>
            </w:pPr>
            <w:r w:rsidRPr="00DD3A5F">
              <w:rPr>
                <w:sz w:val="22"/>
                <w:szCs w:val="22"/>
              </w:rPr>
              <w:t>Founded in 2012, TDA</w:t>
            </w:r>
            <w:r w:rsidR="005F57BE" w:rsidRPr="00DD3A5F">
              <w:rPr>
                <w:sz w:val="22"/>
                <w:szCs w:val="22"/>
              </w:rPr>
              <w:t xml:space="preserve"> aims to amplify the voice of </w:t>
            </w:r>
            <w:r w:rsidR="00603362" w:rsidRPr="00DD3A5F">
              <w:rPr>
                <w:sz w:val="22"/>
                <w:szCs w:val="22"/>
              </w:rPr>
              <w:t xml:space="preserve">CSOs </w:t>
            </w:r>
            <w:r w:rsidR="005F57BE" w:rsidRPr="00DD3A5F">
              <w:rPr>
                <w:sz w:val="22"/>
                <w:szCs w:val="22"/>
              </w:rPr>
              <w:t>amongst international actors</w:t>
            </w:r>
            <w:r w:rsidR="00603362" w:rsidRPr="00DD3A5F">
              <w:rPr>
                <w:sz w:val="22"/>
                <w:szCs w:val="22"/>
              </w:rPr>
              <w:t xml:space="preserve"> on issues of transition</w:t>
            </w:r>
            <w:r w:rsidRPr="00DD3A5F">
              <w:rPr>
                <w:sz w:val="22"/>
                <w:szCs w:val="22"/>
              </w:rPr>
              <w:t>. The organisation</w:t>
            </w:r>
            <w:r w:rsidR="00255D27" w:rsidRPr="00DD3A5F">
              <w:rPr>
                <w:sz w:val="22"/>
                <w:szCs w:val="22"/>
              </w:rPr>
              <w:t>’</w:t>
            </w:r>
            <w:r w:rsidRPr="00DD3A5F">
              <w:rPr>
                <w:sz w:val="22"/>
                <w:szCs w:val="22"/>
              </w:rPr>
              <w:t xml:space="preserve">s </w:t>
            </w:r>
            <w:r w:rsidR="005F57BE" w:rsidRPr="00DD3A5F">
              <w:rPr>
                <w:sz w:val="22"/>
                <w:szCs w:val="22"/>
              </w:rPr>
              <w:t>four main output</w:t>
            </w:r>
            <w:r w:rsidR="00603362" w:rsidRPr="00DD3A5F">
              <w:rPr>
                <w:sz w:val="22"/>
                <w:szCs w:val="22"/>
              </w:rPr>
              <w:t xml:space="preserve">s </w:t>
            </w:r>
            <w:r w:rsidR="005F57BE" w:rsidRPr="00DD3A5F">
              <w:rPr>
                <w:sz w:val="22"/>
                <w:szCs w:val="22"/>
              </w:rPr>
              <w:t xml:space="preserve">are: (1) community mobilisation </w:t>
            </w:r>
            <w:r w:rsidR="00255D27" w:rsidRPr="00DD3A5F">
              <w:rPr>
                <w:sz w:val="22"/>
                <w:szCs w:val="22"/>
              </w:rPr>
              <w:t xml:space="preserve">on </w:t>
            </w:r>
            <w:r w:rsidR="005F57BE" w:rsidRPr="00DD3A5F">
              <w:rPr>
                <w:sz w:val="22"/>
                <w:szCs w:val="22"/>
              </w:rPr>
              <w:t xml:space="preserve">rule of law and transitional justice; (2) surveys providing </w:t>
            </w:r>
            <w:r w:rsidR="00603362" w:rsidRPr="00DD3A5F">
              <w:rPr>
                <w:sz w:val="22"/>
                <w:szCs w:val="22"/>
              </w:rPr>
              <w:t xml:space="preserve">insight to decision makers into </w:t>
            </w:r>
            <w:r w:rsidR="005F57BE" w:rsidRPr="00DD3A5F">
              <w:rPr>
                <w:sz w:val="22"/>
                <w:szCs w:val="22"/>
              </w:rPr>
              <w:t xml:space="preserve">developments </w:t>
            </w:r>
            <w:r w:rsidR="00603362" w:rsidRPr="00DD3A5F">
              <w:rPr>
                <w:sz w:val="22"/>
                <w:szCs w:val="22"/>
              </w:rPr>
              <w:t xml:space="preserve">and sentiment </w:t>
            </w:r>
            <w:r w:rsidR="005F57BE" w:rsidRPr="00DD3A5F">
              <w:rPr>
                <w:sz w:val="22"/>
                <w:szCs w:val="22"/>
              </w:rPr>
              <w:t>on the ground</w:t>
            </w:r>
            <w:r w:rsidR="00587399" w:rsidRPr="00DD3A5F">
              <w:rPr>
                <w:sz w:val="22"/>
                <w:szCs w:val="22"/>
              </w:rPr>
              <w:t>; (3)</w:t>
            </w:r>
            <w:r w:rsidR="005F57BE" w:rsidRPr="00DD3A5F">
              <w:rPr>
                <w:sz w:val="22"/>
                <w:szCs w:val="22"/>
              </w:rPr>
              <w:t xml:space="preserve"> safeguarding of documents; and (4) Transitional justice. </w:t>
            </w:r>
          </w:p>
          <w:p w:rsidR="00255D27" w:rsidRPr="00DD3A5F" w:rsidRDefault="005F57BE" w:rsidP="00603362">
            <w:pPr>
              <w:rPr>
                <w:sz w:val="22"/>
                <w:szCs w:val="22"/>
              </w:rPr>
            </w:pPr>
            <w:r w:rsidRPr="00DD3A5F">
              <w:rPr>
                <w:sz w:val="22"/>
                <w:szCs w:val="22"/>
              </w:rPr>
              <w:t>In 2016, TDA</w:t>
            </w:r>
            <w:r w:rsidR="00255D27" w:rsidRPr="00DD3A5F">
              <w:rPr>
                <w:sz w:val="22"/>
                <w:szCs w:val="22"/>
              </w:rPr>
              <w:t xml:space="preserve">’s focus will be on carrying out Track II consultation meetings with Syrian stakeholders around key themes, including </w:t>
            </w:r>
            <w:r w:rsidR="00603362" w:rsidRPr="00DD3A5F">
              <w:rPr>
                <w:sz w:val="22"/>
                <w:szCs w:val="22"/>
              </w:rPr>
              <w:t>SSR</w:t>
            </w:r>
            <w:r w:rsidR="00255D27" w:rsidRPr="00DD3A5F">
              <w:rPr>
                <w:sz w:val="22"/>
                <w:szCs w:val="22"/>
              </w:rPr>
              <w:t xml:space="preserve">, transitional justice, the constitutional process (including electoral reform and the drafting of the constitution) and Rule of Law (looking at the shape and the content of certain laws). These aim to </w:t>
            </w:r>
            <w:r w:rsidR="00603362" w:rsidRPr="00DD3A5F">
              <w:rPr>
                <w:sz w:val="22"/>
                <w:szCs w:val="22"/>
              </w:rPr>
              <w:t xml:space="preserve">build </w:t>
            </w:r>
            <w:r w:rsidR="00255D27" w:rsidRPr="00DD3A5F">
              <w:rPr>
                <w:sz w:val="22"/>
                <w:szCs w:val="22"/>
              </w:rPr>
              <w:t xml:space="preserve">consensus </w:t>
            </w:r>
            <w:r w:rsidR="00603362" w:rsidRPr="00DD3A5F">
              <w:rPr>
                <w:sz w:val="22"/>
                <w:szCs w:val="22"/>
              </w:rPr>
              <w:t xml:space="preserve">amongst Syrian actions </w:t>
            </w:r>
            <w:r w:rsidR="00255D27" w:rsidRPr="00DD3A5F">
              <w:rPr>
                <w:sz w:val="22"/>
                <w:szCs w:val="22"/>
              </w:rPr>
              <w:t xml:space="preserve">on a blueprint of action and </w:t>
            </w:r>
            <w:r w:rsidR="00603362" w:rsidRPr="00DD3A5F">
              <w:rPr>
                <w:sz w:val="22"/>
                <w:szCs w:val="22"/>
              </w:rPr>
              <w:t xml:space="preserve">to </w:t>
            </w:r>
            <w:r w:rsidR="00255D27" w:rsidRPr="00DD3A5F">
              <w:rPr>
                <w:sz w:val="22"/>
                <w:szCs w:val="22"/>
              </w:rPr>
              <w:t xml:space="preserve">make recommendations to Track I actors on these issues. TDA will also expand </w:t>
            </w:r>
            <w:r w:rsidRPr="00DD3A5F">
              <w:rPr>
                <w:sz w:val="22"/>
                <w:szCs w:val="22"/>
              </w:rPr>
              <w:t xml:space="preserve">activities </w:t>
            </w:r>
            <w:r w:rsidR="00587399" w:rsidRPr="00DD3A5F">
              <w:rPr>
                <w:sz w:val="22"/>
                <w:szCs w:val="22"/>
              </w:rPr>
              <w:t xml:space="preserve">on these areas </w:t>
            </w:r>
            <w:r w:rsidRPr="00DD3A5F">
              <w:rPr>
                <w:sz w:val="22"/>
                <w:szCs w:val="22"/>
              </w:rPr>
              <w:t xml:space="preserve">to increase the focus on peacebuilding (including boosting the participation of women, the role of media, reinforcing local security initiatives, and expanding networks across dividing lines). </w:t>
            </w:r>
          </w:p>
          <w:p w:rsidR="005F57BE" w:rsidRPr="00DD3A5F" w:rsidRDefault="00255D27" w:rsidP="00603362">
            <w:pPr>
              <w:rPr>
                <w:sz w:val="22"/>
                <w:szCs w:val="22"/>
              </w:rPr>
            </w:pPr>
            <w:r w:rsidRPr="00DD3A5F">
              <w:rPr>
                <w:sz w:val="22"/>
                <w:szCs w:val="22"/>
              </w:rPr>
              <w:t>TDA has a strong</w:t>
            </w:r>
            <w:r w:rsidR="00D33C7E" w:rsidRPr="00DD3A5F">
              <w:rPr>
                <w:sz w:val="22"/>
                <w:szCs w:val="22"/>
              </w:rPr>
              <w:t>,</w:t>
            </w:r>
            <w:r w:rsidRPr="00DD3A5F">
              <w:rPr>
                <w:sz w:val="22"/>
                <w:szCs w:val="22"/>
              </w:rPr>
              <w:t xml:space="preserve"> </w:t>
            </w:r>
            <w:r w:rsidR="005F57BE" w:rsidRPr="00DD3A5F">
              <w:rPr>
                <w:sz w:val="22"/>
                <w:szCs w:val="22"/>
              </w:rPr>
              <w:t>well</w:t>
            </w:r>
            <w:r w:rsidR="00D33C7E" w:rsidRPr="00DD3A5F">
              <w:rPr>
                <w:sz w:val="22"/>
                <w:szCs w:val="22"/>
              </w:rPr>
              <w:t>-</w:t>
            </w:r>
            <w:r w:rsidR="005F57BE" w:rsidRPr="00DD3A5F">
              <w:rPr>
                <w:sz w:val="22"/>
                <w:szCs w:val="22"/>
              </w:rPr>
              <w:t xml:space="preserve">respected leadership connected inside Syria and able to contribute to dialogue on a future transition. Its documentation work is a critical conflict mitigation </w:t>
            </w:r>
            <w:r w:rsidR="00603362" w:rsidRPr="00DD3A5F">
              <w:rPr>
                <w:sz w:val="22"/>
                <w:szCs w:val="22"/>
              </w:rPr>
              <w:t xml:space="preserve">measure </w:t>
            </w:r>
            <w:r w:rsidR="005F57BE" w:rsidRPr="00DD3A5F">
              <w:rPr>
                <w:sz w:val="22"/>
                <w:szCs w:val="22"/>
              </w:rPr>
              <w:t>and feeds into t</w:t>
            </w:r>
            <w:r w:rsidRPr="00DD3A5F">
              <w:rPr>
                <w:sz w:val="22"/>
                <w:szCs w:val="22"/>
              </w:rPr>
              <w:t>he database operated by AJACS. That said, the 2015 assessment that TDA needed greater focus around a forward-</w:t>
            </w:r>
            <w:r w:rsidR="005F57BE" w:rsidRPr="00DD3A5F">
              <w:rPr>
                <w:sz w:val="22"/>
                <w:szCs w:val="22"/>
              </w:rPr>
              <w:t>looking institutional strategy</w:t>
            </w:r>
            <w:r w:rsidRPr="00DD3A5F">
              <w:rPr>
                <w:sz w:val="22"/>
                <w:szCs w:val="22"/>
              </w:rPr>
              <w:t xml:space="preserve"> remains relevant</w:t>
            </w:r>
            <w:r w:rsidR="00603362" w:rsidRPr="00DD3A5F">
              <w:rPr>
                <w:sz w:val="22"/>
                <w:szCs w:val="22"/>
              </w:rPr>
              <w:t>:</w:t>
            </w:r>
            <w:r w:rsidR="005F57BE" w:rsidRPr="00DD3A5F">
              <w:rPr>
                <w:sz w:val="22"/>
                <w:szCs w:val="22"/>
              </w:rPr>
              <w:t xml:space="preserve"> </w:t>
            </w:r>
            <w:r w:rsidRPr="00DD3A5F">
              <w:rPr>
                <w:sz w:val="22"/>
                <w:szCs w:val="22"/>
              </w:rPr>
              <w:t xml:space="preserve">TDA should be encouraged to seek external support to form such a strategy and ensure that its products (particularly surveys) are </w:t>
            </w:r>
            <w:r w:rsidR="00603362" w:rsidRPr="00DD3A5F">
              <w:rPr>
                <w:sz w:val="22"/>
                <w:szCs w:val="22"/>
              </w:rPr>
              <w:t xml:space="preserve">more </w:t>
            </w:r>
            <w:r w:rsidRPr="00DD3A5F">
              <w:rPr>
                <w:sz w:val="22"/>
                <w:szCs w:val="22"/>
              </w:rPr>
              <w:t>professional</w:t>
            </w:r>
            <w:r w:rsidR="00603362" w:rsidRPr="00DD3A5F">
              <w:rPr>
                <w:sz w:val="22"/>
                <w:szCs w:val="22"/>
              </w:rPr>
              <w:t xml:space="preserve"> and </w:t>
            </w:r>
            <w:r w:rsidRPr="00DD3A5F">
              <w:rPr>
                <w:sz w:val="22"/>
                <w:szCs w:val="22"/>
              </w:rPr>
              <w:t>carry more weight with international partners</w:t>
            </w:r>
            <w:r w:rsidR="005F57BE" w:rsidRPr="00DD3A5F">
              <w:rPr>
                <w:sz w:val="22"/>
                <w:szCs w:val="22"/>
              </w:rPr>
              <w:t>.</w:t>
            </w:r>
          </w:p>
        </w:tc>
      </w:tr>
      <w:tr w:rsidR="005F57BE" w:rsidRPr="00DD3A5F" w:rsidTr="002D4065">
        <w:tc>
          <w:tcPr>
            <w:tcW w:w="9639" w:type="dxa"/>
            <w:gridSpan w:val="2"/>
            <w:shd w:val="clear" w:color="auto" w:fill="EBD9E2"/>
          </w:tcPr>
          <w:p w:rsidR="005F57BE" w:rsidRPr="00DD3A5F" w:rsidRDefault="005F57BE" w:rsidP="0080400C">
            <w:pPr>
              <w:rPr>
                <w:sz w:val="22"/>
                <w:szCs w:val="22"/>
              </w:rPr>
            </w:pPr>
            <w:r w:rsidRPr="00DD3A5F">
              <w:rPr>
                <w:sz w:val="22"/>
                <w:szCs w:val="22"/>
              </w:rPr>
              <w:t xml:space="preserve">Previous </w:t>
            </w:r>
            <w:r w:rsidRPr="00DD3A5F">
              <w:rPr>
                <w:sz w:val="22"/>
                <w:szCs w:val="22"/>
                <w:shd w:val="clear" w:color="auto" w:fill="EBD9E2"/>
              </w:rPr>
              <w:t>support</w:t>
            </w:r>
          </w:p>
        </w:tc>
      </w:tr>
      <w:tr w:rsidR="005F57BE" w:rsidRPr="00DD3A5F" w:rsidTr="00EB5A86">
        <w:tc>
          <w:tcPr>
            <w:tcW w:w="9639" w:type="dxa"/>
            <w:gridSpan w:val="2"/>
            <w:shd w:val="clear" w:color="auto" w:fill="auto"/>
          </w:tcPr>
          <w:p w:rsidR="005F57BE" w:rsidRPr="00DD3A5F" w:rsidRDefault="005F57BE" w:rsidP="00EC7E04">
            <w:pPr>
              <w:rPr>
                <w:b/>
                <w:sz w:val="22"/>
                <w:szCs w:val="22"/>
                <w:highlight w:val="yellow"/>
              </w:rPr>
            </w:pPr>
            <w:r w:rsidRPr="00DD3A5F">
              <w:rPr>
                <w:sz w:val="22"/>
                <w:szCs w:val="22"/>
              </w:rPr>
              <w:t xml:space="preserve">Denmark </w:t>
            </w:r>
            <w:r w:rsidR="003A3D1D" w:rsidRPr="00DD3A5F">
              <w:rPr>
                <w:sz w:val="22"/>
                <w:szCs w:val="22"/>
              </w:rPr>
              <w:t xml:space="preserve">provided TDA with </w:t>
            </w:r>
            <w:r w:rsidRPr="00DD3A5F">
              <w:rPr>
                <w:sz w:val="22"/>
                <w:szCs w:val="22"/>
              </w:rPr>
              <w:t xml:space="preserve">DKK 1.5 million </w:t>
            </w:r>
            <w:r w:rsidR="003A3D1D" w:rsidRPr="00DD3A5F">
              <w:rPr>
                <w:sz w:val="22"/>
                <w:szCs w:val="22"/>
              </w:rPr>
              <w:t>in funding between</w:t>
            </w:r>
            <w:r w:rsidR="00603362" w:rsidRPr="00DD3A5F">
              <w:rPr>
                <w:sz w:val="22"/>
                <w:szCs w:val="22"/>
              </w:rPr>
              <w:t xml:space="preserve"> </w:t>
            </w:r>
            <w:r w:rsidRPr="00DD3A5F">
              <w:rPr>
                <w:sz w:val="22"/>
                <w:szCs w:val="22"/>
              </w:rPr>
              <w:t>2012-13</w:t>
            </w:r>
            <w:r w:rsidR="003A3D1D" w:rsidRPr="00DD3A5F">
              <w:rPr>
                <w:sz w:val="22"/>
                <w:szCs w:val="22"/>
              </w:rPr>
              <w:t xml:space="preserve">; </w:t>
            </w:r>
            <w:r w:rsidRPr="00DD3A5F">
              <w:rPr>
                <w:sz w:val="22"/>
                <w:szCs w:val="22"/>
              </w:rPr>
              <w:t xml:space="preserve">DKK 6.5 million </w:t>
            </w:r>
            <w:r w:rsidR="003A3D1D" w:rsidRPr="00DD3A5F">
              <w:rPr>
                <w:sz w:val="22"/>
                <w:szCs w:val="22"/>
              </w:rPr>
              <w:t xml:space="preserve">between </w:t>
            </w:r>
            <w:r w:rsidRPr="00DD3A5F">
              <w:rPr>
                <w:sz w:val="22"/>
                <w:szCs w:val="22"/>
              </w:rPr>
              <w:t>2014-15</w:t>
            </w:r>
            <w:r w:rsidR="003A3D1D" w:rsidRPr="00DD3A5F">
              <w:rPr>
                <w:sz w:val="22"/>
                <w:szCs w:val="22"/>
              </w:rPr>
              <w:t xml:space="preserve"> and </w:t>
            </w:r>
            <w:r w:rsidRPr="00DD3A5F">
              <w:rPr>
                <w:sz w:val="22"/>
                <w:szCs w:val="22"/>
              </w:rPr>
              <w:t xml:space="preserve">DKK 4 million </w:t>
            </w:r>
            <w:r w:rsidR="003A3D1D" w:rsidRPr="00DD3A5F">
              <w:rPr>
                <w:sz w:val="22"/>
                <w:szCs w:val="22"/>
              </w:rPr>
              <w:t xml:space="preserve">between </w:t>
            </w:r>
            <w:r w:rsidRPr="00DD3A5F">
              <w:rPr>
                <w:sz w:val="22"/>
                <w:szCs w:val="22"/>
              </w:rPr>
              <w:t>2015-16</w:t>
            </w:r>
            <w:r w:rsidR="003A3D1D" w:rsidRPr="00DD3A5F">
              <w:rPr>
                <w:sz w:val="22"/>
                <w:szCs w:val="22"/>
              </w:rPr>
              <w:t>.</w:t>
            </w:r>
          </w:p>
        </w:tc>
      </w:tr>
    </w:tbl>
    <w:p w:rsidR="005F57BE" w:rsidRPr="00816FC2" w:rsidRDefault="005F57BE" w:rsidP="00AA23C9">
      <w:pPr>
        <w:pStyle w:val="Overskrift4"/>
        <w:numPr>
          <w:ilvl w:val="0"/>
          <w:numId w:val="45"/>
        </w:numPr>
      </w:pPr>
      <w:r w:rsidRPr="00816FC2">
        <w:t>Baytna’s Support to Civil Society</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F91B9F" w:rsidRPr="009A2005" w:rsidTr="002D4065">
        <w:tc>
          <w:tcPr>
            <w:tcW w:w="9639" w:type="dxa"/>
            <w:gridSpan w:val="2"/>
            <w:shd w:val="clear" w:color="auto" w:fill="3E2C42"/>
          </w:tcPr>
          <w:p w:rsidR="00F91B9F" w:rsidRPr="009A2005" w:rsidRDefault="00F91B9F" w:rsidP="0080400C">
            <w:pPr>
              <w:rPr>
                <w:b/>
                <w:color w:val="FFFFFF" w:themeColor="background1"/>
                <w:sz w:val="22"/>
                <w:szCs w:val="22"/>
              </w:rPr>
            </w:pPr>
            <w:r w:rsidRPr="009A2005">
              <w:rPr>
                <w:b/>
                <w:color w:val="FFFFFF" w:themeColor="background1"/>
                <w:sz w:val="22"/>
                <w:szCs w:val="22"/>
              </w:rPr>
              <w:t>Overview</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Implementing partner</w:t>
            </w:r>
          </w:p>
        </w:tc>
        <w:tc>
          <w:tcPr>
            <w:tcW w:w="6945" w:type="dxa"/>
          </w:tcPr>
          <w:p w:rsidR="00F91B9F" w:rsidRPr="009A2005" w:rsidRDefault="00310499" w:rsidP="0080400C">
            <w:pPr>
              <w:rPr>
                <w:sz w:val="22"/>
                <w:szCs w:val="22"/>
              </w:rPr>
            </w:pPr>
            <w:r w:rsidRPr="009A2005">
              <w:rPr>
                <w:sz w:val="22"/>
                <w:szCs w:val="22"/>
              </w:rPr>
              <w:t>Baytna</w:t>
            </w:r>
          </w:p>
        </w:tc>
      </w:tr>
      <w:tr w:rsidR="006C0F6D" w:rsidRPr="009A2005" w:rsidTr="002D4065">
        <w:tc>
          <w:tcPr>
            <w:tcW w:w="2694" w:type="dxa"/>
            <w:shd w:val="clear" w:color="auto" w:fill="EBD9E2"/>
          </w:tcPr>
          <w:p w:rsidR="006C0F6D" w:rsidRPr="009A2005" w:rsidRDefault="006C0F6D" w:rsidP="0080400C">
            <w:pPr>
              <w:rPr>
                <w:sz w:val="22"/>
                <w:szCs w:val="22"/>
              </w:rPr>
            </w:pPr>
            <w:r w:rsidRPr="009A2005">
              <w:rPr>
                <w:sz w:val="22"/>
                <w:szCs w:val="22"/>
              </w:rPr>
              <w:t>Danish contribution</w:t>
            </w:r>
          </w:p>
        </w:tc>
        <w:tc>
          <w:tcPr>
            <w:tcW w:w="6945" w:type="dxa"/>
          </w:tcPr>
          <w:p w:rsidR="006C0F6D" w:rsidRPr="009A2005" w:rsidRDefault="007134C7" w:rsidP="006C0F6D">
            <w:pPr>
              <w:rPr>
                <w:sz w:val="22"/>
                <w:szCs w:val="22"/>
              </w:rPr>
            </w:pPr>
            <w:r w:rsidRPr="009A2005">
              <w:rPr>
                <w:sz w:val="22"/>
                <w:szCs w:val="22"/>
              </w:rPr>
              <w:t>10 M DKK</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Budget</w:t>
            </w:r>
          </w:p>
        </w:tc>
        <w:tc>
          <w:tcPr>
            <w:tcW w:w="6945" w:type="dxa"/>
          </w:tcPr>
          <w:p w:rsidR="00F91B9F" w:rsidRPr="009A2005" w:rsidRDefault="00275A80" w:rsidP="006C0F6D">
            <w:pPr>
              <w:rPr>
                <w:sz w:val="22"/>
                <w:szCs w:val="22"/>
              </w:rPr>
            </w:pPr>
            <w:r w:rsidRPr="009A2005">
              <w:rPr>
                <w:sz w:val="22"/>
                <w:szCs w:val="22"/>
              </w:rPr>
              <w:t>EUR 5.3 m to 2018.</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Project period</w:t>
            </w:r>
          </w:p>
        </w:tc>
        <w:tc>
          <w:tcPr>
            <w:tcW w:w="6945" w:type="dxa"/>
          </w:tcPr>
          <w:p w:rsidR="00F91B9F" w:rsidRPr="009A2005" w:rsidRDefault="00E45238" w:rsidP="0080400C">
            <w:pPr>
              <w:rPr>
                <w:sz w:val="22"/>
                <w:szCs w:val="22"/>
              </w:rPr>
            </w:pPr>
            <w:r w:rsidRPr="009A2005">
              <w:rPr>
                <w:sz w:val="22"/>
                <w:szCs w:val="22"/>
              </w:rPr>
              <w:t>2016-2018</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Other donors</w:t>
            </w:r>
          </w:p>
        </w:tc>
        <w:tc>
          <w:tcPr>
            <w:tcW w:w="6945" w:type="dxa"/>
          </w:tcPr>
          <w:p w:rsidR="00F91B9F" w:rsidRPr="009A2005" w:rsidRDefault="00587399" w:rsidP="0080400C">
            <w:pPr>
              <w:rPr>
                <w:sz w:val="22"/>
                <w:szCs w:val="22"/>
              </w:rPr>
            </w:pPr>
            <w:r w:rsidRPr="009A2005">
              <w:rPr>
                <w:sz w:val="22"/>
                <w:szCs w:val="22"/>
              </w:rPr>
              <w:t xml:space="preserve">The Asfari Foundation. Baytna </w:t>
            </w:r>
            <w:r w:rsidR="00211B5A" w:rsidRPr="009A2005">
              <w:rPr>
                <w:sz w:val="22"/>
                <w:szCs w:val="22"/>
              </w:rPr>
              <w:t xml:space="preserve">also </w:t>
            </w:r>
            <w:r w:rsidRPr="009A2005">
              <w:rPr>
                <w:sz w:val="22"/>
                <w:szCs w:val="22"/>
              </w:rPr>
              <w:t>has grants pending from the French and Swedish governments and has been approached by the Organisation of Islamic Cooperation</w:t>
            </w:r>
            <w:r w:rsidR="00F91B9F" w:rsidRPr="009A2005">
              <w:rPr>
                <w:sz w:val="22"/>
                <w:szCs w:val="22"/>
              </w:rPr>
              <w:t>.</w:t>
            </w:r>
          </w:p>
        </w:tc>
      </w:tr>
      <w:tr w:rsidR="00F91B9F" w:rsidRPr="009A2005" w:rsidTr="002D4065">
        <w:tc>
          <w:tcPr>
            <w:tcW w:w="9639" w:type="dxa"/>
            <w:gridSpan w:val="2"/>
            <w:shd w:val="clear" w:color="auto" w:fill="EBD9E2"/>
          </w:tcPr>
          <w:p w:rsidR="00F91B9F" w:rsidRPr="009A2005" w:rsidRDefault="00F174C6" w:rsidP="0080400C">
            <w:pPr>
              <w:rPr>
                <w:sz w:val="22"/>
                <w:szCs w:val="22"/>
              </w:rPr>
            </w:pPr>
            <w:r w:rsidRPr="009A2005">
              <w:rPr>
                <w:sz w:val="22"/>
                <w:szCs w:val="22"/>
              </w:rPr>
              <w:t>O</w:t>
            </w:r>
            <w:r w:rsidR="00F91B9F" w:rsidRPr="009A2005">
              <w:rPr>
                <w:sz w:val="22"/>
                <w:szCs w:val="22"/>
              </w:rPr>
              <w:t>bjective (output to overall programme results framework)</w:t>
            </w:r>
          </w:p>
        </w:tc>
      </w:tr>
      <w:tr w:rsidR="00F91B9F" w:rsidRPr="009A2005" w:rsidTr="00EB5A86">
        <w:tc>
          <w:tcPr>
            <w:tcW w:w="9639" w:type="dxa"/>
            <w:gridSpan w:val="2"/>
          </w:tcPr>
          <w:p w:rsidR="00F91B9F" w:rsidRPr="009A2005" w:rsidRDefault="002E398F" w:rsidP="00FD29F4">
            <w:pPr>
              <w:rPr>
                <w:sz w:val="22"/>
                <w:szCs w:val="22"/>
              </w:rPr>
            </w:pPr>
            <w:r w:rsidRPr="009A2005">
              <w:rPr>
                <w:sz w:val="22"/>
                <w:szCs w:val="22"/>
              </w:rPr>
              <w:t>C</w:t>
            </w:r>
            <w:r w:rsidR="00EA17F0" w:rsidRPr="009A2005">
              <w:rPr>
                <w:sz w:val="22"/>
                <w:szCs w:val="22"/>
              </w:rPr>
              <w:t>apacity of civil society to act as a force for democratic change, inclusive peace and stability, to support transitional justice, and to promote respect for human rights and civil liberties using different tools and approaches including advocacy, lobbying and policy making</w:t>
            </w:r>
            <w:r w:rsidR="00483AC5" w:rsidRPr="009A2005">
              <w:rPr>
                <w:sz w:val="22"/>
                <w:szCs w:val="22"/>
              </w:rPr>
              <w:t xml:space="preserve"> is strengthened</w:t>
            </w:r>
            <w:r w:rsidR="00EA17F0" w:rsidRPr="009A2005">
              <w:rPr>
                <w:sz w:val="22"/>
                <w:szCs w:val="22"/>
              </w:rPr>
              <w:t>.</w:t>
            </w:r>
          </w:p>
        </w:tc>
      </w:tr>
      <w:tr w:rsidR="00F91B9F" w:rsidRPr="009A2005" w:rsidTr="002D4065">
        <w:tc>
          <w:tcPr>
            <w:tcW w:w="9639" w:type="dxa"/>
            <w:gridSpan w:val="2"/>
            <w:shd w:val="clear" w:color="auto" w:fill="EBD9E2"/>
          </w:tcPr>
          <w:p w:rsidR="00F91B9F" w:rsidRPr="009A2005" w:rsidRDefault="00F91B9F" w:rsidP="0080400C">
            <w:pPr>
              <w:rPr>
                <w:sz w:val="22"/>
                <w:szCs w:val="22"/>
              </w:rPr>
            </w:pPr>
            <w:r w:rsidRPr="009A2005">
              <w:rPr>
                <w:sz w:val="22"/>
                <w:szCs w:val="22"/>
              </w:rPr>
              <w:t>Project description</w:t>
            </w:r>
          </w:p>
        </w:tc>
      </w:tr>
      <w:tr w:rsidR="00F91B9F" w:rsidRPr="009A2005" w:rsidTr="00EB5A86">
        <w:tc>
          <w:tcPr>
            <w:tcW w:w="9639" w:type="dxa"/>
            <w:gridSpan w:val="2"/>
          </w:tcPr>
          <w:p w:rsidR="00AB5D5D" w:rsidRPr="009A2005" w:rsidRDefault="00225996" w:rsidP="00723A0E">
            <w:pPr>
              <w:rPr>
                <w:sz w:val="22"/>
                <w:szCs w:val="22"/>
              </w:rPr>
            </w:pPr>
            <w:r w:rsidRPr="009A2005">
              <w:rPr>
                <w:sz w:val="22"/>
                <w:szCs w:val="22"/>
              </w:rPr>
              <w:lastRenderedPageBreak/>
              <w:t xml:space="preserve">Set up with Danish funding in 2013, Baytna’s </w:t>
            </w:r>
            <w:r w:rsidR="00AB5D5D" w:rsidRPr="009A2005">
              <w:rPr>
                <w:sz w:val="22"/>
                <w:szCs w:val="22"/>
              </w:rPr>
              <w:t xml:space="preserve">aims to </w:t>
            </w:r>
            <w:r w:rsidR="00723A0E" w:rsidRPr="009A2005">
              <w:rPr>
                <w:sz w:val="22"/>
                <w:szCs w:val="22"/>
              </w:rPr>
              <w:t>‘</w:t>
            </w:r>
            <w:r w:rsidRPr="007F2463">
              <w:rPr>
                <w:sz w:val="22"/>
                <w:szCs w:val="22"/>
              </w:rPr>
              <w:t>strengthen the capacity of civil society to act as a force for democratic change</w:t>
            </w:r>
            <w:r w:rsidR="00723A0E" w:rsidRPr="009A2005">
              <w:rPr>
                <w:sz w:val="22"/>
                <w:szCs w:val="22"/>
              </w:rPr>
              <w:t>’</w:t>
            </w:r>
            <w:r w:rsidR="00AB5D5D" w:rsidRPr="009A2005">
              <w:rPr>
                <w:sz w:val="22"/>
                <w:szCs w:val="22"/>
              </w:rPr>
              <w:t xml:space="preserve"> through </w:t>
            </w:r>
            <w:r w:rsidRPr="009A2005">
              <w:rPr>
                <w:sz w:val="22"/>
                <w:szCs w:val="22"/>
              </w:rPr>
              <w:t xml:space="preserve">three core services: </w:t>
            </w:r>
            <w:r w:rsidRPr="009A2005">
              <w:rPr>
                <w:b/>
                <w:bCs/>
                <w:sz w:val="22"/>
                <w:szCs w:val="22"/>
              </w:rPr>
              <w:t>capacity building</w:t>
            </w:r>
            <w:r w:rsidR="00723A0E" w:rsidRPr="009A2005">
              <w:rPr>
                <w:b/>
                <w:bCs/>
                <w:sz w:val="22"/>
                <w:szCs w:val="22"/>
              </w:rPr>
              <w:t>,</w:t>
            </w:r>
            <w:r w:rsidRPr="009A2005">
              <w:rPr>
                <w:sz w:val="22"/>
                <w:szCs w:val="22"/>
              </w:rPr>
              <w:t xml:space="preserve"> small-scale </w:t>
            </w:r>
            <w:r w:rsidRPr="009A2005">
              <w:rPr>
                <w:b/>
                <w:bCs/>
                <w:sz w:val="22"/>
                <w:szCs w:val="22"/>
              </w:rPr>
              <w:t>grants</w:t>
            </w:r>
            <w:r w:rsidR="00723A0E" w:rsidRPr="009A2005">
              <w:rPr>
                <w:b/>
                <w:bCs/>
                <w:sz w:val="22"/>
                <w:szCs w:val="22"/>
              </w:rPr>
              <w:t xml:space="preserve"> to Syrian CSOs,</w:t>
            </w:r>
            <w:r w:rsidR="00AB5D5D" w:rsidRPr="009A2005">
              <w:rPr>
                <w:rStyle w:val="Fodnotehenvisning"/>
                <w:b/>
                <w:bCs/>
                <w:sz w:val="22"/>
                <w:szCs w:val="22"/>
              </w:rPr>
              <w:footnoteReference w:id="10"/>
            </w:r>
            <w:r w:rsidR="00723A0E" w:rsidRPr="009A2005">
              <w:rPr>
                <w:sz w:val="22"/>
                <w:szCs w:val="22"/>
              </w:rPr>
              <w:t xml:space="preserve"> </w:t>
            </w:r>
            <w:r w:rsidR="00AB5D5D" w:rsidRPr="009A2005">
              <w:rPr>
                <w:sz w:val="22"/>
                <w:szCs w:val="22"/>
              </w:rPr>
              <w:t xml:space="preserve">and a </w:t>
            </w:r>
            <w:r w:rsidRPr="009A2005">
              <w:rPr>
                <w:b/>
                <w:bCs/>
                <w:sz w:val="22"/>
                <w:szCs w:val="22"/>
              </w:rPr>
              <w:t>hub</w:t>
            </w:r>
            <w:r w:rsidR="00AB5D5D" w:rsidRPr="009A2005">
              <w:rPr>
                <w:rStyle w:val="Fodnotehenvisning"/>
                <w:b/>
                <w:bCs/>
                <w:sz w:val="22"/>
                <w:szCs w:val="22"/>
              </w:rPr>
              <w:footnoteReference w:id="11"/>
            </w:r>
            <w:r w:rsidRPr="009A2005">
              <w:rPr>
                <w:sz w:val="22"/>
                <w:szCs w:val="22"/>
              </w:rPr>
              <w:t xml:space="preserve"> </w:t>
            </w:r>
            <w:r w:rsidR="00AB5D5D" w:rsidRPr="009A2005">
              <w:rPr>
                <w:sz w:val="22"/>
                <w:szCs w:val="22"/>
              </w:rPr>
              <w:t xml:space="preserve">to enable </w:t>
            </w:r>
            <w:r w:rsidRPr="009A2005">
              <w:rPr>
                <w:sz w:val="22"/>
                <w:szCs w:val="22"/>
              </w:rPr>
              <w:t>opposition CSOs, refugees, diaspora an</w:t>
            </w:r>
            <w:r w:rsidR="00AB5D5D" w:rsidRPr="009A2005">
              <w:rPr>
                <w:sz w:val="22"/>
                <w:szCs w:val="22"/>
              </w:rPr>
              <w:t>d others meet and coordinate</w:t>
            </w:r>
            <w:r w:rsidRPr="009A2005">
              <w:rPr>
                <w:sz w:val="22"/>
                <w:szCs w:val="22"/>
              </w:rPr>
              <w:t>.</w:t>
            </w:r>
            <w:r w:rsidR="00DE3916" w:rsidRPr="009A2005">
              <w:rPr>
                <w:sz w:val="22"/>
                <w:szCs w:val="22"/>
              </w:rPr>
              <w:t xml:space="preserve"> </w:t>
            </w:r>
            <w:r w:rsidR="00723A0E" w:rsidRPr="009A2005">
              <w:rPr>
                <w:sz w:val="22"/>
                <w:szCs w:val="22"/>
              </w:rPr>
              <w:t xml:space="preserve">In view of its </w:t>
            </w:r>
            <w:r w:rsidR="00AB5D5D" w:rsidRPr="009A2005">
              <w:rPr>
                <w:sz w:val="22"/>
                <w:szCs w:val="22"/>
              </w:rPr>
              <w:t>success as a CSO hub</w:t>
            </w:r>
            <w:r w:rsidR="00723A0E" w:rsidRPr="009A2005">
              <w:rPr>
                <w:sz w:val="22"/>
                <w:szCs w:val="22"/>
              </w:rPr>
              <w:t xml:space="preserve"> Baytna is </w:t>
            </w:r>
            <w:r w:rsidR="00AB5D5D" w:rsidRPr="009A2005">
              <w:rPr>
                <w:sz w:val="22"/>
                <w:szCs w:val="22"/>
              </w:rPr>
              <w:t>expand</w:t>
            </w:r>
            <w:r w:rsidR="00723A0E" w:rsidRPr="009A2005">
              <w:rPr>
                <w:sz w:val="22"/>
                <w:szCs w:val="22"/>
              </w:rPr>
              <w:t>ing</w:t>
            </w:r>
            <w:r w:rsidR="00AB5D5D" w:rsidRPr="009A2005">
              <w:rPr>
                <w:sz w:val="22"/>
                <w:szCs w:val="22"/>
              </w:rPr>
              <w:t xml:space="preserve"> </w:t>
            </w:r>
            <w:r w:rsidR="00723A0E" w:rsidRPr="009A2005">
              <w:rPr>
                <w:sz w:val="22"/>
                <w:szCs w:val="22"/>
              </w:rPr>
              <w:t xml:space="preserve">into international </w:t>
            </w:r>
            <w:r w:rsidR="00AB5D5D" w:rsidRPr="009A2005">
              <w:rPr>
                <w:b/>
                <w:bCs/>
                <w:sz w:val="22"/>
                <w:szCs w:val="22"/>
              </w:rPr>
              <w:t>advocacy</w:t>
            </w:r>
            <w:r w:rsidR="00AB5D5D" w:rsidRPr="009A2005">
              <w:rPr>
                <w:sz w:val="22"/>
                <w:szCs w:val="22"/>
              </w:rPr>
              <w:t>.</w:t>
            </w:r>
          </w:p>
          <w:p w:rsidR="00225996" w:rsidRPr="009A2005" w:rsidRDefault="00AB5D5D" w:rsidP="00704626">
            <w:pPr>
              <w:rPr>
                <w:sz w:val="22"/>
                <w:szCs w:val="22"/>
              </w:rPr>
            </w:pPr>
            <w:r w:rsidRPr="009A2005">
              <w:rPr>
                <w:sz w:val="22"/>
                <w:szCs w:val="22"/>
              </w:rPr>
              <w:t xml:space="preserve">Baytna’s external review in 2015 raised a range of issues relating to the strength of the organisation’s management and its ability to deliver results. Since </w:t>
            </w:r>
            <w:r w:rsidR="00723A0E" w:rsidRPr="009A2005">
              <w:rPr>
                <w:sz w:val="22"/>
                <w:szCs w:val="22"/>
              </w:rPr>
              <w:t>then</w:t>
            </w:r>
            <w:r w:rsidRPr="009A2005">
              <w:rPr>
                <w:sz w:val="22"/>
                <w:szCs w:val="22"/>
              </w:rPr>
              <w:t xml:space="preserve">, Baytna has </w:t>
            </w:r>
            <w:r w:rsidR="00225996" w:rsidRPr="009A2005">
              <w:rPr>
                <w:sz w:val="22"/>
                <w:szCs w:val="22"/>
              </w:rPr>
              <w:t>grown in strength, become less externally driven</w:t>
            </w:r>
            <w:r w:rsidR="00DE3916" w:rsidRPr="009A2005">
              <w:rPr>
                <w:sz w:val="22"/>
                <w:szCs w:val="22"/>
              </w:rPr>
              <w:t>,</w:t>
            </w:r>
            <w:r w:rsidR="00225996" w:rsidRPr="009A2005">
              <w:rPr>
                <w:sz w:val="22"/>
                <w:szCs w:val="22"/>
              </w:rPr>
              <w:t xml:space="preserve"> and is increasingly capable of operating independently. </w:t>
            </w:r>
            <w:r w:rsidRPr="009A2005">
              <w:rPr>
                <w:sz w:val="22"/>
                <w:szCs w:val="22"/>
              </w:rPr>
              <w:t xml:space="preserve">Baytna </w:t>
            </w:r>
            <w:r w:rsidR="00225996" w:rsidRPr="009A2005">
              <w:rPr>
                <w:sz w:val="22"/>
                <w:szCs w:val="22"/>
              </w:rPr>
              <w:t>is now fully managed by Syrian staff responsible for</w:t>
            </w:r>
            <w:r w:rsidRPr="009A2005">
              <w:rPr>
                <w:sz w:val="22"/>
                <w:szCs w:val="22"/>
              </w:rPr>
              <w:t xml:space="preserve"> its</w:t>
            </w:r>
            <w:r w:rsidR="00225996" w:rsidRPr="009A2005">
              <w:rPr>
                <w:sz w:val="22"/>
                <w:szCs w:val="22"/>
              </w:rPr>
              <w:t xml:space="preserve"> finance and administration, allowing the external support provided by </w:t>
            </w:r>
            <w:r w:rsidR="00DE3916" w:rsidRPr="009A2005">
              <w:rPr>
                <w:sz w:val="22"/>
                <w:szCs w:val="22"/>
              </w:rPr>
              <w:t xml:space="preserve">the implementers </w:t>
            </w:r>
            <w:r w:rsidR="00225996" w:rsidRPr="009A2005">
              <w:rPr>
                <w:sz w:val="22"/>
                <w:szCs w:val="22"/>
              </w:rPr>
              <w:t xml:space="preserve">Transtec / Aktis to become purely advisory (although still needed). </w:t>
            </w:r>
          </w:p>
          <w:p w:rsidR="00F91B9F" w:rsidRPr="009A2005" w:rsidRDefault="00DE3916" w:rsidP="009A2005">
            <w:pPr>
              <w:rPr>
                <w:sz w:val="22"/>
                <w:szCs w:val="22"/>
              </w:rPr>
            </w:pPr>
            <w:r w:rsidRPr="009A2005">
              <w:rPr>
                <w:sz w:val="22"/>
                <w:szCs w:val="22"/>
              </w:rPr>
              <w:t xml:space="preserve">Danish funding will </w:t>
            </w:r>
            <w:r w:rsidR="00225996" w:rsidRPr="009A2005">
              <w:rPr>
                <w:sz w:val="22"/>
                <w:szCs w:val="22"/>
              </w:rPr>
              <w:t xml:space="preserve">strengthen </w:t>
            </w:r>
            <w:r w:rsidR="00FF32FC" w:rsidRPr="009A2005">
              <w:rPr>
                <w:sz w:val="22"/>
                <w:szCs w:val="22"/>
              </w:rPr>
              <w:t xml:space="preserve">Baytna’s work with </w:t>
            </w:r>
            <w:r w:rsidR="00AB5D5D" w:rsidRPr="009A2005">
              <w:rPr>
                <w:sz w:val="22"/>
                <w:szCs w:val="22"/>
              </w:rPr>
              <w:t xml:space="preserve">moderate </w:t>
            </w:r>
            <w:r w:rsidR="00FF32FC" w:rsidRPr="009A2005">
              <w:rPr>
                <w:sz w:val="22"/>
                <w:szCs w:val="22"/>
              </w:rPr>
              <w:t xml:space="preserve">Syrian </w:t>
            </w:r>
            <w:r w:rsidR="00AB5D5D" w:rsidRPr="009A2005">
              <w:rPr>
                <w:sz w:val="22"/>
                <w:szCs w:val="22"/>
              </w:rPr>
              <w:t>CSO</w:t>
            </w:r>
            <w:r w:rsidR="004E558D" w:rsidRPr="009A2005">
              <w:rPr>
                <w:sz w:val="22"/>
                <w:szCs w:val="22"/>
              </w:rPr>
              <w:t>s</w:t>
            </w:r>
            <w:r w:rsidR="00AB5D5D" w:rsidRPr="009A2005">
              <w:rPr>
                <w:sz w:val="22"/>
                <w:szCs w:val="22"/>
              </w:rPr>
              <w:t xml:space="preserve"> </w:t>
            </w:r>
            <w:r w:rsidR="00FF32FC" w:rsidRPr="009A2005">
              <w:rPr>
                <w:sz w:val="22"/>
                <w:szCs w:val="22"/>
              </w:rPr>
              <w:t xml:space="preserve">in and outside Syria. </w:t>
            </w:r>
            <w:r w:rsidR="00225996" w:rsidRPr="009A2005">
              <w:rPr>
                <w:sz w:val="22"/>
                <w:szCs w:val="22"/>
              </w:rPr>
              <w:t>Baytna should be further encouraged to develop its institutional capacity, its medium term strategy and diversify its funding base. Baytna’s set-up remains relevant under scenarios 1 and 2, but may require substa</w:t>
            </w:r>
            <w:r w:rsidR="00887DF5" w:rsidRPr="009A2005">
              <w:rPr>
                <w:sz w:val="22"/>
                <w:szCs w:val="22"/>
              </w:rPr>
              <w:t>ntial adjustment for scenario 3.</w:t>
            </w:r>
            <w:r w:rsidR="00704626" w:rsidRPr="009A2005">
              <w:rPr>
                <w:sz w:val="22"/>
                <w:szCs w:val="22"/>
              </w:rPr>
              <w:t xml:space="preserve"> Finally, Baytna is seeking to diversify revenue streams and attract funding from other donors.</w:t>
            </w:r>
          </w:p>
        </w:tc>
      </w:tr>
      <w:tr w:rsidR="00F91B9F" w:rsidRPr="009A2005" w:rsidTr="002D4065">
        <w:tc>
          <w:tcPr>
            <w:tcW w:w="9639" w:type="dxa"/>
            <w:gridSpan w:val="2"/>
            <w:shd w:val="clear" w:color="auto" w:fill="EBD9E2"/>
          </w:tcPr>
          <w:p w:rsidR="00F91B9F" w:rsidRPr="009A2005" w:rsidRDefault="00F91B9F" w:rsidP="0080400C">
            <w:pPr>
              <w:rPr>
                <w:sz w:val="22"/>
                <w:szCs w:val="22"/>
              </w:rPr>
            </w:pPr>
            <w:r w:rsidRPr="009A2005">
              <w:rPr>
                <w:sz w:val="22"/>
                <w:szCs w:val="22"/>
              </w:rPr>
              <w:t>Previous support</w:t>
            </w:r>
          </w:p>
        </w:tc>
      </w:tr>
      <w:tr w:rsidR="00F91B9F" w:rsidRPr="009A2005" w:rsidTr="00EB5A86">
        <w:tc>
          <w:tcPr>
            <w:tcW w:w="9639" w:type="dxa"/>
            <w:gridSpan w:val="2"/>
          </w:tcPr>
          <w:p w:rsidR="00F91B9F" w:rsidRPr="009A2005" w:rsidRDefault="00DE3916" w:rsidP="0080400C">
            <w:pPr>
              <w:rPr>
                <w:sz w:val="22"/>
                <w:szCs w:val="22"/>
                <w:highlight w:val="yellow"/>
              </w:rPr>
            </w:pPr>
            <w:r w:rsidRPr="009A2005">
              <w:rPr>
                <w:sz w:val="22"/>
                <w:szCs w:val="22"/>
              </w:rPr>
              <w:t>DKK 7.5 million for 2015-16 building on an earlier Danish funding allocation of DKK 5 million in 2013-14 and DKK 10 million in 2014-15.</w:t>
            </w:r>
          </w:p>
        </w:tc>
      </w:tr>
    </w:tbl>
    <w:p w:rsidR="0012383F" w:rsidRPr="00816FC2" w:rsidRDefault="004F3945" w:rsidP="0080400C">
      <w:pPr>
        <w:pStyle w:val="Overskrift2"/>
      </w:pPr>
      <w:bookmarkStart w:id="42" w:name="_Toc323740990"/>
      <w:bookmarkStart w:id="43" w:name="_Toc332370519"/>
      <w:r w:rsidRPr="00816FC2">
        <w:t>TP2: R</w:t>
      </w:r>
      <w:r w:rsidR="0012383F" w:rsidRPr="00816FC2">
        <w:t>esilience</w:t>
      </w:r>
      <w:bookmarkEnd w:id="42"/>
      <w:r w:rsidR="00E70AF2" w:rsidRPr="00816FC2">
        <w:t xml:space="preserve"> and </w:t>
      </w:r>
      <w:r w:rsidR="00EC7E04">
        <w:t>R</w:t>
      </w:r>
      <w:r w:rsidR="003F6A3C">
        <w:t>apid Response</w:t>
      </w:r>
      <w:bookmarkEnd w:id="43"/>
    </w:p>
    <w:p w:rsidR="0012383F" w:rsidRPr="00816FC2" w:rsidRDefault="0012383F" w:rsidP="008770FD">
      <w:pPr>
        <w:pStyle w:val="Overskrift3"/>
      </w:pPr>
      <w:bookmarkStart w:id="44" w:name="_Toc323740992"/>
      <w:r w:rsidRPr="00816FC2">
        <w:t>Thematic objectives</w:t>
      </w:r>
      <w:bookmarkEnd w:id="44"/>
    </w:p>
    <w:p w:rsidR="00BA6431" w:rsidRPr="007F2463" w:rsidRDefault="00360B2D" w:rsidP="00BA6431">
      <w:pPr>
        <w:rPr>
          <w:i/>
        </w:rPr>
      </w:pPr>
      <w:bookmarkStart w:id="45" w:name="_Toc323740993"/>
      <w:r w:rsidRPr="00816FC2">
        <w:t xml:space="preserve">The thematic objective of the support to resilience </w:t>
      </w:r>
      <w:r w:rsidR="003F6A3C">
        <w:t xml:space="preserve">and rapid response </w:t>
      </w:r>
      <w:r w:rsidRPr="00816FC2">
        <w:t>is</w:t>
      </w:r>
      <w:r w:rsidR="00104C3A">
        <w:t>:</w:t>
      </w:r>
      <w:r w:rsidRPr="00816FC2">
        <w:t xml:space="preserve"> </w:t>
      </w:r>
      <w:r w:rsidR="00BA6431" w:rsidRPr="007F2463">
        <w:rPr>
          <w:i/>
        </w:rPr>
        <w:t>Community resilience and return enhanced through improved access and provision of priority services in former Da’esh-held areas of Iraq and areas under moderate opposition control in Syria.</w:t>
      </w:r>
    </w:p>
    <w:p w:rsidR="00843F7B" w:rsidRPr="00816FC2" w:rsidRDefault="00843F7B" w:rsidP="00843F7B">
      <w:r w:rsidRPr="00816FC2">
        <w:t xml:space="preserve">Denmark seeks to alleviate the impact of instability in both countries through contributing towards </w:t>
      </w:r>
      <w:r w:rsidR="00E70AF2" w:rsidRPr="00816FC2">
        <w:t xml:space="preserve">the stabilisation and early recovery of </w:t>
      </w:r>
      <w:r w:rsidRPr="00816FC2">
        <w:t xml:space="preserve">areas previously held by Da’esh in Iraq and Syria, and supporting community-level resilience in opposition-held areas of Syria currently under regime bombardment. These areas demonstrate a variety of urgent needs, including safe access, basic services (such as electricity, health, water and education) and municipal administration. </w:t>
      </w:r>
    </w:p>
    <w:p w:rsidR="00DA4804" w:rsidRPr="00816FC2" w:rsidRDefault="00731060" w:rsidP="00843F7B">
      <w:r w:rsidRPr="00816FC2">
        <w:t>TP2 will contribute to</w:t>
      </w:r>
      <w:r w:rsidR="00DA4804" w:rsidRPr="00816FC2">
        <w:t>wards</w:t>
      </w:r>
      <w:r w:rsidRPr="00816FC2">
        <w:t xml:space="preserve"> improving access to priority services in opposition-held areas of Syria and recently-liberated areas in Iraq, </w:t>
      </w:r>
      <w:r w:rsidR="000F039C" w:rsidRPr="00816FC2">
        <w:t xml:space="preserve">thereby enhancing </w:t>
      </w:r>
      <w:r w:rsidRPr="00816FC2">
        <w:t xml:space="preserve">the safety and resilience of local communities. </w:t>
      </w:r>
      <w:r w:rsidR="00DA4804" w:rsidRPr="00816FC2">
        <w:t>Support to communities in such areas that helps meet their basic needs will contribute to building their resilience, provide a tangible signal of international support, and thus help counter extremist narratives.</w:t>
      </w:r>
    </w:p>
    <w:p w:rsidR="006D2FF9" w:rsidRDefault="00DA4804" w:rsidP="0080400C">
      <w:r w:rsidRPr="00816FC2">
        <w:t xml:space="preserve">That said, TP2 recognises the challenge in </w:t>
      </w:r>
      <w:r w:rsidRPr="00816FC2">
        <w:rPr>
          <w:i/>
          <w:iCs/>
        </w:rPr>
        <w:t>accessing</w:t>
      </w:r>
      <w:r w:rsidRPr="00816FC2">
        <w:t xml:space="preserve"> target areas in Syria and Iraq; such access is often impeded by the presence of armed actors, on-going fighting, and the presence of mines, booby-traps and IEDs. </w:t>
      </w:r>
      <w:r w:rsidR="001822CF">
        <w:t xml:space="preserve"> </w:t>
      </w:r>
      <w:r w:rsidR="00F93F5D">
        <w:t xml:space="preserve">In view of these challenges, engagements under TP 2 will be closely monitored and a </w:t>
      </w:r>
      <w:r w:rsidR="005A3BBA">
        <w:t xml:space="preserve">regular </w:t>
      </w:r>
      <w:r w:rsidR="00F93F5D">
        <w:t>dialogue maintained with the implementing agencies</w:t>
      </w:r>
      <w:r w:rsidR="005A3BBA">
        <w:t>, including through the visits to Baghdad by the (Iraq) stabilisation advisor</w:t>
      </w:r>
      <w:r w:rsidR="00F93F5D">
        <w:t>.</w:t>
      </w:r>
      <w:r w:rsidR="005A3BBA">
        <w:t xml:space="preserve"> As necessary, and together with other donors, technical reviews and/or capacity assessments will be initi</w:t>
      </w:r>
      <w:r w:rsidR="006300B8">
        <w:t>at</w:t>
      </w:r>
      <w:r w:rsidR="005A3BBA">
        <w:t>ed</w:t>
      </w:r>
      <w:r w:rsidR="006300B8">
        <w:t xml:space="preserve"> to support the implementing agencies</w:t>
      </w:r>
      <w:r w:rsidR="006D2FF9">
        <w:t>.</w:t>
      </w:r>
    </w:p>
    <w:p w:rsidR="006D2FF9" w:rsidRDefault="006D2FF9" w:rsidP="0080400C"/>
    <w:p w:rsidR="006D2FF9" w:rsidRDefault="006D2FF9" w:rsidP="0080400C"/>
    <w:p w:rsidR="00DA4804" w:rsidRPr="00816FC2" w:rsidRDefault="00DA4804" w:rsidP="0080400C">
      <w:pPr>
        <w:rPr>
          <w:i/>
          <w:iCs/>
        </w:rPr>
      </w:pPr>
    </w:p>
    <w:p w:rsidR="00426F02" w:rsidRPr="00816FC2" w:rsidRDefault="0012383F" w:rsidP="008770FD">
      <w:pPr>
        <w:pStyle w:val="Overskrift3"/>
      </w:pPr>
      <w:r w:rsidRPr="00816FC2">
        <w:lastRenderedPageBreak/>
        <w:t>Theory of change</w:t>
      </w:r>
      <w:bookmarkEnd w:id="45"/>
    </w:p>
    <w:tbl>
      <w:tblPr>
        <w:tblStyle w:val="Tabel-Gitter"/>
        <w:tblW w:w="9678"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4A0" w:firstRow="1" w:lastRow="0" w:firstColumn="1" w:lastColumn="0" w:noHBand="0" w:noVBand="1"/>
      </w:tblPr>
      <w:tblGrid>
        <w:gridCol w:w="4707"/>
        <w:gridCol w:w="2551"/>
        <w:gridCol w:w="2409"/>
        <w:gridCol w:w="11"/>
      </w:tblGrid>
      <w:tr w:rsidR="00DA4804" w:rsidRPr="00816FC2" w:rsidTr="002D4065">
        <w:tc>
          <w:tcPr>
            <w:tcW w:w="9678" w:type="dxa"/>
            <w:gridSpan w:val="4"/>
            <w:tcBorders>
              <w:top w:val="single" w:sz="4" w:space="0" w:color="3E2C42"/>
              <w:left w:val="single" w:sz="4" w:space="0" w:color="3E2C42"/>
              <w:bottom w:val="single" w:sz="4" w:space="0" w:color="3E2C42"/>
              <w:right w:val="single" w:sz="4" w:space="0" w:color="3E2C42"/>
            </w:tcBorders>
            <w:shd w:val="clear" w:color="auto" w:fill="3E2C42"/>
          </w:tcPr>
          <w:p w:rsidR="00DA4804" w:rsidRPr="00816FC2" w:rsidRDefault="00DA4804" w:rsidP="00A63554">
            <w:pPr>
              <w:jc w:val="center"/>
              <w:rPr>
                <w:b/>
                <w:bCs/>
                <w:sz w:val="22"/>
                <w:szCs w:val="22"/>
              </w:rPr>
            </w:pPr>
            <w:r w:rsidRPr="00816FC2">
              <w:rPr>
                <w:b/>
                <w:bCs/>
                <w:color w:val="FFFFFF" w:themeColor="background1"/>
                <w:sz w:val="22"/>
                <w:szCs w:val="22"/>
              </w:rPr>
              <w:t xml:space="preserve">TP 2 Theory of Change </w:t>
            </w:r>
            <w:r w:rsidRPr="00816FC2">
              <w:rPr>
                <w:b/>
                <w:bCs/>
                <w:color w:val="FFFFFF" w:themeColor="background1"/>
                <w:sz w:val="22"/>
                <w:szCs w:val="22"/>
              </w:rPr>
              <w:br/>
            </w:r>
            <w:r w:rsidR="003A3D1D" w:rsidRPr="00816FC2">
              <w:rPr>
                <w:b/>
                <w:bCs/>
                <w:color w:val="FFFFFF" w:themeColor="background1"/>
                <w:sz w:val="22"/>
                <w:szCs w:val="22"/>
              </w:rPr>
              <w:t>R</w:t>
            </w:r>
            <w:r w:rsidR="00A46DAB" w:rsidRPr="00816FC2">
              <w:rPr>
                <w:b/>
                <w:bCs/>
                <w:color w:val="FFFFFF" w:themeColor="background1"/>
                <w:sz w:val="22"/>
                <w:szCs w:val="22"/>
              </w:rPr>
              <w:t xml:space="preserve">esilience and </w:t>
            </w:r>
            <w:r w:rsidR="00EC7E04">
              <w:rPr>
                <w:b/>
                <w:bCs/>
                <w:color w:val="FFFFFF" w:themeColor="background1"/>
                <w:sz w:val="22"/>
                <w:szCs w:val="22"/>
              </w:rPr>
              <w:t>R</w:t>
            </w:r>
            <w:r w:rsidR="00A63554">
              <w:rPr>
                <w:b/>
                <w:bCs/>
                <w:color w:val="FFFFFF" w:themeColor="background1"/>
                <w:sz w:val="22"/>
                <w:szCs w:val="22"/>
              </w:rPr>
              <w:t>apid Response</w:t>
            </w:r>
          </w:p>
        </w:tc>
      </w:tr>
      <w:tr w:rsidR="00DA4804"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r w:rsidRPr="00816FC2">
              <w:rPr>
                <w:sz w:val="22"/>
                <w:szCs w:val="22"/>
              </w:rPr>
              <w:t>IF</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r w:rsidRPr="00816FC2">
              <w:rPr>
                <w:sz w:val="22"/>
                <w:szCs w:val="22"/>
              </w:rPr>
              <w:t>Results</w:t>
            </w:r>
          </w:p>
        </w:tc>
        <w:tc>
          <w:tcPr>
            <w:tcW w:w="2409"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r w:rsidRPr="00816FC2">
              <w:rPr>
                <w:sz w:val="22"/>
                <w:szCs w:val="22"/>
              </w:rPr>
              <w:t>Engagement</w:t>
            </w:r>
          </w:p>
        </w:tc>
      </w:tr>
      <w:tr w:rsidR="00DA4804"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tcPr>
          <w:p w:rsidR="00DA4804" w:rsidRPr="00816FC2" w:rsidRDefault="00DA4804" w:rsidP="0080400C">
            <w:pPr>
              <w:rPr>
                <w:sz w:val="22"/>
                <w:szCs w:val="22"/>
              </w:rPr>
            </w:pPr>
            <w:r w:rsidRPr="00816FC2">
              <w:rPr>
                <w:sz w:val="22"/>
                <w:szCs w:val="22"/>
              </w:rPr>
              <w:t>We support the provision of basic services to Syrian populations in moderate opposition controlled areas and through moderate civil society organisations and local level structures</w:t>
            </w:r>
          </w:p>
        </w:tc>
        <w:tc>
          <w:tcPr>
            <w:tcW w:w="2551" w:type="dxa"/>
            <w:tcBorders>
              <w:top w:val="single" w:sz="4" w:space="0" w:color="3E2C42"/>
              <w:left w:val="single" w:sz="4" w:space="0" w:color="3E2C42"/>
              <w:bottom w:val="single" w:sz="4" w:space="0" w:color="3E2C42"/>
              <w:right w:val="single" w:sz="4" w:space="0" w:color="3E2C42"/>
            </w:tcBorders>
          </w:tcPr>
          <w:p w:rsidR="00DA4804" w:rsidRPr="00816FC2" w:rsidRDefault="00DA4804" w:rsidP="0080400C">
            <w:pPr>
              <w:rPr>
                <w:sz w:val="22"/>
                <w:szCs w:val="22"/>
              </w:rPr>
            </w:pPr>
            <w:r w:rsidRPr="00816FC2">
              <w:rPr>
                <w:sz w:val="22"/>
                <w:szCs w:val="22"/>
              </w:rPr>
              <w:t>Intermediate outcome 2.1</w:t>
            </w:r>
          </w:p>
          <w:p w:rsidR="00DA4804" w:rsidRPr="00816FC2" w:rsidRDefault="00DA4804" w:rsidP="0080400C">
            <w:pPr>
              <w:rPr>
                <w:sz w:val="22"/>
                <w:szCs w:val="22"/>
              </w:rPr>
            </w:pPr>
            <w:r w:rsidRPr="00816FC2">
              <w:rPr>
                <w:sz w:val="22"/>
                <w:szCs w:val="22"/>
              </w:rPr>
              <w:t xml:space="preserve">(short and medium term) </w:t>
            </w:r>
          </w:p>
        </w:tc>
        <w:tc>
          <w:tcPr>
            <w:tcW w:w="2409" w:type="dxa"/>
            <w:tcBorders>
              <w:top w:val="single" w:sz="4" w:space="0" w:color="3E2C42"/>
              <w:left w:val="single" w:sz="4" w:space="0" w:color="3E2C42"/>
              <w:bottom w:val="single" w:sz="4" w:space="0" w:color="3E2C42"/>
              <w:right w:val="single" w:sz="4" w:space="0" w:color="3E2C42"/>
            </w:tcBorders>
          </w:tcPr>
          <w:p w:rsidR="00DA4804" w:rsidRPr="00816FC2" w:rsidRDefault="00DA4804" w:rsidP="0080400C">
            <w:pPr>
              <w:rPr>
                <w:sz w:val="22"/>
                <w:szCs w:val="22"/>
              </w:rPr>
            </w:pPr>
            <w:r w:rsidRPr="00816FC2">
              <w:rPr>
                <w:sz w:val="22"/>
                <w:szCs w:val="22"/>
              </w:rPr>
              <w:t>Syria Recovery Trust Fund (SRTF)</w:t>
            </w:r>
          </w:p>
        </w:tc>
      </w:tr>
      <w:tr w:rsidR="00DA4804"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r w:rsidRPr="00816FC2">
              <w:rPr>
                <w:sz w:val="22"/>
                <w:szCs w:val="22"/>
              </w:rPr>
              <w:t>and</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p>
        </w:tc>
        <w:tc>
          <w:tcPr>
            <w:tcW w:w="2409"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p>
        </w:tc>
      </w:tr>
      <w:tr w:rsidR="00DA4804"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DA4804" w:rsidRPr="00816FC2" w:rsidRDefault="00DA4804" w:rsidP="00052AD5">
            <w:pPr>
              <w:rPr>
                <w:i/>
                <w:sz w:val="22"/>
                <w:szCs w:val="22"/>
              </w:rPr>
            </w:pPr>
            <w:r w:rsidRPr="00816FC2">
              <w:rPr>
                <w:sz w:val="22"/>
                <w:szCs w:val="22"/>
              </w:rPr>
              <w:t xml:space="preserve">We support </w:t>
            </w:r>
            <w:r w:rsidR="00E82C93" w:rsidRPr="00816FC2">
              <w:rPr>
                <w:sz w:val="22"/>
                <w:szCs w:val="22"/>
              </w:rPr>
              <w:t xml:space="preserve">demining </w:t>
            </w:r>
            <w:r w:rsidR="00052AD5">
              <w:rPr>
                <w:sz w:val="22"/>
                <w:szCs w:val="22"/>
              </w:rPr>
              <w:t xml:space="preserve">(in Iraq) </w:t>
            </w:r>
            <w:r w:rsidR="00E82C93" w:rsidRPr="00816FC2">
              <w:rPr>
                <w:sz w:val="22"/>
                <w:szCs w:val="22"/>
              </w:rPr>
              <w:t xml:space="preserve">to create a safe environment </w:t>
            </w:r>
            <w:r w:rsidR="00A46DAB" w:rsidRPr="00816FC2">
              <w:rPr>
                <w:sz w:val="22"/>
                <w:szCs w:val="22"/>
              </w:rPr>
              <w:t>enabl</w:t>
            </w:r>
            <w:r w:rsidR="00052AD5">
              <w:rPr>
                <w:sz w:val="22"/>
                <w:szCs w:val="22"/>
              </w:rPr>
              <w:t xml:space="preserve">ing </w:t>
            </w:r>
            <w:r w:rsidR="00A46DAB" w:rsidRPr="00816FC2">
              <w:rPr>
                <w:sz w:val="22"/>
                <w:szCs w:val="22"/>
              </w:rPr>
              <w:t xml:space="preserve">access and </w:t>
            </w:r>
            <w:r w:rsidR="00E82C93" w:rsidRPr="00816FC2">
              <w:rPr>
                <w:sz w:val="22"/>
                <w:szCs w:val="22"/>
              </w:rPr>
              <w:t>allow</w:t>
            </w:r>
            <w:r w:rsidR="00052AD5">
              <w:rPr>
                <w:sz w:val="22"/>
                <w:szCs w:val="22"/>
              </w:rPr>
              <w:t>ing</w:t>
            </w:r>
            <w:r w:rsidR="00E82C93" w:rsidRPr="00816FC2">
              <w:rPr>
                <w:sz w:val="22"/>
                <w:szCs w:val="22"/>
              </w:rPr>
              <w:t xml:space="preserve"> </w:t>
            </w:r>
            <w:r w:rsidRPr="00816FC2">
              <w:rPr>
                <w:sz w:val="22"/>
                <w:szCs w:val="22"/>
              </w:rPr>
              <w:t xml:space="preserve">basic services to </w:t>
            </w:r>
            <w:r w:rsidR="00E82C93" w:rsidRPr="00816FC2">
              <w:rPr>
                <w:sz w:val="22"/>
                <w:szCs w:val="22"/>
              </w:rPr>
              <w:t xml:space="preserve">be delivered to areas </w:t>
            </w:r>
            <w:r w:rsidRPr="00816FC2">
              <w:rPr>
                <w:sz w:val="22"/>
                <w:szCs w:val="22"/>
              </w:rPr>
              <w:t>formerly held by Da’esh</w:t>
            </w:r>
            <w:r w:rsidR="001D7263">
              <w:rPr>
                <w:sz w:val="22"/>
                <w:szCs w:val="22"/>
              </w:rPr>
              <w:t>.</w:t>
            </w:r>
          </w:p>
        </w:tc>
        <w:tc>
          <w:tcPr>
            <w:tcW w:w="2551"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DA4804" w:rsidRPr="00816FC2" w:rsidRDefault="00DA4804" w:rsidP="002D4065">
            <w:pPr>
              <w:jc w:val="left"/>
              <w:rPr>
                <w:sz w:val="22"/>
                <w:szCs w:val="22"/>
              </w:rPr>
            </w:pPr>
            <w:r w:rsidRPr="00816FC2">
              <w:rPr>
                <w:sz w:val="22"/>
                <w:szCs w:val="22"/>
              </w:rPr>
              <w:t>Intermediate outcome 2.</w:t>
            </w:r>
            <w:r w:rsidR="00E82C93" w:rsidRPr="00816FC2">
              <w:rPr>
                <w:sz w:val="22"/>
                <w:szCs w:val="22"/>
              </w:rPr>
              <w:t>2</w:t>
            </w:r>
          </w:p>
          <w:p w:rsidR="00DA4804" w:rsidRPr="00816FC2" w:rsidRDefault="00DA4804" w:rsidP="002D4065">
            <w:pPr>
              <w:jc w:val="left"/>
              <w:rPr>
                <w:sz w:val="22"/>
                <w:szCs w:val="22"/>
              </w:rPr>
            </w:pPr>
            <w:r w:rsidRPr="00816FC2">
              <w:rPr>
                <w:sz w:val="22"/>
                <w:szCs w:val="22"/>
              </w:rPr>
              <w:t xml:space="preserve">(short term) </w:t>
            </w:r>
            <w:r w:rsidRPr="00816FC2">
              <w:rPr>
                <w:sz w:val="22"/>
                <w:szCs w:val="22"/>
              </w:rPr>
              <w:br/>
            </w:r>
          </w:p>
        </w:tc>
        <w:tc>
          <w:tcPr>
            <w:tcW w:w="2409"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DA4804" w:rsidRPr="00816FC2" w:rsidRDefault="00172696" w:rsidP="00172696">
            <w:pPr>
              <w:rPr>
                <w:sz w:val="22"/>
                <w:szCs w:val="22"/>
              </w:rPr>
            </w:pPr>
            <w:r w:rsidRPr="00816FC2">
              <w:rPr>
                <w:sz w:val="22"/>
                <w:szCs w:val="22"/>
              </w:rPr>
              <w:t xml:space="preserve">UNMAS </w:t>
            </w:r>
          </w:p>
          <w:p w:rsidR="00CF725F" w:rsidRPr="00816FC2" w:rsidRDefault="00CF725F" w:rsidP="00172696">
            <w:pPr>
              <w:rPr>
                <w:i/>
                <w:sz w:val="22"/>
                <w:szCs w:val="22"/>
              </w:rPr>
            </w:pPr>
            <w:r w:rsidRPr="00816FC2">
              <w:rPr>
                <w:sz w:val="22"/>
                <w:szCs w:val="22"/>
              </w:rPr>
              <w:t>Sterling Mine Action</w:t>
            </w:r>
          </w:p>
        </w:tc>
      </w:tr>
      <w:tr w:rsidR="00E82C93"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E82C93" w:rsidRPr="00816FC2" w:rsidRDefault="00E82C93" w:rsidP="0080400C">
            <w:pPr>
              <w:rPr>
                <w:sz w:val="22"/>
                <w:szCs w:val="22"/>
              </w:rPr>
            </w:pPr>
            <w:r w:rsidRPr="00816FC2">
              <w:rPr>
                <w:sz w:val="22"/>
                <w:szCs w:val="22"/>
              </w:rPr>
              <w:t>and</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E82C93" w:rsidRPr="00816FC2" w:rsidRDefault="00E82C93" w:rsidP="002D4065">
            <w:pPr>
              <w:jc w:val="left"/>
              <w:rPr>
                <w:sz w:val="22"/>
                <w:szCs w:val="22"/>
              </w:rPr>
            </w:pPr>
          </w:p>
        </w:tc>
        <w:tc>
          <w:tcPr>
            <w:tcW w:w="2409" w:type="dxa"/>
            <w:tcBorders>
              <w:top w:val="single" w:sz="4" w:space="0" w:color="3E2C42"/>
              <w:left w:val="single" w:sz="4" w:space="0" w:color="3E2C42"/>
              <w:bottom w:val="single" w:sz="4" w:space="0" w:color="3E2C42"/>
              <w:right w:val="single" w:sz="4" w:space="0" w:color="3E2C42"/>
            </w:tcBorders>
            <w:shd w:val="clear" w:color="auto" w:fill="EBD9E2"/>
          </w:tcPr>
          <w:p w:rsidR="00E82C93" w:rsidRPr="00816FC2" w:rsidRDefault="00E82C93" w:rsidP="0080400C">
            <w:pPr>
              <w:rPr>
                <w:sz w:val="22"/>
                <w:szCs w:val="22"/>
              </w:rPr>
            </w:pPr>
          </w:p>
        </w:tc>
      </w:tr>
      <w:tr w:rsidR="00E82C93"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E82C93" w:rsidRPr="00816FC2" w:rsidRDefault="00E82C93" w:rsidP="0080400C">
            <w:pPr>
              <w:rPr>
                <w:i/>
                <w:sz w:val="22"/>
                <w:szCs w:val="22"/>
              </w:rPr>
            </w:pPr>
            <w:r w:rsidRPr="00816FC2">
              <w:rPr>
                <w:sz w:val="22"/>
                <w:szCs w:val="22"/>
              </w:rPr>
              <w:t>We support the delivery of basic services to areas of Iraq formerly held by Da’esh</w:t>
            </w:r>
            <w:r w:rsidR="00FF32FC" w:rsidRPr="00816FC2">
              <w:rPr>
                <w:sz w:val="22"/>
                <w:szCs w:val="22"/>
              </w:rPr>
              <w:t>.</w:t>
            </w:r>
          </w:p>
        </w:tc>
        <w:tc>
          <w:tcPr>
            <w:tcW w:w="2551"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E82C93" w:rsidRPr="00816FC2" w:rsidRDefault="00E82C93" w:rsidP="002D4065">
            <w:pPr>
              <w:jc w:val="left"/>
              <w:rPr>
                <w:sz w:val="22"/>
                <w:szCs w:val="22"/>
              </w:rPr>
            </w:pPr>
            <w:r w:rsidRPr="00816FC2">
              <w:rPr>
                <w:sz w:val="22"/>
                <w:szCs w:val="22"/>
              </w:rPr>
              <w:t>Intermediate outcome 2.3</w:t>
            </w:r>
          </w:p>
          <w:p w:rsidR="00E82C93" w:rsidRPr="00816FC2" w:rsidRDefault="00E82C93" w:rsidP="00052AD5">
            <w:pPr>
              <w:jc w:val="left"/>
              <w:rPr>
                <w:sz w:val="22"/>
                <w:szCs w:val="22"/>
              </w:rPr>
            </w:pPr>
            <w:r w:rsidRPr="00816FC2">
              <w:rPr>
                <w:sz w:val="22"/>
                <w:szCs w:val="22"/>
              </w:rPr>
              <w:t xml:space="preserve">(short term) </w:t>
            </w:r>
          </w:p>
        </w:tc>
        <w:tc>
          <w:tcPr>
            <w:tcW w:w="2409"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E82C93" w:rsidRPr="00816FC2" w:rsidRDefault="00E82C93" w:rsidP="001B2133">
            <w:pPr>
              <w:rPr>
                <w:i/>
                <w:sz w:val="22"/>
                <w:szCs w:val="22"/>
              </w:rPr>
            </w:pPr>
            <w:r w:rsidRPr="00816FC2">
              <w:rPr>
                <w:sz w:val="22"/>
                <w:szCs w:val="22"/>
              </w:rPr>
              <w:t xml:space="preserve">FFIS </w:t>
            </w:r>
          </w:p>
        </w:tc>
      </w:tr>
      <w:tr w:rsidR="00DA4804" w:rsidRPr="00816FC2" w:rsidTr="002D4065">
        <w:trPr>
          <w:gridAfter w:val="1"/>
          <w:wAfter w:w="11" w:type="dxa"/>
        </w:trPr>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r w:rsidRPr="00816FC2">
              <w:rPr>
                <w:sz w:val="22"/>
                <w:szCs w:val="22"/>
              </w:rPr>
              <w:t>THEN</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2D4065">
            <w:pPr>
              <w:jc w:val="left"/>
              <w:rPr>
                <w:sz w:val="22"/>
                <w:szCs w:val="22"/>
              </w:rPr>
            </w:pPr>
          </w:p>
        </w:tc>
        <w:tc>
          <w:tcPr>
            <w:tcW w:w="2409" w:type="dxa"/>
            <w:tcBorders>
              <w:top w:val="single" w:sz="4" w:space="0" w:color="3E2C42"/>
              <w:left w:val="single" w:sz="4" w:space="0" w:color="3E2C42"/>
              <w:bottom w:val="single" w:sz="4" w:space="0" w:color="3E2C42"/>
              <w:right w:val="single" w:sz="4" w:space="0" w:color="3E2C42"/>
            </w:tcBorders>
            <w:shd w:val="clear" w:color="auto" w:fill="EBD9E2"/>
          </w:tcPr>
          <w:p w:rsidR="00DA4804" w:rsidRPr="00816FC2" w:rsidRDefault="00DA4804" w:rsidP="0080400C">
            <w:pPr>
              <w:rPr>
                <w:sz w:val="22"/>
                <w:szCs w:val="22"/>
              </w:rPr>
            </w:pPr>
          </w:p>
        </w:tc>
      </w:tr>
      <w:tr w:rsidR="00DA4804" w:rsidRPr="00816FC2" w:rsidTr="007F2463">
        <w:trPr>
          <w:gridAfter w:val="1"/>
          <w:wAfter w:w="11" w:type="dxa"/>
          <w:trHeight w:val="1143"/>
        </w:trPr>
        <w:tc>
          <w:tcPr>
            <w:tcW w:w="4707" w:type="dxa"/>
            <w:tcBorders>
              <w:top w:val="single" w:sz="4" w:space="0" w:color="3E2C42"/>
              <w:left w:val="single" w:sz="4" w:space="0" w:color="3E2C42"/>
              <w:bottom w:val="single" w:sz="4" w:space="0" w:color="3E2C42"/>
              <w:right w:val="single" w:sz="4" w:space="0" w:color="3E2C42"/>
            </w:tcBorders>
          </w:tcPr>
          <w:p w:rsidR="003A3D1D" w:rsidRPr="00816FC2" w:rsidRDefault="003A3D1D" w:rsidP="00704626">
            <w:pPr>
              <w:rPr>
                <w:sz w:val="22"/>
                <w:szCs w:val="22"/>
              </w:rPr>
            </w:pPr>
            <w:r w:rsidRPr="00816FC2">
              <w:rPr>
                <w:sz w:val="22"/>
                <w:szCs w:val="22"/>
              </w:rPr>
              <w:t>Moderate Syrian actors and the GoI will more tangibly contribute to service provision in their communities, enhancing communities’ resilience to shocks</w:t>
            </w:r>
            <w:r w:rsidR="006536E4">
              <w:rPr>
                <w:sz w:val="22"/>
                <w:szCs w:val="22"/>
              </w:rPr>
              <w:t xml:space="preserve">, enabling the return of IDPs, and providing an alternative to </w:t>
            </w:r>
            <w:r w:rsidR="00052AD5">
              <w:rPr>
                <w:sz w:val="22"/>
                <w:szCs w:val="22"/>
              </w:rPr>
              <w:t xml:space="preserve">Da’esh and other </w:t>
            </w:r>
            <w:r w:rsidR="006536E4">
              <w:rPr>
                <w:sz w:val="22"/>
                <w:szCs w:val="22"/>
              </w:rPr>
              <w:t>extremis</w:t>
            </w:r>
            <w:r w:rsidR="00052AD5">
              <w:rPr>
                <w:sz w:val="22"/>
                <w:szCs w:val="22"/>
              </w:rPr>
              <w:t>t actors</w:t>
            </w:r>
            <w:r w:rsidR="006536E4">
              <w:rPr>
                <w:sz w:val="22"/>
                <w:szCs w:val="22"/>
              </w:rPr>
              <w:t>.</w:t>
            </w:r>
          </w:p>
        </w:tc>
        <w:tc>
          <w:tcPr>
            <w:tcW w:w="2551" w:type="dxa"/>
            <w:tcBorders>
              <w:top w:val="single" w:sz="4" w:space="0" w:color="3E2C42"/>
              <w:left w:val="single" w:sz="4" w:space="0" w:color="3E2C42"/>
              <w:bottom w:val="single" w:sz="4" w:space="0" w:color="3E2C42"/>
              <w:right w:val="single" w:sz="4" w:space="0" w:color="3E2C42"/>
            </w:tcBorders>
          </w:tcPr>
          <w:p w:rsidR="00DA4804" w:rsidRPr="00816FC2" w:rsidRDefault="00DA4804" w:rsidP="002D4065">
            <w:pPr>
              <w:jc w:val="left"/>
              <w:rPr>
                <w:sz w:val="22"/>
                <w:szCs w:val="22"/>
              </w:rPr>
            </w:pPr>
            <w:r w:rsidRPr="00816FC2">
              <w:rPr>
                <w:sz w:val="22"/>
                <w:szCs w:val="22"/>
              </w:rPr>
              <w:t>OUTCOME 2</w:t>
            </w:r>
          </w:p>
          <w:p w:rsidR="00DA4804" w:rsidRPr="00816FC2" w:rsidRDefault="00DA4804" w:rsidP="002D4065">
            <w:pPr>
              <w:jc w:val="left"/>
              <w:rPr>
                <w:sz w:val="22"/>
                <w:szCs w:val="22"/>
              </w:rPr>
            </w:pPr>
          </w:p>
        </w:tc>
        <w:tc>
          <w:tcPr>
            <w:tcW w:w="2409" w:type="dxa"/>
            <w:tcBorders>
              <w:top w:val="single" w:sz="4" w:space="0" w:color="3E2C42"/>
              <w:left w:val="single" w:sz="4" w:space="0" w:color="3E2C42"/>
              <w:bottom w:val="single" w:sz="4" w:space="0" w:color="3E2C42"/>
              <w:right w:val="single" w:sz="4" w:space="0" w:color="3E2C42"/>
            </w:tcBorders>
          </w:tcPr>
          <w:p w:rsidR="00DA4804" w:rsidRPr="00816FC2" w:rsidRDefault="00DA4804" w:rsidP="0080400C">
            <w:pPr>
              <w:rPr>
                <w:sz w:val="22"/>
                <w:szCs w:val="22"/>
                <w:highlight w:val="yellow"/>
              </w:rPr>
            </w:pPr>
          </w:p>
        </w:tc>
      </w:tr>
    </w:tbl>
    <w:p w:rsidR="00AF2855" w:rsidRPr="00816FC2" w:rsidRDefault="00AF2855" w:rsidP="008770FD">
      <w:pPr>
        <w:pStyle w:val="Overskrift3"/>
      </w:pPr>
      <w:r w:rsidRPr="00816FC2">
        <w:t>Overview of TP2 Engagements</w:t>
      </w:r>
    </w:p>
    <w:p w:rsidR="00F618CF" w:rsidRPr="00816FC2" w:rsidRDefault="001B0675" w:rsidP="00AF2855">
      <w:r w:rsidRPr="00816FC2">
        <w:t xml:space="preserve">In Syria, </w:t>
      </w:r>
      <w:r w:rsidR="00981F12" w:rsidRPr="00816FC2">
        <w:t xml:space="preserve">TP2 </w:t>
      </w:r>
      <w:r w:rsidRPr="00816FC2">
        <w:t>address</w:t>
      </w:r>
      <w:r w:rsidR="00981F12" w:rsidRPr="00816FC2">
        <w:t>es</w:t>
      </w:r>
      <w:r w:rsidRPr="00816FC2">
        <w:t xml:space="preserve"> the immediate stabilisation needs of those in opposition areas that have recently been subjected to heavy aerial bombardment resulting in large</w:t>
      </w:r>
      <w:r w:rsidR="00071C01" w:rsidRPr="00816FC2">
        <w:t>-</w:t>
      </w:r>
      <w:r w:rsidRPr="00816FC2">
        <w:t xml:space="preserve">scale destruction. </w:t>
      </w:r>
      <w:r w:rsidR="00B31C70" w:rsidRPr="00816FC2">
        <w:t>This will be achieved through c</w:t>
      </w:r>
      <w:r w:rsidRPr="00816FC2">
        <w:t xml:space="preserve">ontinued support to the multi-donor </w:t>
      </w:r>
      <w:r w:rsidRPr="00816FC2">
        <w:rPr>
          <w:b/>
        </w:rPr>
        <w:t xml:space="preserve">Syria Recovery Trust Fund </w:t>
      </w:r>
      <w:r w:rsidRPr="00816FC2">
        <w:t xml:space="preserve">(SRTF) </w:t>
      </w:r>
      <w:r w:rsidR="00981F12" w:rsidRPr="00816FC2">
        <w:t xml:space="preserve">of </w:t>
      </w:r>
      <w:r w:rsidR="00AF2855" w:rsidRPr="00816FC2">
        <w:t xml:space="preserve">DKK </w:t>
      </w:r>
      <w:r w:rsidR="001C5910" w:rsidRPr="00816FC2">
        <w:t>20</w:t>
      </w:r>
      <w:r w:rsidR="00AF2855" w:rsidRPr="00816FC2">
        <w:t xml:space="preserve"> million</w:t>
      </w:r>
      <w:r w:rsidRPr="00816FC2">
        <w:t xml:space="preserve">. </w:t>
      </w:r>
      <w:r w:rsidR="00F618CF" w:rsidRPr="00816FC2">
        <w:t xml:space="preserve">Furthermore, it should be mentioned that an option exists to extend Danish support to the </w:t>
      </w:r>
      <w:r w:rsidR="00F618CF" w:rsidRPr="00816FC2">
        <w:rPr>
          <w:b/>
        </w:rPr>
        <w:t>Stabilisation Response Mechanism</w:t>
      </w:r>
      <w:r w:rsidR="00F618CF" w:rsidRPr="00816FC2">
        <w:t xml:space="preserve"> (SRM), which is a UK funded initiative</w:t>
      </w:r>
      <w:r w:rsidR="00F83F9B">
        <w:t xml:space="preserve">, </w:t>
      </w:r>
      <w:r w:rsidR="009A4EF8" w:rsidRPr="00816FC2">
        <w:t xml:space="preserve">currently </w:t>
      </w:r>
      <w:r w:rsidR="00F618CF" w:rsidRPr="00816FC2">
        <w:t>managed by Adam Smith In</w:t>
      </w:r>
      <w:r w:rsidR="004E558D" w:rsidRPr="00816FC2">
        <w:t>ternational</w:t>
      </w:r>
      <w:r w:rsidR="004877C7" w:rsidRPr="00816FC2">
        <w:t xml:space="preserve"> that aims to meet selected immediate civilian stabilisation needs in newly liberated areas. </w:t>
      </w:r>
      <w:r w:rsidR="00C5003A" w:rsidRPr="00816FC2">
        <w:t>T</w:t>
      </w:r>
      <w:r w:rsidR="004877C7" w:rsidRPr="00816FC2">
        <w:t xml:space="preserve">he initiative has </w:t>
      </w:r>
      <w:r w:rsidR="00C5003A" w:rsidRPr="00816FC2">
        <w:t xml:space="preserve">yet to fully demonstrate itself </w:t>
      </w:r>
      <w:r w:rsidR="00F83F9B">
        <w:t xml:space="preserve">as </w:t>
      </w:r>
      <w:r w:rsidR="00C5003A" w:rsidRPr="00816FC2">
        <w:t xml:space="preserve">disbursements have been relatively few and the possibility is therefore </w:t>
      </w:r>
      <w:r w:rsidR="00F83F9B">
        <w:t>raised</w:t>
      </w:r>
      <w:r w:rsidR="00F83F9B" w:rsidRPr="00816FC2">
        <w:t xml:space="preserve"> </w:t>
      </w:r>
      <w:r w:rsidR="00C5003A" w:rsidRPr="00816FC2">
        <w:t>as an option and its validity w</w:t>
      </w:r>
      <w:r w:rsidR="00AD3E18" w:rsidRPr="00816FC2">
        <w:t>ill be reviewed during the Mid T</w:t>
      </w:r>
      <w:r w:rsidR="00C5003A" w:rsidRPr="00816FC2">
        <w:t>erm Review in 2017.</w:t>
      </w:r>
    </w:p>
    <w:p w:rsidR="001B0675" w:rsidRPr="00816FC2" w:rsidRDefault="001B0675" w:rsidP="00AF2855">
      <w:r w:rsidRPr="00816FC2">
        <w:t>In Iraq, the programme supports the stabilisation of liberated areas formerly occupied by Da’esh</w:t>
      </w:r>
      <w:r w:rsidR="00981F12" w:rsidRPr="00816FC2">
        <w:t xml:space="preserve"> through</w:t>
      </w:r>
      <w:r w:rsidR="00AF2855" w:rsidRPr="00816FC2">
        <w:t xml:space="preserve"> its contribution to </w:t>
      </w:r>
      <w:r w:rsidR="00B31C70" w:rsidRPr="00816FC2">
        <w:t xml:space="preserve">UNDP’s </w:t>
      </w:r>
      <w:r w:rsidR="00981F12" w:rsidRPr="00816FC2">
        <w:rPr>
          <w:b/>
        </w:rPr>
        <w:t>F</w:t>
      </w:r>
      <w:r w:rsidR="00B31C70" w:rsidRPr="00816FC2">
        <w:rPr>
          <w:b/>
        </w:rPr>
        <w:t xml:space="preserve">unding </w:t>
      </w:r>
      <w:r w:rsidR="00981F12" w:rsidRPr="00816FC2">
        <w:rPr>
          <w:b/>
        </w:rPr>
        <w:t>F</w:t>
      </w:r>
      <w:r w:rsidR="00B31C70" w:rsidRPr="00816FC2">
        <w:rPr>
          <w:b/>
        </w:rPr>
        <w:t>acility for Immediate Stabilisation</w:t>
      </w:r>
      <w:r w:rsidR="00B31C70" w:rsidRPr="00816FC2">
        <w:t xml:space="preserve"> (FF</w:t>
      </w:r>
      <w:r w:rsidR="00981F12" w:rsidRPr="00816FC2">
        <w:t>IS</w:t>
      </w:r>
      <w:r w:rsidR="00B31C70" w:rsidRPr="00816FC2">
        <w:t>)</w:t>
      </w:r>
      <w:r w:rsidR="00981F12" w:rsidRPr="00816FC2">
        <w:t xml:space="preserve"> </w:t>
      </w:r>
      <w:r w:rsidR="00AF2855" w:rsidRPr="00816FC2">
        <w:t xml:space="preserve">of DKK </w:t>
      </w:r>
      <w:r w:rsidR="00F83F9B">
        <w:t>94</w:t>
      </w:r>
      <w:r w:rsidR="00AF2855" w:rsidRPr="00816FC2">
        <w:t xml:space="preserve"> million</w:t>
      </w:r>
      <w:r w:rsidR="00981F12" w:rsidRPr="00816FC2">
        <w:t xml:space="preserve">. This new funding recognises the </w:t>
      </w:r>
      <w:r w:rsidRPr="00816FC2">
        <w:t>major reconstruction challenges due to the massive destruction of infrastructure, wholesale displacement of the population, and i</w:t>
      </w:r>
      <w:r w:rsidR="00981F12" w:rsidRPr="00816FC2">
        <w:t xml:space="preserve">ndividual and community trauma, and the </w:t>
      </w:r>
      <w:r w:rsidRPr="00816FC2">
        <w:t xml:space="preserve">expected increase in demand for </w:t>
      </w:r>
      <w:r w:rsidR="00981F12" w:rsidRPr="00816FC2">
        <w:t xml:space="preserve">the FFIS’s </w:t>
      </w:r>
      <w:r w:rsidR="005C2C36" w:rsidRPr="00816FC2">
        <w:t>services.  The FFIS is now progressing well and is the main entry point for donors wishing to support immediate stabilisation projects where there is close alignment with the Iraqi authorities.</w:t>
      </w:r>
      <w:r w:rsidR="00DA70E3" w:rsidRPr="00816FC2">
        <w:t xml:space="preserve"> Given the current programme’s focus on immediate needs, Danish support is not currently earmarked to the FFIS’s new sister programme – the Funding Facility for Extended Stabilisations (which takes support beyond 90 days). However, this can be re-considered during the Mid</w:t>
      </w:r>
      <w:r w:rsidR="009A1E8F" w:rsidRPr="00816FC2">
        <w:t>-</w:t>
      </w:r>
      <w:r w:rsidR="009A4EF8" w:rsidRPr="00816FC2">
        <w:t>T</w:t>
      </w:r>
      <w:r w:rsidR="00DA70E3" w:rsidRPr="00816FC2">
        <w:t xml:space="preserve">erm </w:t>
      </w:r>
      <w:r w:rsidR="009A4EF8" w:rsidRPr="00816FC2">
        <w:t>R</w:t>
      </w:r>
      <w:r w:rsidR="00DA70E3" w:rsidRPr="00816FC2">
        <w:t>eview in 2017.</w:t>
      </w:r>
    </w:p>
    <w:p w:rsidR="00EA2246" w:rsidRPr="00816FC2" w:rsidRDefault="00981F12" w:rsidP="0080400C">
      <w:r w:rsidRPr="00816FC2">
        <w:t xml:space="preserve">In both, Syria and Iraq, </w:t>
      </w:r>
      <w:r w:rsidR="001B0675" w:rsidRPr="00816FC2">
        <w:t xml:space="preserve">Denmark </w:t>
      </w:r>
      <w:r w:rsidRPr="00816FC2">
        <w:t xml:space="preserve">will further </w:t>
      </w:r>
      <w:r w:rsidR="001B0675" w:rsidRPr="00816FC2">
        <w:t xml:space="preserve">build upon its core funding of </w:t>
      </w:r>
      <w:r w:rsidR="001B0675" w:rsidRPr="00816FC2">
        <w:rPr>
          <w:b/>
        </w:rPr>
        <w:t>UNMAS</w:t>
      </w:r>
      <w:r w:rsidR="001B0675" w:rsidRPr="00816FC2">
        <w:t xml:space="preserve"> to encourage UNMAS to take a leading role in developing a cohesive and comprehensive approach to mine action.</w:t>
      </w:r>
      <w:r w:rsidR="007217B9" w:rsidRPr="00816FC2">
        <w:t xml:space="preserve"> While UNMAS is building up its role in both countries, the challenges differ between the two – although it is clear that both will require major inputs in the short, medium and longer term. </w:t>
      </w:r>
    </w:p>
    <w:p w:rsidR="007217B9" w:rsidRPr="00816FC2" w:rsidRDefault="007217B9" w:rsidP="0080400C">
      <w:r w:rsidRPr="00816FC2">
        <w:lastRenderedPageBreak/>
        <w:t>In Iraq, coordinated m</w:t>
      </w:r>
      <w:r w:rsidR="001B0675" w:rsidRPr="00816FC2">
        <w:t>ine action is key to stabilising areas, facilitating the return of IDPs and enabling the provision of basic services</w:t>
      </w:r>
      <w:r w:rsidR="001E2649" w:rsidRPr="00816FC2">
        <w:t>.  T</w:t>
      </w:r>
      <w:r w:rsidR="001B0675" w:rsidRPr="00816FC2">
        <w:t xml:space="preserve">he expected demands for mine action in liberated areas </w:t>
      </w:r>
      <w:r w:rsidR="00AC5E21">
        <w:t xml:space="preserve">are </w:t>
      </w:r>
      <w:r w:rsidR="001B0675" w:rsidRPr="00816FC2">
        <w:t>such that a multi-actor engagement will be necessary that includes NGO and commercial operators</w:t>
      </w:r>
      <w:r w:rsidRPr="00816FC2">
        <w:t xml:space="preserve"> as well as training up of Iraqi civilian capacity.</w:t>
      </w:r>
      <w:r w:rsidR="001F2F9B" w:rsidRPr="00816FC2">
        <w:t xml:space="preserve"> </w:t>
      </w:r>
      <w:r w:rsidR="00F50570">
        <w:t>UNMAS is seeking funding for this through its Voluntary Trust Fund (VTF)</w:t>
      </w:r>
      <w:r w:rsidR="008C51A6">
        <w:t xml:space="preserve">, although there are currently substantial gaps, particularly in 2017 and 2018. The consequences of insufficient funding will be that the emergency survey and clearance response will not fully meet the scale of the task. </w:t>
      </w:r>
      <w:r w:rsidR="001F2F9B" w:rsidRPr="00816FC2">
        <w:t xml:space="preserve">Current indications from Sinjar and Ramadi are that </w:t>
      </w:r>
      <w:r w:rsidR="00454D2E">
        <w:t>a thorough mine action response is</w:t>
      </w:r>
      <w:r w:rsidR="006301FF">
        <w:t xml:space="preserve"> </w:t>
      </w:r>
      <w:r w:rsidR="001F2F9B" w:rsidRPr="00816FC2">
        <w:t>needed to pave the way for immediate stabilisation, such as that provided through FFIS. Without timely and adequate clearance, other stabilisation efforts will be delayed, which would be potentially destabilising as well as leading to protection concerns</w:t>
      </w:r>
      <w:r w:rsidR="00462B07" w:rsidRPr="00816FC2">
        <w:t xml:space="preserve"> due to the extent of the contamination. </w:t>
      </w:r>
      <w:r w:rsidR="0012436B" w:rsidRPr="00816FC2">
        <w:t>Connected to this, there is an urgent need to enable civilian operators to destroy deactivated devices (currently, this requires Iraqi military approval). Denmark will include this as part of its political dialogue with the Iraqi authorities as well as with UNMAS.</w:t>
      </w:r>
      <w:r w:rsidR="001F2F9B" w:rsidRPr="00816FC2">
        <w:t xml:space="preserve">  </w:t>
      </w:r>
    </w:p>
    <w:p w:rsidR="00426F02" w:rsidRPr="00816FC2" w:rsidRDefault="00462B07" w:rsidP="00275A80">
      <w:r w:rsidRPr="00816FC2">
        <w:t>In view of the</w:t>
      </w:r>
      <w:r w:rsidR="0012436B" w:rsidRPr="00816FC2">
        <w:t xml:space="preserve"> </w:t>
      </w:r>
      <w:r w:rsidR="005C2C36" w:rsidRPr="00816FC2">
        <w:t>current gap in capacity</w:t>
      </w:r>
      <w:r w:rsidRPr="00816FC2">
        <w:t xml:space="preserve">, </w:t>
      </w:r>
      <w:r w:rsidR="001B0675" w:rsidRPr="00816FC2">
        <w:t xml:space="preserve">Denmark </w:t>
      </w:r>
      <w:r w:rsidR="00981F12" w:rsidRPr="00816FC2">
        <w:t xml:space="preserve">will also </w:t>
      </w:r>
      <w:r w:rsidR="001B0675" w:rsidRPr="00816FC2">
        <w:t>support a</w:t>
      </w:r>
      <w:r w:rsidR="00981F12" w:rsidRPr="00816FC2">
        <w:t xml:space="preserve"> </w:t>
      </w:r>
      <w:r w:rsidR="001B0675" w:rsidRPr="00816FC2">
        <w:t xml:space="preserve">commercial operator </w:t>
      </w:r>
      <w:r w:rsidR="0009716B" w:rsidRPr="00816FC2">
        <w:t xml:space="preserve">(the U.S-based company </w:t>
      </w:r>
      <w:r w:rsidR="0009716B" w:rsidRPr="00816FC2">
        <w:rPr>
          <w:b/>
        </w:rPr>
        <w:t>Sterling</w:t>
      </w:r>
      <w:r w:rsidR="0009716B" w:rsidRPr="00816FC2">
        <w:t xml:space="preserve">) </w:t>
      </w:r>
      <w:r w:rsidR="001B0675" w:rsidRPr="00816FC2">
        <w:t xml:space="preserve">through a </w:t>
      </w:r>
      <w:r w:rsidR="0009716B" w:rsidRPr="00816FC2">
        <w:t xml:space="preserve">delegated cooperation </w:t>
      </w:r>
      <w:r w:rsidR="001B0675" w:rsidRPr="00816FC2">
        <w:t xml:space="preserve">arrangement </w:t>
      </w:r>
      <w:r w:rsidR="0009716B" w:rsidRPr="00816FC2">
        <w:t>with the U.S. State Department</w:t>
      </w:r>
      <w:r w:rsidR="001B0675" w:rsidRPr="00816FC2">
        <w:t>.</w:t>
      </w:r>
      <w:r w:rsidR="009A4EF8" w:rsidRPr="00816FC2">
        <w:t xml:space="preserve"> This is expected to be a one-off arrangement that will be completed by the end of 2016.</w:t>
      </w:r>
      <w:r w:rsidR="001B0675" w:rsidRPr="00816FC2">
        <w:t xml:space="preserve"> </w:t>
      </w:r>
      <w:r w:rsidR="0009716B" w:rsidRPr="00816FC2">
        <w:t xml:space="preserve">Sterling </w:t>
      </w:r>
      <w:r w:rsidR="00B573B5" w:rsidRPr="00816FC2">
        <w:t xml:space="preserve">is currently one of the few operators working to secure prioritised sites </w:t>
      </w:r>
      <w:r w:rsidR="00427540" w:rsidRPr="00816FC2">
        <w:t>from IEDs and other unexploded ordnance.</w:t>
      </w:r>
      <w:r w:rsidR="00275A80" w:rsidRPr="00816FC2">
        <w:t xml:space="preserve"> </w:t>
      </w:r>
      <w:r w:rsidR="001B0675" w:rsidRPr="00816FC2">
        <w:t xml:space="preserve">Possible inputs in this area also need to take account of military-related mine action. </w:t>
      </w:r>
      <w:r w:rsidR="0008140C" w:rsidRPr="00AA43EC">
        <w:t xml:space="preserve">Upon request of the Iraqi Government, NATO is also developing a Defence Capacity Building (DCB) package that includes a mine action component. Denmark has decided to actively support the implementation of the DCB package through an ear-marked financial contribution of EUR 600.000 to NATO’s Iraq Trust Fund, where support </w:t>
      </w:r>
      <w:r w:rsidR="006536E4">
        <w:t xml:space="preserve">to </w:t>
      </w:r>
      <w:r w:rsidR="0008140C" w:rsidRPr="00AA43EC">
        <w:t xml:space="preserve">the mine action component has been highlighted as a special Danish priority. </w:t>
      </w:r>
      <w:r w:rsidR="006536E4">
        <w:t>Additionally</w:t>
      </w:r>
      <w:r w:rsidR="0008140C" w:rsidRPr="00AA43EC">
        <w:t xml:space="preserve">, the Danish </w:t>
      </w:r>
      <w:r w:rsidR="0008140C" w:rsidRPr="00AA43EC">
        <w:rPr>
          <w:szCs w:val="24"/>
        </w:rPr>
        <w:t xml:space="preserve">building partner capacity contingent at Al-Asad also provides </w:t>
      </w:r>
      <w:r w:rsidR="0008140C" w:rsidRPr="00AA43EC">
        <w:t>C-IED training of Iraqi Forces, though for military purposes.</w:t>
      </w:r>
      <w:r w:rsidR="001B0675" w:rsidRPr="00816FC2">
        <w:t xml:space="preserve"> </w:t>
      </w:r>
    </w:p>
    <w:p w:rsidR="00D907C2" w:rsidRPr="00816FC2" w:rsidRDefault="00D907C2" w:rsidP="0080400C">
      <w:r w:rsidRPr="00816FC2">
        <w:t xml:space="preserve">For political reasons, UNMAS Syria will not be supported </w:t>
      </w:r>
      <w:r w:rsidR="0006485E" w:rsidRPr="00816FC2">
        <w:t xml:space="preserve">directly </w:t>
      </w:r>
      <w:r w:rsidRPr="00816FC2">
        <w:t xml:space="preserve">initially due to the difficulty to distinguish between regime and opposition held areas </w:t>
      </w:r>
      <w:r w:rsidR="0006485E" w:rsidRPr="00816FC2">
        <w:t xml:space="preserve">and because humanitarian support is not within the scope of this programme. </w:t>
      </w:r>
      <w:r w:rsidR="000F0D42" w:rsidRPr="00816FC2">
        <w:t xml:space="preserve">As UNMAS Syria’s strategy for Syria develops, this position </w:t>
      </w:r>
      <w:r w:rsidR="003148B4">
        <w:t>will</w:t>
      </w:r>
      <w:r w:rsidR="003148B4" w:rsidRPr="00816FC2">
        <w:t xml:space="preserve"> </w:t>
      </w:r>
      <w:r w:rsidR="000F0D42" w:rsidRPr="00816FC2">
        <w:t>be reconsidered.</w:t>
      </w:r>
    </w:p>
    <w:p w:rsidR="00F91B9F" w:rsidRPr="00816FC2" w:rsidRDefault="00F91B9F" w:rsidP="007F2463">
      <w:pPr>
        <w:pStyle w:val="Overskrift4"/>
        <w:numPr>
          <w:ilvl w:val="0"/>
          <w:numId w:val="41"/>
        </w:numPr>
      </w:pPr>
      <w:r w:rsidRPr="00816FC2">
        <w:t>Support to the Syria Recovery Trust Fund (SRTF)</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F91B9F" w:rsidRPr="009A2005" w:rsidTr="002D4065">
        <w:tc>
          <w:tcPr>
            <w:tcW w:w="9639" w:type="dxa"/>
            <w:gridSpan w:val="2"/>
            <w:shd w:val="clear" w:color="auto" w:fill="3E2C42"/>
          </w:tcPr>
          <w:p w:rsidR="00F91B9F" w:rsidRPr="009A2005" w:rsidRDefault="00F91B9F" w:rsidP="0080400C">
            <w:pPr>
              <w:rPr>
                <w:b/>
                <w:color w:val="FFFFFF" w:themeColor="background1"/>
                <w:sz w:val="22"/>
                <w:szCs w:val="22"/>
              </w:rPr>
            </w:pPr>
            <w:r w:rsidRPr="009A2005">
              <w:rPr>
                <w:b/>
                <w:color w:val="FFFFFF" w:themeColor="background1"/>
                <w:sz w:val="22"/>
                <w:szCs w:val="22"/>
              </w:rPr>
              <w:t>Overview</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Implementing partner</w:t>
            </w:r>
          </w:p>
        </w:tc>
        <w:tc>
          <w:tcPr>
            <w:tcW w:w="6945" w:type="dxa"/>
          </w:tcPr>
          <w:p w:rsidR="00F91B9F" w:rsidRPr="009A2005" w:rsidRDefault="00F91B9F" w:rsidP="0080400C">
            <w:pPr>
              <w:rPr>
                <w:sz w:val="22"/>
                <w:szCs w:val="22"/>
              </w:rPr>
            </w:pPr>
            <w:r w:rsidRPr="009A2005">
              <w:rPr>
                <w:sz w:val="22"/>
                <w:szCs w:val="22"/>
              </w:rPr>
              <w:t>KfW (trustee) and the SRTF’s Management Committee and Management Unit.</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Danish contribution</w:t>
            </w:r>
          </w:p>
        </w:tc>
        <w:tc>
          <w:tcPr>
            <w:tcW w:w="6945" w:type="dxa"/>
          </w:tcPr>
          <w:p w:rsidR="00F91B9F" w:rsidRPr="009A2005" w:rsidRDefault="009A1E8F" w:rsidP="0080400C">
            <w:pPr>
              <w:rPr>
                <w:sz w:val="22"/>
                <w:szCs w:val="22"/>
              </w:rPr>
            </w:pPr>
            <w:r w:rsidRPr="009A2005">
              <w:rPr>
                <w:sz w:val="22"/>
                <w:szCs w:val="22"/>
              </w:rPr>
              <w:t>20 M DKK</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Total budget</w:t>
            </w:r>
          </w:p>
        </w:tc>
        <w:tc>
          <w:tcPr>
            <w:tcW w:w="6945" w:type="dxa"/>
          </w:tcPr>
          <w:p w:rsidR="00F91B9F" w:rsidRPr="009A2005" w:rsidRDefault="00F91B9F" w:rsidP="0080400C">
            <w:pPr>
              <w:rPr>
                <w:sz w:val="22"/>
                <w:szCs w:val="22"/>
              </w:rPr>
            </w:pPr>
            <w:r w:rsidRPr="009A2005">
              <w:rPr>
                <w:sz w:val="22"/>
                <w:szCs w:val="22"/>
              </w:rPr>
              <w:t>EUR 48.5 million</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Project period</w:t>
            </w:r>
          </w:p>
        </w:tc>
        <w:tc>
          <w:tcPr>
            <w:tcW w:w="6945" w:type="dxa"/>
          </w:tcPr>
          <w:p w:rsidR="00F91B9F" w:rsidRPr="009A2005" w:rsidRDefault="00AD4C08" w:rsidP="003148B4">
            <w:pPr>
              <w:rPr>
                <w:sz w:val="22"/>
                <w:szCs w:val="22"/>
              </w:rPr>
            </w:pPr>
            <w:r w:rsidRPr="009A2005">
              <w:rPr>
                <w:sz w:val="22"/>
                <w:szCs w:val="22"/>
              </w:rPr>
              <w:t xml:space="preserve">1 September </w:t>
            </w:r>
            <w:r w:rsidR="003148B4" w:rsidRPr="009A2005">
              <w:rPr>
                <w:sz w:val="22"/>
                <w:szCs w:val="22"/>
              </w:rPr>
              <w:t xml:space="preserve">2017 </w:t>
            </w:r>
            <w:r w:rsidRPr="009A2005">
              <w:rPr>
                <w:sz w:val="22"/>
                <w:szCs w:val="22"/>
              </w:rPr>
              <w:t xml:space="preserve">– </w:t>
            </w:r>
            <w:r w:rsidR="003148B4" w:rsidRPr="009A2005">
              <w:rPr>
                <w:sz w:val="22"/>
                <w:szCs w:val="22"/>
              </w:rPr>
              <w:t xml:space="preserve">2018 </w:t>
            </w:r>
          </w:p>
        </w:tc>
      </w:tr>
      <w:tr w:rsidR="00F91B9F" w:rsidRPr="009A2005" w:rsidTr="002D4065">
        <w:tc>
          <w:tcPr>
            <w:tcW w:w="2694" w:type="dxa"/>
            <w:shd w:val="clear" w:color="auto" w:fill="EBD9E2"/>
          </w:tcPr>
          <w:p w:rsidR="00F91B9F" w:rsidRPr="009A2005" w:rsidRDefault="00F91B9F" w:rsidP="0080400C">
            <w:pPr>
              <w:rPr>
                <w:sz w:val="22"/>
                <w:szCs w:val="22"/>
              </w:rPr>
            </w:pPr>
            <w:r w:rsidRPr="009A2005">
              <w:rPr>
                <w:sz w:val="22"/>
                <w:szCs w:val="22"/>
              </w:rPr>
              <w:t>Other donors</w:t>
            </w:r>
          </w:p>
        </w:tc>
        <w:tc>
          <w:tcPr>
            <w:tcW w:w="6945" w:type="dxa"/>
          </w:tcPr>
          <w:p w:rsidR="00F91B9F" w:rsidRPr="009A2005" w:rsidRDefault="00F91B9F" w:rsidP="0080400C">
            <w:pPr>
              <w:rPr>
                <w:sz w:val="22"/>
                <w:szCs w:val="22"/>
              </w:rPr>
            </w:pPr>
            <w:r w:rsidRPr="009A2005">
              <w:rPr>
                <w:sz w:val="22"/>
                <w:szCs w:val="22"/>
              </w:rPr>
              <w:t xml:space="preserve">GER, UAE, US, FIN, SWE, NOR, UK, JAP and FRA. </w:t>
            </w:r>
          </w:p>
        </w:tc>
      </w:tr>
      <w:tr w:rsidR="00F91B9F" w:rsidRPr="009A2005" w:rsidTr="002D4065">
        <w:tc>
          <w:tcPr>
            <w:tcW w:w="9639" w:type="dxa"/>
            <w:gridSpan w:val="2"/>
            <w:shd w:val="clear" w:color="auto" w:fill="EBD9E2"/>
          </w:tcPr>
          <w:p w:rsidR="00F91B9F" w:rsidRPr="009A2005" w:rsidRDefault="00F174C6" w:rsidP="00F174C6">
            <w:pPr>
              <w:rPr>
                <w:sz w:val="22"/>
                <w:szCs w:val="22"/>
              </w:rPr>
            </w:pPr>
            <w:r w:rsidRPr="009A2005">
              <w:rPr>
                <w:sz w:val="22"/>
                <w:szCs w:val="22"/>
              </w:rPr>
              <w:t>O</w:t>
            </w:r>
            <w:r w:rsidR="00F91B9F" w:rsidRPr="009A2005">
              <w:rPr>
                <w:sz w:val="22"/>
                <w:szCs w:val="22"/>
              </w:rPr>
              <w:t>bjective (output to overall programme results framework)</w:t>
            </w:r>
          </w:p>
        </w:tc>
      </w:tr>
      <w:tr w:rsidR="00F91B9F" w:rsidRPr="009A2005" w:rsidTr="00EB5A86">
        <w:tc>
          <w:tcPr>
            <w:tcW w:w="9639" w:type="dxa"/>
            <w:gridSpan w:val="2"/>
          </w:tcPr>
          <w:p w:rsidR="00F91B9F" w:rsidRPr="009A2005" w:rsidRDefault="002E398F" w:rsidP="002E398F">
            <w:pPr>
              <w:rPr>
                <w:sz w:val="22"/>
                <w:szCs w:val="22"/>
              </w:rPr>
            </w:pPr>
            <w:r w:rsidRPr="009A2005">
              <w:rPr>
                <w:sz w:val="22"/>
                <w:szCs w:val="22"/>
              </w:rPr>
              <w:t>C</w:t>
            </w:r>
            <w:r w:rsidR="003A3D1D" w:rsidRPr="009A2005">
              <w:rPr>
                <w:sz w:val="22"/>
                <w:szCs w:val="22"/>
              </w:rPr>
              <w:t xml:space="preserve">ritical infrastructure rehabilitation </w:t>
            </w:r>
            <w:r w:rsidRPr="009A2005">
              <w:rPr>
                <w:sz w:val="22"/>
                <w:szCs w:val="22"/>
              </w:rPr>
              <w:t xml:space="preserve">is provided </w:t>
            </w:r>
            <w:r w:rsidR="003A3D1D" w:rsidRPr="009A2005">
              <w:rPr>
                <w:sz w:val="22"/>
                <w:szCs w:val="22"/>
              </w:rPr>
              <w:t>in opposition-held areas of Syria</w:t>
            </w:r>
            <w:r w:rsidR="00EA17F0" w:rsidRPr="009A2005">
              <w:rPr>
                <w:sz w:val="22"/>
                <w:szCs w:val="22"/>
              </w:rPr>
              <w:t>.</w:t>
            </w:r>
          </w:p>
        </w:tc>
      </w:tr>
      <w:tr w:rsidR="00F91B9F" w:rsidRPr="009A2005" w:rsidTr="002D4065">
        <w:tc>
          <w:tcPr>
            <w:tcW w:w="9639" w:type="dxa"/>
            <w:gridSpan w:val="2"/>
            <w:shd w:val="clear" w:color="auto" w:fill="EBD9E2"/>
          </w:tcPr>
          <w:p w:rsidR="00F91B9F" w:rsidRPr="009A2005" w:rsidRDefault="00F91B9F" w:rsidP="0080400C">
            <w:pPr>
              <w:rPr>
                <w:sz w:val="22"/>
                <w:szCs w:val="22"/>
              </w:rPr>
            </w:pPr>
            <w:r w:rsidRPr="009A2005">
              <w:rPr>
                <w:sz w:val="22"/>
                <w:szCs w:val="22"/>
              </w:rPr>
              <w:t>Engagement description</w:t>
            </w:r>
          </w:p>
        </w:tc>
      </w:tr>
      <w:tr w:rsidR="00F91B9F" w:rsidRPr="009A2005" w:rsidTr="00EB5A86">
        <w:tc>
          <w:tcPr>
            <w:tcW w:w="9639" w:type="dxa"/>
            <w:gridSpan w:val="2"/>
          </w:tcPr>
          <w:p w:rsidR="003D6367" w:rsidRPr="009A2005" w:rsidRDefault="003D6367" w:rsidP="00295779">
            <w:pPr>
              <w:rPr>
                <w:sz w:val="22"/>
                <w:szCs w:val="22"/>
              </w:rPr>
            </w:pPr>
            <w:r w:rsidRPr="009A2005">
              <w:rPr>
                <w:sz w:val="22"/>
                <w:szCs w:val="22"/>
              </w:rPr>
              <w:t xml:space="preserve">SRTF was founded in September 2013 as a multi-donor trust fund with the capability of channelling grant funding into technically complex reconstruction projects in Syria. It aims to </w:t>
            </w:r>
            <w:r w:rsidR="00295779" w:rsidRPr="009A2005">
              <w:rPr>
                <w:sz w:val="22"/>
                <w:szCs w:val="22"/>
              </w:rPr>
              <w:t xml:space="preserve">boost the legitimacy of the opposition with whom it works through supporting </w:t>
            </w:r>
            <w:r w:rsidRPr="009A2005">
              <w:rPr>
                <w:sz w:val="22"/>
                <w:szCs w:val="22"/>
              </w:rPr>
              <w:t>essential services</w:t>
            </w:r>
            <w:r w:rsidR="00295779" w:rsidRPr="009A2005">
              <w:rPr>
                <w:sz w:val="22"/>
                <w:szCs w:val="22"/>
              </w:rPr>
              <w:t xml:space="preserve">, including </w:t>
            </w:r>
            <w:r w:rsidRPr="009A2005">
              <w:rPr>
                <w:sz w:val="22"/>
                <w:szCs w:val="22"/>
              </w:rPr>
              <w:t xml:space="preserve">food security, primary health centres, water and electricity. To date, SRTF has approved 26 projects with a US$51m budget, 17 of which are currently being implemented, of which nine are over 90% delivered. The project is supported by 32 staff in Gaziantep and 13 permanent field officers in Syria.  </w:t>
            </w:r>
          </w:p>
          <w:p w:rsidR="00FF32FC" w:rsidRPr="009A2005" w:rsidRDefault="003D6367" w:rsidP="00295779">
            <w:pPr>
              <w:rPr>
                <w:sz w:val="22"/>
                <w:szCs w:val="22"/>
              </w:rPr>
            </w:pPr>
            <w:r w:rsidRPr="009A2005">
              <w:rPr>
                <w:sz w:val="22"/>
                <w:szCs w:val="22"/>
              </w:rPr>
              <w:t>SRTF</w:t>
            </w:r>
            <w:r w:rsidR="00295779" w:rsidRPr="009A2005">
              <w:rPr>
                <w:sz w:val="22"/>
                <w:szCs w:val="22"/>
              </w:rPr>
              <w:t xml:space="preserve">’s </w:t>
            </w:r>
            <w:r w:rsidRPr="009A2005">
              <w:rPr>
                <w:sz w:val="22"/>
                <w:szCs w:val="22"/>
              </w:rPr>
              <w:t xml:space="preserve">focus </w:t>
            </w:r>
            <w:r w:rsidR="00295779" w:rsidRPr="009A2005">
              <w:rPr>
                <w:sz w:val="22"/>
                <w:szCs w:val="22"/>
              </w:rPr>
              <w:t xml:space="preserve">has shifted </w:t>
            </w:r>
            <w:r w:rsidRPr="009A2005">
              <w:rPr>
                <w:sz w:val="22"/>
                <w:szCs w:val="22"/>
              </w:rPr>
              <w:t xml:space="preserve">from infrastructure recovery towards stabilisation </w:t>
            </w:r>
            <w:r w:rsidR="00295779" w:rsidRPr="009A2005">
              <w:rPr>
                <w:sz w:val="22"/>
                <w:szCs w:val="22"/>
              </w:rPr>
              <w:t xml:space="preserve">in response to conflict developments in Syria and </w:t>
            </w:r>
            <w:r w:rsidRPr="009A2005">
              <w:rPr>
                <w:sz w:val="22"/>
                <w:szCs w:val="22"/>
              </w:rPr>
              <w:t xml:space="preserve">to bridge </w:t>
            </w:r>
            <w:r w:rsidR="00AD7A8D" w:rsidRPr="009A2005">
              <w:rPr>
                <w:sz w:val="22"/>
                <w:szCs w:val="22"/>
              </w:rPr>
              <w:t xml:space="preserve">the </w:t>
            </w:r>
            <w:r w:rsidRPr="009A2005">
              <w:rPr>
                <w:sz w:val="22"/>
                <w:szCs w:val="22"/>
              </w:rPr>
              <w:t xml:space="preserve">gap between disaster </w:t>
            </w:r>
            <w:r w:rsidR="00295779" w:rsidRPr="009A2005">
              <w:rPr>
                <w:sz w:val="22"/>
                <w:szCs w:val="22"/>
              </w:rPr>
              <w:t xml:space="preserve">response </w:t>
            </w:r>
            <w:r w:rsidRPr="009A2005">
              <w:rPr>
                <w:sz w:val="22"/>
                <w:szCs w:val="22"/>
              </w:rPr>
              <w:t xml:space="preserve">and recovery. Project approval </w:t>
            </w:r>
            <w:r w:rsidR="00FF32FC" w:rsidRPr="009A2005">
              <w:rPr>
                <w:sz w:val="22"/>
                <w:szCs w:val="22"/>
              </w:rPr>
              <w:t>processes have been streamline</w:t>
            </w:r>
            <w:r w:rsidR="00AD7A8D" w:rsidRPr="009A2005">
              <w:rPr>
                <w:sz w:val="22"/>
                <w:szCs w:val="22"/>
              </w:rPr>
              <w:t>d</w:t>
            </w:r>
            <w:r w:rsidR="00FF32FC" w:rsidRPr="009A2005">
              <w:rPr>
                <w:sz w:val="22"/>
                <w:szCs w:val="22"/>
              </w:rPr>
              <w:t xml:space="preserve">, </w:t>
            </w:r>
            <w:r w:rsidR="002C6D65" w:rsidRPr="009A2005">
              <w:rPr>
                <w:sz w:val="22"/>
                <w:szCs w:val="22"/>
              </w:rPr>
              <w:t>assets pre-positioned in warehouses on the Turkey-Syria border</w:t>
            </w:r>
            <w:r w:rsidRPr="009A2005">
              <w:rPr>
                <w:sz w:val="22"/>
                <w:szCs w:val="22"/>
              </w:rPr>
              <w:t xml:space="preserve">, and </w:t>
            </w:r>
            <w:r w:rsidR="00295779" w:rsidRPr="009A2005">
              <w:rPr>
                <w:sz w:val="22"/>
                <w:szCs w:val="22"/>
              </w:rPr>
              <w:t>its M</w:t>
            </w:r>
            <w:r w:rsidRPr="009A2005">
              <w:rPr>
                <w:sz w:val="22"/>
                <w:szCs w:val="22"/>
              </w:rPr>
              <w:t xml:space="preserve">anagement </w:t>
            </w:r>
            <w:r w:rsidR="00295779" w:rsidRPr="009A2005">
              <w:rPr>
                <w:sz w:val="22"/>
                <w:szCs w:val="22"/>
              </w:rPr>
              <w:t>C</w:t>
            </w:r>
            <w:r w:rsidRPr="009A2005">
              <w:rPr>
                <w:sz w:val="22"/>
                <w:szCs w:val="22"/>
              </w:rPr>
              <w:t xml:space="preserve">ommittee has </w:t>
            </w:r>
            <w:r w:rsidR="00295779" w:rsidRPr="009A2005">
              <w:rPr>
                <w:sz w:val="22"/>
                <w:szCs w:val="22"/>
              </w:rPr>
              <w:t xml:space="preserve">increased meeting frequency. Nevertheless, </w:t>
            </w:r>
            <w:r w:rsidR="00FF32FC" w:rsidRPr="009A2005">
              <w:rPr>
                <w:sz w:val="22"/>
                <w:szCs w:val="22"/>
              </w:rPr>
              <w:t xml:space="preserve">approval process can </w:t>
            </w:r>
            <w:r w:rsidR="00E65F6E" w:rsidRPr="009A2005">
              <w:rPr>
                <w:sz w:val="22"/>
                <w:szCs w:val="22"/>
              </w:rPr>
              <w:t xml:space="preserve">be lengthy </w:t>
            </w:r>
            <w:r w:rsidR="00E65F6E" w:rsidRPr="009A2005">
              <w:rPr>
                <w:sz w:val="22"/>
                <w:szCs w:val="22"/>
              </w:rPr>
              <w:lastRenderedPageBreak/>
              <w:t>(</w:t>
            </w:r>
            <w:r w:rsidR="00FF32FC" w:rsidRPr="009A2005">
              <w:rPr>
                <w:sz w:val="22"/>
                <w:szCs w:val="22"/>
              </w:rPr>
              <w:t xml:space="preserve">taking </w:t>
            </w:r>
            <w:r w:rsidR="00E65F6E" w:rsidRPr="009A2005">
              <w:rPr>
                <w:sz w:val="22"/>
                <w:szCs w:val="22"/>
              </w:rPr>
              <w:t>up to six months)</w:t>
            </w:r>
            <w:r w:rsidR="00FF32FC" w:rsidRPr="009A2005">
              <w:rPr>
                <w:sz w:val="22"/>
                <w:szCs w:val="22"/>
              </w:rPr>
              <w:t>, thereby restricting SRTF’s agility</w:t>
            </w:r>
            <w:r w:rsidR="00E65F6E" w:rsidRPr="009A2005">
              <w:rPr>
                <w:sz w:val="22"/>
                <w:szCs w:val="22"/>
              </w:rPr>
              <w:t xml:space="preserve">. </w:t>
            </w:r>
            <w:r w:rsidR="00295779" w:rsidRPr="009A2005">
              <w:rPr>
                <w:sz w:val="22"/>
                <w:szCs w:val="22"/>
              </w:rPr>
              <w:t>Nevertheless, its management await Jordanian exemptions to deliver projects to Southern Syria.</w:t>
            </w:r>
          </w:p>
          <w:p w:rsidR="00F91B9F" w:rsidRPr="009A2005" w:rsidRDefault="003D6367" w:rsidP="00295779">
            <w:pPr>
              <w:rPr>
                <w:sz w:val="22"/>
                <w:szCs w:val="22"/>
              </w:rPr>
            </w:pPr>
            <w:r w:rsidRPr="009A2005">
              <w:rPr>
                <w:sz w:val="22"/>
                <w:szCs w:val="22"/>
              </w:rPr>
              <w:t xml:space="preserve">SRTF’s </w:t>
            </w:r>
            <w:r w:rsidR="00295779" w:rsidRPr="009A2005">
              <w:rPr>
                <w:sz w:val="22"/>
                <w:szCs w:val="22"/>
              </w:rPr>
              <w:t xml:space="preserve">current </w:t>
            </w:r>
            <w:r w:rsidRPr="009A2005">
              <w:rPr>
                <w:sz w:val="22"/>
                <w:szCs w:val="22"/>
              </w:rPr>
              <w:t xml:space="preserve">relevance </w:t>
            </w:r>
            <w:r w:rsidR="00295779" w:rsidRPr="009A2005">
              <w:rPr>
                <w:sz w:val="22"/>
                <w:szCs w:val="22"/>
              </w:rPr>
              <w:t xml:space="preserve">is in question </w:t>
            </w:r>
            <w:r w:rsidR="00E65F6E" w:rsidRPr="009A2005">
              <w:rPr>
                <w:sz w:val="22"/>
                <w:szCs w:val="22"/>
              </w:rPr>
              <w:t>due to the d</w:t>
            </w:r>
            <w:r w:rsidRPr="009A2005">
              <w:rPr>
                <w:sz w:val="22"/>
                <w:szCs w:val="22"/>
              </w:rPr>
              <w:t xml:space="preserve">ifficulty </w:t>
            </w:r>
            <w:r w:rsidR="00E65F6E" w:rsidRPr="009A2005">
              <w:rPr>
                <w:sz w:val="22"/>
                <w:szCs w:val="22"/>
              </w:rPr>
              <w:t xml:space="preserve">inherent to delivering </w:t>
            </w:r>
            <w:r w:rsidRPr="009A2005">
              <w:rPr>
                <w:sz w:val="22"/>
                <w:szCs w:val="22"/>
              </w:rPr>
              <w:t>large-scale projects in areas such as Aleppo and Der’a</w:t>
            </w:r>
            <w:r w:rsidR="00295779" w:rsidRPr="009A2005">
              <w:rPr>
                <w:sz w:val="22"/>
                <w:szCs w:val="22"/>
              </w:rPr>
              <w:t xml:space="preserve">. While it coordinates </w:t>
            </w:r>
            <w:r w:rsidR="00E65F6E" w:rsidRPr="009A2005">
              <w:rPr>
                <w:sz w:val="22"/>
                <w:szCs w:val="22"/>
              </w:rPr>
              <w:t>activities with SOC to the extent feasible</w:t>
            </w:r>
            <w:r w:rsidR="00295779" w:rsidRPr="009A2005">
              <w:rPr>
                <w:sz w:val="22"/>
                <w:szCs w:val="22"/>
              </w:rPr>
              <w:t>,</w:t>
            </w:r>
            <w:r w:rsidR="00E65F6E" w:rsidRPr="009A2005">
              <w:rPr>
                <w:sz w:val="22"/>
                <w:szCs w:val="22"/>
              </w:rPr>
              <w:t xml:space="preserve"> there appears to be a breakdown in communication between SRTF and SIG</w:t>
            </w:r>
            <w:r w:rsidR="00295779" w:rsidRPr="009A2005">
              <w:rPr>
                <w:sz w:val="22"/>
                <w:szCs w:val="22"/>
              </w:rPr>
              <w:t>:</w:t>
            </w:r>
            <w:r w:rsidR="00E65F6E" w:rsidRPr="009A2005">
              <w:rPr>
                <w:sz w:val="22"/>
                <w:szCs w:val="22"/>
              </w:rPr>
              <w:t xml:space="preserve"> the latter expects to </w:t>
            </w:r>
            <w:r w:rsidR="00295779" w:rsidRPr="009A2005">
              <w:rPr>
                <w:sz w:val="22"/>
                <w:szCs w:val="22"/>
              </w:rPr>
              <w:t xml:space="preserve">receive </w:t>
            </w:r>
            <w:r w:rsidR="00E65F6E" w:rsidRPr="009A2005">
              <w:rPr>
                <w:sz w:val="22"/>
                <w:szCs w:val="22"/>
              </w:rPr>
              <w:t xml:space="preserve">SRTF funding, </w:t>
            </w:r>
            <w:r w:rsidR="00295779" w:rsidRPr="009A2005">
              <w:rPr>
                <w:sz w:val="22"/>
                <w:szCs w:val="22"/>
              </w:rPr>
              <w:t xml:space="preserve">but </w:t>
            </w:r>
            <w:r w:rsidR="00E65F6E" w:rsidRPr="009A2005">
              <w:rPr>
                <w:sz w:val="22"/>
                <w:szCs w:val="22"/>
              </w:rPr>
              <w:t xml:space="preserve">the former is </w:t>
            </w:r>
            <w:r w:rsidR="00295779" w:rsidRPr="009A2005">
              <w:rPr>
                <w:sz w:val="22"/>
                <w:szCs w:val="22"/>
              </w:rPr>
              <w:t xml:space="preserve">legally precluded from contracting directly with the SIG </w:t>
            </w:r>
            <w:r w:rsidR="00E65F6E" w:rsidRPr="009A2005">
              <w:rPr>
                <w:sz w:val="22"/>
                <w:szCs w:val="22"/>
              </w:rPr>
              <w:t>.</w:t>
            </w:r>
            <w:r w:rsidR="00FF32FC" w:rsidRPr="009A2005">
              <w:rPr>
                <w:sz w:val="22"/>
                <w:szCs w:val="22"/>
              </w:rPr>
              <w:t xml:space="preserve"> </w:t>
            </w:r>
          </w:p>
        </w:tc>
      </w:tr>
      <w:tr w:rsidR="00F91B9F" w:rsidRPr="009A2005" w:rsidTr="002D4065">
        <w:tc>
          <w:tcPr>
            <w:tcW w:w="9639" w:type="dxa"/>
            <w:gridSpan w:val="2"/>
            <w:shd w:val="clear" w:color="auto" w:fill="EBD9E2"/>
          </w:tcPr>
          <w:p w:rsidR="00F91B9F" w:rsidRPr="009A2005" w:rsidRDefault="00F91B9F" w:rsidP="0080400C">
            <w:pPr>
              <w:rPr>
                <w:sz w:val="22"/>
                <w:szCs w:val="22"/>
              </w:rPr>
            </w:pPr>
            <w:r w:rsidRPr="009A2005">
              <w:rPr>
                <w:sz w:val="22"/>
                <w:szCs w:val="22"/>
              </w:rPr>
              <w:lastRenderedPageBreak/>
              <w:t>Previous support</w:t>
            </w:r>
          </w:p>
        </w:tc>
      </w:tr>
      <w:tr w:rsidR="00F91B9F" w:rsidRPr="009A2005" w:rsidTr="00EB5A86">
        <w:tc>
          <w:tcPr>
            <w:tcW w:w="9639" w:type="dxa"/>
            <w:gridSpan w:val="2"/>
            <w:shd w:val="clear" w:color="auto" w:fill="auto"/>
          </w:tcPr>
          <w:p w:rsidR="00F91B9F" w:rsidRPr="009A2005" w:rsidRDefault="003D6367" w:rsidP="003148B4">
            <w:pPr>
              <w:rPr>
                <w:sz w:val="22"/>
                <w:szCs w:val="22"/>
              </w:rPr>
            </w:pPr>
            <w:r w:rsidRPr="009A2005">
              <w:rPr>
                <w:sz w:val="22"/>
                <w:szCs w:val="22"/>
              </w:rPr>
              <w:t xml:space="preserve">DKK </w:t>
            </w:r>
            <w:r w:rsidR="003148B4" w:rsidRPr="009A2005">
              <w:rPr>
                <w:sz w:val="22"/>
                <w:szCs w:val="22"/>
              </w:rPr>
              <w:t xml:space="preserve">25.8 </w:t>
            </w:r>
            <w:r w:rsidRPr="009A2005">
              <w:rPr>
                <w:sz w:val="22"/>
                <w:szCs w:val="22"/>
              </w:rPr>
              <w:t xml:space="preserve">million in 2015-16, adding to the previous contribution of DKK </w:t>
            </w:r>
            <w:r w:rsidR="003148B4" w:rsidRPr="009A2005">
              <w:rPr>
                <w:sz w:val="22"/>
                <w:szCs w:val="22"/>
              </w:rPr>
              <w:t xml:space="preserve">25 </w:t>
            </w:r>
            <w:r w:rsidRPr="009A2005">
              <w:rPr>
                <w:sz w:val="22"/>
                <w:szCs w:val="22"/>
              </w:rPr>
              <w:t>million since 2013.</w:t>
            </w:r>
          </w:p>
        </w:tc>
      </w:tr>
    </w:tbl>
    <w:p w:rsidR="00403C2C" w:rsidRPr="00816FC2" w:rsidRDefault="00CC4B68" w:rsidP="00454D2E">
      <w:pPr>
        <w:pStyle w:val="Overskrift4"/>
        <w:numPr>
          <w:ilvl w:val="0"/>
          <w:numId w:val="41"/>
        </w:numPr>
      </w:pPr>
      <w:r w:rsidRPr="00816FC2">
        <w:t>Funding Facility for Immediate Stabilisation</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403C2C" w:rsidRPr="00A85FD9" w:rsidTr="002D4065">
        <w:tc>
          <w:tcPr>
            <w:tcW w:w="9639" w:type="dxa"/>
            <w:gridSpan w:val="2"/>
            <w:shd w:val="clear" w:color="auto" w:fill="3E2C42"/>
          </w:tcPr>
          <w:p w:rsidR="00403C2C" w:rsidRPr="007F2463" w:rsidRDefault="00403C2C" w:rsidP="00403C2C">
            <w:pPr>
              <w:rPr>
                <w:b/>
                <w:color w:val="FFFFFF" w:themeColor="background1"/>
                <w:sz w:val="22"/>
                <w:szCs w:val="22"/>
              </w:rPr>
            </w:pPr>
            <w:r w:rsidRPr="007F2463">
              <w:rPr>
                <w:b/>
                <w:color w:val="FFFFFF" w:themeColor="background1"/>
                <w:sz w:val="22"/>
                <w:szCs w:val="22"/>
              </w:rPr>
              <w:t>Overview</w:t>
            </w:r>
          </w:p>
        </w:tc>
      </w:tr>
      <w:tr w:rsidR="00403C2C" w:rsidRPr="00A85FD9" w:rsidTr="002D4065">
        <w:tc>
          <w:tcPr>
            <w:tcW w:w="2694" w:type="dxa"/>
            <w:shd w:val="clear" w:color="auto" w:fill="EBD9E2"/>
          </w:tcPr>
          <w:p w:rsidR="00403C2C" w:rsidRPr="007F2463" w:rsidRDefault="00403C2C" w:rsidP="00403C2C">
            <w:pPr>
              <w:rPr>
                <w:sz w:val="22"/>
                <w:szCs w:val="22"/>
              </w:rPr>
            </w:pPr>
            <w:r w:rsidRPr="007F2463">
              <w:rPr>
                <w:sz w:val="22"/>
                <w:szCs w:val="22"/>
              </w:rPr>
              <w:t>Implementing partner</w:t>
            </w:r>
          </w:p>
        </w:tc>
        <w:tc>
          <w:tcPr>
            <w:tcW w:w="6945" w:type="dxa"/>
          </w:tcPr>
          <w:p w:rsidR="00403C2C" w:rsidRPr="007F2463" w:rsidRDefault="00403C2C" w:rsidP="00CC4B68">
            <w:pPr>
              <w:rPr>
                <w:sz w:val="22"/>
                <w:szCs w:val="22"/>
              </w:rPr>
            </w:pPr>
            <w:r w:rsidRPr="007F2463">
              <w:rPr>
                <w:sz w:val="22"/>
                <w:szCs w:val="22"/>
              </w:rPr>
              <w:t xml:space="preserve">United Nations </w:t>
            </w:r>
            <w:r w:rsidR="00CC4B68" w:rsidRPr="007F2463">
              <w:rPr>
                <w:sz w:val="22"/>
                <w:szCs w:val="22"/>
              </w:rPr>
              <w:t>Development Programme</w:t>
            </w:r>
          </w:p>
        </w:tc>
      </w:tr>
      <w:tr w:rsidR="0092755E" w:rsidRPr="00A85FD9" w:rsidTr="002D4065">
        <w:tc>
          <w:tcPr>
            <w:tcW w:w="2694" w:type="dxa"/>
            <w:shd w:val="clear" w:color="auto" w:fill="EBD9E2"/>
          </w:tcPr>
          <w:p w:rsidR="0092755E" w:rsidRPr="007F2463" w:rsidRDefault="0092755E" w:rsidP="00403C2C">
            <w:pPr>
              <w:rPr>
                <w:sz w:val="22"/>
                <w:szCs w:val="22"/>
              </w:rPr>
            </w:pPr>
            <w:r w:rsidRPr="007F2463">
              <w:rPr>
                <w:sz w:val="22"/>
                <w:szCs w:val="22"/>
              </w:rPr>
              <w:t>Danish contribution</w:t>
            </w:r>
          </w:p>
        </w:tc>
        <w:tc>
          <w:tcPr>
            <w:tcW w:w="6945" w:type="dxa"/>
          </w:tcPr>
          <w:p w:rsidR="0092755E" w:rsidRPr="007F2463" w:rsidRDefault="009A1E8F" w:rsidP="0073636F">
            <w:pPr>
              <w:rPr>
                <w:sz w:val="22"/>
                <w:szCs w:val="22"/>
              </w:rPr>
            </w:pPr>
            <w:r w:rsidRPr="007F2463">
              <w:rPr>
                <w:sz w:val="22"/>
                <w:szCs w:val="22"/>
              </w:rPr>
              <w:t>40</w:t>
            </w:r>
            <w:r w:rsidR="00506702">
              <w:rPr>
                <w:sz w:val="22"/>
                <w:szCs w:val="22"/>
              </w:rPr>
              <w:t xml:space="preserve"> M</w:t>
            </w:r>
            <w:r w:rsidRPr="007F2463">
              <w:rPr>
                <w:sz w:val="22"/>
                <w:szCs w:val="22"/>
              </w:rPr>
              <w:t xml:space="preserve"> </w:t>
            </w:r>
            <w:r w:rsidR="00506702">
              <w:rPr>
                <w:sz w:val="22"/>
                <w:szCs w:val="22"/>
              </w:rPr>
              <w:t xml:space="preserve">DKK </w:t>
            </w:r>
            <w:r w:rsidRPr="007F2463">
              <w:rPr>
                <w:sz w:val="22"/>
                <w:szCs w:val="22"/>
              </w:rPr>
              <w:t xml:space="preserve">in 2016 + 20 M </w:t>
            </w:r>
            <w:r w:rsidR="00BD5487" w:rsidRPr="007F2463">
              <w:rPr>
                <w:sz w:val="22"/>
                <w:szCs w:val="22"/>
              </w:rPr>
              <w:t xml:space="preserve">DKK </w:t>
            </w:r>
            <w:r w:rsidRPr="007F2463">
              <w:rPr>
                <w:sz w:val="22"/>
                <w:szCs w:val="22"/>
              </w:rPr>
              <w:t xml:space="preserve">in 2017 + </w:t>
            </w:r>
            <w:r w:rsidR="00730C74" w:rsidRPr="007F2463">
              <w:rPr>
                <w:sz w:val="22"/>
                <w:szCs w:val="22"/>
              </w:rPr>
              <w:t>34</w:t>
            </w:r>
            <w:r w:rsidRPr="007F2463">
              <w:rPr>
                <w:sz w:val="22"/>
                <w:szCs w:val="22"/>
              </w:rPr>
              <w:t xml:space="preserve"> M</w:t>
            </w:r>
            <w:r w:rsidR="00506702">
              <w:rPr>
                <w:sz w:val="22"/>
                <w:szCs w:val="22"/>
              </w:rPr>
              <w:t xml:space="preserve"> DKK</w:t>
            </w:r>
            <w:r w:rsidRPr="007F2463">
              <w:rPr>
                <w:sz w:val="22"/>
                <w:szCs w:val="22"/>
              </w:rPr>
              <w:t xml:space="preserve"> in 2018</w:t>
            </w:r>
            <w:r w:rsidR="00506702">
              <w:rPr>
                <w:sz w:val="22"/>
                <w:szCs w:val="22"/>
              </w:rPr>
              <w:t>.</w:t>
            </w:r>
            <w:r w:rsidRPr="007F2463">
              <w:rPr>
                <w:sz w:val="22"/>
                <w:szCs w:val="22"/>
              </w:rPr>
              <w:t xml:space="preserve"> </w:t>
            </w:r>
          </w:p>
        </w:tc>
      </w:tr>
      <w:tr w:rsidR="0092755E" w:rsidRPr="00A85FD9" w:rsidTr="002D4065">
        <w:tc>
          <w:tcPr>
            <w:tcW w:w="2694" w:type="dxa"/>
            <w:shd w:val="clear" w:color="auto" w:fill="EBD9E2"/>
          </w:tcPr>
          <w:p w:rsidR="0092755E" w:rsidRPr="007F2463" w:rsidRDefault="0092755E" w:rsidP="00403C2C">
            <w:pPr>
              <w:rPr>
                <w:sz w:val="22"/>
                <w:szCs w:val="22"/>
              </w:rPr>
            </w:pPr>
            <w:r w:rsidRPr="007F2463">
              <w:rPr>
                <w:sz w:val="22"/>
                <w:szCs w:val="22"/>
              </w:rPr>
              <w:t>Total budget</w:t>
            </w:r>
          </w:p>
        </w:tc>
        <w:tc>
          <w:tcPr>
            <w:tcW w:w="6945" w:type="dxa"/>
          </w:tcPr>
          <w:p w:rsidR="0092755E" w:rsidRPr="007F2463" w:rsidRDefault="004610AF" w:rsidP="004770D5">
            <w:pPr>
              <w:rPr>
                <w:sz w:val="22"/>
                <w:szCs w:val="22"/>
              </w:rPr>
            </w:pPr>
            <w:r w:rsidRPr="007F2463">
              <w:rPr>
                <w:sz w:val="22"/>
                <w:szCs w:val="22"/>
              </w:rPr>
              <w:t xml:space="preserve">Currently </w:t>
            </w:r>
            <w:r w:rsidR="0092755E" w:rsidRPr="007F2463">
              <w:rPr>
                <w:sz w:val="22"/>
                <w:szCs w:val="22"/>
              </w:rPr>
              <w:t xml:space="preserve">USD </w:t>
            </w:r>
            <w:r w:rsidRPr="007F2463">
              <w:rPr>
                <w:sz w:val="22"/>
                <w:szCs w:val="22"/>
              </w:rPr>
              <w:t>202</w:t>
            </w:r>
            <w:r w:rsidR="0092755E" w:rsidRPr="007F2463">
              <w:rPr>
                <w:sz w:val="22"/>
                <w:szCs w:val="22"/>
              </w:rPr>
              <w:t xml:space="preserve"> mill</w:t>
            </w:r>
            <w:r w:rsidR="004770D5" w:rsidRPr="007F2463">
              <w:rPr>
                <w:sz w:val="22"/>
                <w:szCs w:val="22"/>
              </w:rPr>
              <w:t>, including pledges</w:t>
            </w:r>
            <w:r w:rsidR="0092755E" w:rsidRPr="007F2463">
              <w:rPr>
                <w:sz w:val="22"/>
                <w:szCs w:val="22"/>
              </w:rPr>
              <w:t xml:space="preserve"> (</w:t>
            </w:r>
            <w:r w:rsidR="004770D5" w:rsidRPr="007F2463">
              <w:rPr>
                <w:sz w:val="22"/>
                <w:szCs w:val="22"/>
              </w:rPr>
              <w:t xml:space="preserve">August </w:t>
            </w:r>
            <w:r w:rsidR="0092755E" w:rsidRPr="007F2463">
              <w:rPr>
                <w:sz w:val="22"/>
                <w:szCs w:val="22"/>
              </w:rPr>
              <w:t>2016)</w:t>
            </w:r>
          </w:p>
        </w:tc>
      </w:tr>
      <w:tr w:rsidR="00403C2C" w:rsidRPr="00A85FD9" w:rsidTr="002D4065">
        <w:tc>
          <w:tcPr>
            <w:tcW w:w="2694" w:type="dxa"/>
            <w:shd w:val="clear" w:color="auto" w:fill="EBD9E2"/>
          </w:tcPr>
          <w:p w:rsidR="00403C2C" w:rsidRPr="007F2463" w:rsidRDefault="00403C2C" w:rsidP="00403C2C">
            <w:pPr>
              <w:rPr>
                <w:sz w:val="22"/>
                <w:szCs w:val="22"/>
              </w:rPr>
            </w:pPr>
            <w:r w:rsidRPr="007F2463">
              <w:rPr>
                <w:sz w:val="22"/>
                <w:szCs w:val="22"/>
              </w:rPr>
              <w:t>Project period</w:t>
            </w:r>
          </w:p>
        </w:tc>
        <w:tc>
          <w:tcPr>
            <w:tcW w:w="6945" w:type="dxa"/>
          </w:tcPr>
          <w:p w:rsidR="00403C2C" w:rsidRPr="007F2463" w:rsidRDefault="00CC4B68" w:rsidP="00403C2C">
            <w:pPr>
              <w:rPr>
                <w:sz w:val="22"/>
                <w:szCs w:val="22"/>
              </w:rPr>
            </w:pPr>
            <w:r w:rsidRPr="007F2463">
              <w:rPr>
                <w:sz w:val="22"/>
                <w:szCs w:val="22"/>
              </w:rPr>
              <w:t>2016-2018</w:t>
            </w:r>
          </w:p>
        </w:tc>
      </w:tr>
      <w:tr w:rsidR="00403C2C" w:rsidRPr="00A85FD9" w:rsidTr="002D4065">
        <w:tc>
          <w:tcPr>
            <w:tcW w:w="2694" w:type="dxa"/>
            <w:shd w:val="clear" w:color="auto" w:fill="EBD9E2"/>
          </w:tcPr>
          <w:p w:rsidR="00403C2C" w:rsidRPr="007F2463" w:rsidRDefault="00403C2C" w:rsidP="00403C2C">
            <w:pPr>
              <w:rPr>
                <w:sz w:val="22"/>
                <w:szCs w:val="22"/>
              </w:rPr>
            </w:pPr>
            <w:r w:rsidRPr="007F2463">
              <w:rPr>
                <w:sz w:val="22"/>
                <w:szCs w:val="22"/>
              </w:rPr>
              <w:t>Other donors</w:t>
            </w:r>
          </w:p>
        </w:tc>
        <w:tc>
          <w:tcPr>
            <w:tcW w:w="6945" w:type="dxa"/>
          </w:tcPr>
          <w:p w:rsidR="00403C2C" w:rsidRPr="007F2463" w:rsidRDefault="00AF1D92" w:rsidP="00403C2C">
            <w:pPr>
              <w:rPr>
                <w:sz w:val="22"/>
                <w:szCs w:val="22"/>
              </w:rPr>
            </w:pPr>
            <w:r w:rsidRPr="007F2463">
              <w:rPr>
                <w:sz w:val="22"/>
                <w:szCs w:val="22"/>
              </w:rPr>
              <w:t>Japan, USAID, Germ</w:t>
            </w:r>
            <w:r w:rsidR="00F10C84" w:rsidRPr="007F2463">
              <w:rPr>
                <w:sz w:val="22"/>
                <w:szCs w:val="22"/>
              </w:rPr>
              <w:t>a</w:t>
            </w:r>
            <w:r w:rsidRPr="007F2463">
              <w:rPr>
                <w:sz w:val="22"/>
                <w:szCs w:val="22"/>
              </w:rPr>
              <w:t>n</w:t>
            </w:r>
            <w:r w:rsidR="00F10C84" w:rsidRPr="007F2463">
              <w:rPr>
                <w:sz w:val="22"/>
                <w:szCs w:val="22"/>
              </w:rPr>
              <w:t xml:space="preserve">y, Netherlands, Norway, Sweden, UK, Italy, Korea, Australia, Canada, </w:t>
            </w:r>
            <w:r w:rsidR="00646D3C" w:rsidRPr="007F2463">
              <w:rPr>
                <w:sz w:val="22"/>
                <w:szCs w:val="22"/>
              </w:rPr>
              <w:t>France, Austria</w:t>
            </w:r>
            <w:r w:rsidRPr="007F2463">
              <w:rPr>
                <w:sz w:val="22"/>
                <w:szCs w:val="22"/>
              </w:rPr>
              <w:t>, Czech Republic, Slovakia</w:t>
            </w:r>
          </w:p>
        </w:tc>
      </w:tr>
      <w:tr w:rsidR="00403C2C" w:rsidRPr="00A85FD9" w:rsidTr="002D4065">
        <w:tc>
          <w:tcPr>
            <w:tcW w:w="9639" w:type="dxa"/>
            <w:gridSpan w:val="2"/>
            <w:shd w:val="clear" w:color="auto" w:fill="EBD9E2"/>
          </w:tcPr>
          <w:p w:rsidR="00403C2C" w:rsidRPr="007F2463" w:rsidRDefault="00F174C6" w:rsidP="00403C2C">
            <w:pPr>
              <w:rPr>
                <w:sz w:val="22"/>
                <w:szCs w:val="22"/>
              </w:rPr>
            </w:pPr>
            <w:r w:rsidRPr="007F2463">
              <w:rPr>
                <w:sz w:val="22"/>
                <w:szCs w:val="22"/>
              </w:rPr>
              <w:t>O</w:t>
            </w:r>
            <w:r w:rsidR="00403C2C" w:rsidRPr="007F2463">
              <w:rPr>
                <w:sz w:val="22"/>
                <w:szCs w:val="22"/>
              </w:rPr>
              <w:t>bjective (output to overall programme results framework)</w:t>
            </w:r>
          </w:p>
        </w:tc>
      </w:tr>
      <w:tr w:rsidR="00403C2C" w:rsidRPr="00A85FD9" w:rsidTr="00EB5A86">
        <w:tc>
          <w:tcPr>
            <w:tcW w:w="9639" w:type="dxa"/>
            <w:gridSpan w:val="2"/>
          </w:tcPr>
          <w:p w:rsidR="00403C2C" w:rsidRPr="007F2463" w:rsidRDefault="003D1EB3" w:rsidP="00403C2C">
            <w:pPr>
              <w:rPr>
                <w:sz w:val="22"/>
                <w:szCs w:val="22"/>
              </w:rPr>
            </w:pPr>
            <w:r w:rsidRPr="007F2463">
              <w:rPr>
                <w:sz w:val="22"/>
                <w:szCs w:val="22"/>
              </w:rPr>
              <w:t>Conditions improved for the safe return of internally displaced persons in newly liberated areas</w:t>
            </w:r>
          </w:p>
        </w:tc>
      </w:tr>
      <w:tr w:rsidR="00403C2C" w:rsidRPr="00A85FD9" w:rsidTr="002D4065">
        <w:tc>
          <w:tcPr>
            <w:tcW w:w="9639" w:type="dxa"/>
            <w:gridSpan w:val="2"/>
            <w:shd w:val="clear" w:color="auto" w:fill="EBD9E2"/>
          </w:tcPr>
          <w:p w:rsidR="00403C2C" w:rsidRPr="007F2463" w:rsidRDefault="00403C2C" w:rsidP="00403C2C">
            <w:pPr>
              <w:rPr>
                <w:sz w:val="22"/>
                <w:szCs w:val="22"/>
              </w:rPr>
            </w:pPr>
            <w:r w:rsidRPr="007F2463">
              <w:rPr>
                <w:sz w:val="22"/>
                <w:szCs w:val="22"/>
              </w:rPr>
              <w:t>Engagement description</w:t>
            </w:r>
          </w:p>
        </w:tc>
      </w:tr>
      <w:tr w:rsidR="00403C2C" w:rsidRPr="00A85FD9" w:rsidTr="00EB5A86">
        <w:tc>
          <w:tcPr>
            <w:tcW w:w="9639" w:type="dxa"/>
            <w:gridSpan w:val="2"/>
          </w:tcPr>
          <w:p w:rsidR="004A68E7" w:rsidRPr="007F2463" w:rsidRDefault="00BF71AB" w:rsidP="00EA2639">
            <w:pPr>
              <w:rPr>
                <w:sz w:val="22"/>
                <w:szCs w:val="22"/>
              </w:rPr>
            </w:pPr>
            <w:r w:rsidRPr="007F2463">
              <w:rPr>
                <w:sz w:val="22"/>
                <w:szCs w:val="22"/>
              </w:rPr>
              <w:t>Since its establishment in mid-2015, t</w:t>
            </w:r>
            <w:r w:rsidR="00246880" w:rsidRPr="007F2463">
              <w:rPr>
                <w:sz w:val="22"/>
                <w:szCs w:val="22"/>
              </w:rPr>
              <w:t xml:space="preserve">he FFIS has </w:t>
            </w:r>
            <w:r w:rsidR="00EA2639" w:rsidRPr="007F2463">
              <w:rPr>
                <w:sz w:val="22"/>
                <w:szCs w:val="22"/>
              </w:rPr>
              <w:t xml:space="preserve">become </w:t>
            </w:r>
            <w:r w:rsidR="00E02843" w:rsidRPr="007F2463">
              <w:rPr>
                <w:sz w:val="22"/>
                <w:szCs w:val="22"/>
              </w:rPr>
              <w:t xml:space="preserve">the preferred point of entry for donors seeking a harmonised means of contributing to a range of immediate stabilisation needs. </w:t>
            </w:r>
            <w:r w:rsidR="004A68E7" w:rsidRPr="007F2463">
              <w:rPr>
                <w:sz w:val="22"/>
                <w:szCs w:val="22"/>
              </w:rPr>
              <w:t xml:space="preserve">It is well anchored within the UN Country Team </w:t>
            </w:r>
            <w:r w:rsidR="00EA2639" w:rsidRPr="007F2463">
              <w:rPr>
                <w:sz w:val="22"/>
                <w:szCs w:val="22"/>
              </w:rPr>
              <w:t xml:space="preserve">and with </w:t>
            </w:r>
            <w:r w:rsidR="004A68E7" w:rsidRPr="007F2463">
              <w:rPr>
                <w:sz w:val="22"/>
                <w:szCs w:val="22"/>
              </w:rPr>
              <w:t xml:space="preserve">Iraqi authorities at </w:t>
            </w:r>
            <w:r w:rsidR="00EA2639" w:rsidRPr="007F2463">
              <w:rPr>
                <w:sz w:val="22"/>
                <w:szCs w:val="22"/>
              </w:rPr>
              <w:t xml:space="preserve">national </w:t>
            </w:r>
            <w:r w:rsidR="00DA7128" w:rsidRPr="007F2463">
              <w:rPr>
                <w:sz w:val="22"/>
                <w:szCs w:val="22"/>
              </w:rPr>
              <w:t xml:space="preserve">and </w:t>
            </w:r>
            <w:r w:rsidR="004A68E7" w:rsidRPr="007F2463">
              <w:rPr>
                <w:sz w:val="22"/>
                <w:szCs w:val="22"/>
              </w:rPr>
              <w:t>governorate level</w:t>
            </w:r>
            <w:r w:rsidR="00EA2639" w:rsidRPr="007F2463">
              <w:rPr>
                <w:sz w:val="22"/>
                <w:szCs w:val="22"/>
              </w:rPr>
              <w:t>s</w:t>
            </w:r>
            <w:r w:rsidR="004A68E7" w:rsidRPr="007F2463">
              <w:rPr>
                <w:sz w:val="22"/>
                <w:szCs w:val="22"/>
              </w:rPr>
              <w:t>.</w:t>
            </w:r>
          </w:p>
          <w:p w:rsidR="00403C2C" w:rsidRPr="007F2463" w:rsidRDefault="004A68E7" w:rsidP="00EA2639">
            <w:pPr>
              <w:rPr>
                <w:sz w:val="22"/>
                <w:szCs w:val="22"/>
              </w:rPr>
            </w:pPr>
            <w:r w:rsidRPr="007F2463">
              <w:rPr>
                <w:sz w:val="22"/>
                <w:szCs w:val="22"/>
              </w:rPr>
              <w:t xml:space="preserve">The FFIS </w:t>
            </w:r>
            <w:r w:rsidR="00EA2639" w:rsidRPr="007F2463">
              <w:rPr>
                <w:sz w:val="22"/>
                <w:szCs w:val="22"/>
              </w:rPr>
              <w:t xml:space="preserve">implements projects in line with </w:t>
            </w:r>
            <w:r w:rsidR="0019501C" w:rsidRPr="007F2463">
              <w:rPr>
                <w:sz w:val="22"/>
                <w:szCs w:val="22"/>
              </w:rPr>
              <w:t xml:space="preserve">four </w:t>
            </w:r>
            <w:r w:rsidR="00EA2639" w:rsidRPr="007F2463">
              <w:rPr>
                <w:sz w:val="22"/>
                <w:szCs w:val="22"/>
              </w:rPr>
              <w:t>‘</w:t>
            </w:r>
            <w:r w:rsidR="00246880" w:rsidRPr="007F2463">
              <w:rPr>
                <w:sz w:val="22"/>
                <w:szCs w:val="22"/>
              </w:rPr>
              <w:t>windows</w:t>
            </w:r>
            <w:r w:rsidR="00EA2639" w:rsidRPr="007F2463">
              <w:rPr>
                <w:sz w:val="22"/>
                <w:szCs w:val="22"/>
              </w:rPr>
              <w:t>’</w:t>
            </w:r>
            <w:r w:rsidR="0019501C" w:rsidRPr="007F2463">
              <w:rPr>
                <w:sz w:val="22"/>
                <w:szCs w:val="22"/>
              </w:rPr>
              <w:t>:</w:t>
            </w:r>
            <w:r w:rsidR="00246880" w:rsidRPr="007F2463">
              <w:rPr>
                <w:sz w:val="22"/>
                <w:szCs w:val="22"/>
              </w:rPr>
              <w:t xml:space="preserve"> (1) </w:t>
            </w:r>
            <w:r w:rsidR="0019501C" w:rsidRPr="007F2463">
              <w:rPr>
                <w:sz w:val="22"/>
                <w:szCs w:val="22"/>
              </w:rPr>
              <w:t>Public works and light infrastructure</w:t>
            </w:r>
            <w:r w:rsidR="00EA2639" w:rsidRPr="007F2463">
              <w:rPr>
                <w:sz w:val="22"/>
                <w:szCs w:val="22"/>
              </w:rPr>
              <w:t>,</w:t>
            </w:r>
            <w:r w:rsidR="00246880" w:rsidRPr="007F2463">
              <w:rPr>
                <w:sz w:val="22"/>
                <w:szCs w:val="22"/>
              </w:rPr>
              <w:t xml:space="preserve"> (</w:t>
            </w:r>
            <w:r w:rsidR="0019501C" w:rsidRPr="007F2463">
              <w:rPr>
                <w:sz w:val="22"/>
                <w:szCs w:val="22"/>
              </w:rPr>
              <w:t>2</w:t>
            </w:r>
            <w:r w:rsidR="00246880" w:rsidRPr="007F2463">
              <w:rPr>
                <w:sz w:val="22"/>
                <w:szCs w:val="22"/>
              </w:rPr>
              <w:t>) Liv</w:t>
            </w:r>
            <w:r w:rsidR="0019501C" w:rsidRPr="007F2463">
              <w:rPr>
                <w:sz w:val="22"/>
                <w:szCs w:val="22"/>
              </w:rPr>
              <w:t xml:space="preserve">elihoods, including </w:t>
            </w:r>
            <w:r w:rsidR="00EA2639" w:rsidRPr="007F2463">
              <w:rPr>
                <w:sz w:val="22"/>
                <w:szCs w:val="22"/>
              </w:rPr>
              <w:t xml:space="preserve">micro-credit and cash-for-work </w:t>
            </w:r>
            <w:r w:rsidR="0019501C" w:rsidRPr="007F2463">
              <w:rPr>
                <w:sz w:val="22"/>
                <w:szCs w:val="22"/>
              </w:rPr>
              <w:t>to jump-start local economies and generat</w:t>
            </w:r>
            <w:r w:rsidR="00EA2639" w:rsidRPr="007F2463">
              <w:rPr>
                <w:sz w:val="22"/>
                <w:szCs w:val="22"/>
              </w:rPr>
              <w:t>e</w:t>
            </w:r>
            <w:r w:rsidR="0019501C" w:rsidRPr="007F2463">
              <w:rPr>
                <w:sz w:val="22"/>
                <w:szCs w:val="22"/>
              </w:rPr>
              <w:t xml:space="preserve"> income </w:t>
            </w:r>
            <w:r w:rsidR="00EA2639" w:rsidRPr="007F2463">
              <w:rPr>
                <w:sz w:val="22"/>
                <w:szCs w:val="22"/>
              </w:rPr>
              <w:t xml:space="preserve">for women and </w:t>
            </w:r>
            <w:r w:rsidR="0019501C" w:rsidRPr="007F2463">
              <w:rPr>
                <w:sz w:val="22"/>
                <w:szCs w:val="22"/>
              </w:rPr>
              <w:t>at house-hold level</w:t>
            </w:r>
            <w:r w:rsidR="00EA2639" w:rsidRPr="007F2463">
              <w:rPr>
                <w:sz w:val="22"/>
                <w:szCs w:val="22"/>
              </w:rPr>
              <w:t>,</w:t>
            </w:r>
            <w:r w:rsidR="00BF71AB" w:rsidRPr="007F2463">
              <w:rPr>
                <w:sz w:val="22"/>
                <w:szCs w:val="22"/>
              </w:rPr>
              <w:t xml:space="preserve"> (3) </w:t>
            </w:r>
            <w:r w:rsidR="0019501C" w:rsidRPr="007F2463">
              <w:rPr>
                <w:sz w:val="22"/>
                <w:szCs w:val="22"/>
              </w:rPr>
              <w:t xml:space="preserve">Capacity </w:t>
            </w:r>
            <w:r w:rsidR="00EA2639" w:rsidRPr="007F2463">
              <w:rPr>
                <w:sz w:val="22"/>
                <w:szCs w:val="22"/>
              </w:rPr>
              <w:t xml:space="preserve">building to </w:t>
            </w:r>
            <w:r w:rsidR="0019501C" w:rsidRPr="007F2463">
              <w:rPr>
                <w:sz w:val="22"/>
                <w:szCs w:val="22"/>
              </w:rPr>
              <w:t>local authorities</w:t>
            </w:r>
            <w:r w:rsidR="00BF71AB" w:rsidRPr="007F2463">
              <w:rPr>
                <w:sz w:val="22"/>
                <w:szCs w:val="22"/>
              </w:rPr>
              <w:t xml:space="preserve"> and (4) </w:t>
            </w:r>
            <w:r w:rsidR="0019501C" w:rsidRPr="007F2463">
              <w:rPr>
                <w:sz w:val="22"/>
                <w:szCs w:val="22"/>
              </w:rPr>
              <w:t xml:space="preserve">Community reconciliation, </w:t>
            </w:r>
            <w:r w:rsidR="00EA2639" w:rsidRPr="007F2463">
              <w:rPr>
                <w:sz w:val="22"/>
                <w:szCs w:val="22"/>
              </w:rPr>
              <w:t xml:space="preserve">by way of support </w:t>
            </w:r>
            <w:r w:rsidR="0019501C" w:rsidRPr="007F2463">
              <w:rPr>
                <w:sz w:val="22"/>
                <w:szCs w:val="22"/>
              </w:rPr>
              <w:t xml:space="preserve">to </w:t>
            </w:r>
            <w:r w:rsidR="00EA2639" w:rsidRPr="007F2463">
              <w:rPr>
                <w:sz w:val="22"/>
                <w:szCs w:val="22"/>
              </w:rPr>
              <w:t xml:space="preserve">efforts that </w:t>
            </w:r>
            <w:r w:rsidR="0019501C" w:rsidRPr="007F2463">
              <w:rPr>
                <w:sz w:val="22"/>
                <w:szCs w:val="22"/>
              </w:rPr>
              <w:t>promote cohesion and dialogue.</w:t>
            </w:r>
          </w:p>
          <w:p w:rsidR="00BF71AB" w:rsidRPr="007F2463" w:rsidRDefault="00A72E95" w:rsidP="00B6360D">
            <w:pPr>
              <w:rPr>
                <w:sz w:val="22"/>
                <w:szCs w:val="22"/>
              </w:rPr>
            </w:pPr>
            <w:r w:rsidRPr="007F2463">
              <w:rPr>
                <w:sz w:val="22"/>
                <w:szCs w:val="22"/>
              </w:rPr>
              <w:t xml:space="preserve">In 2016, </w:t>
            </w:r>
            <w:r w:rsidR="001F726C" w:rsidRPr="007F2463">
              <w:rPr>
                <w:sz w:val="22"/>
                <w:szCs w:val="22"/>
              </w:rPr>
              <w:t xml:space="preserve">FFIS </w:t>
            </w:r>
            <w:r w:rsidR="003D1EB3" w:rsidRPr="007F2463">
              <w:rPr>
                <w:sz w:val="22"/>
                <w:szCs w:val="22"/>
              </w:rPr>
              <w:t xml:space="preserve">has </w:t>
            </w:r>
            <w:r w:rsidR="001F726C" w:rsidRPr="007F2463">
              <w:rPr>
                <w:sz w:val="22"/>
                <w:szCs w:val="22"/>
              </w:rPr>
              <w:t xml:space="preserve">progressively increased its delivery and this is being matched by the increase in returns. Key lessons being learnt include the impact of the huge IED/UXO contamination of areas such as Ramadi and Sinjar and the lack of national capacity to deal with it beyond military objectives. The effect is that FFIS activities are effectively stalled until areas are declared safe. </w:t>
            </w:r>
            <w:r w:rsidR="00831B80" w:rsidRPr="007F2463">
              <w:rPr>
                <w:sz w:val="22"/>
                <w:szCs w:val="22"/>
              </w:rPr>
              <w:t>I</w:t>
            </w:r>
            <w:r w:rsidR="001F726C" w:rsidRPr="007F2463">
              <w:rPr>
                <w:sz w:val="22"/>
                <w:szCs w:val="22"/>
              </w:rPr>
              <w:t xml:space="preserve">t is </w:t>
            </w:r>
            <w:r w:rsidRPr="007F2463">
              <w:rPr>
                <w:sz w:val="22"/>
                <w:szCs w:val="22"/>
              </w:rPr>
              <w:t xml:space="preserve">also </w:t>
            </w:r>
            <w:r w:rsidR="001F726C" w:rsidRPr="007F2463">
              <w:rPr>
                <w:sz w:val="22"/>
                <w:szCs w:val="22"/>
              </w:rPr>
              <w:t>apparent that civil stabilisation is not yet fully harmonised with other elements of the post-liberation strategy, including recovery, transitional justice, reconciliation, reconstruction and reform. A comprehensive approach is thus required to tie these elements together, including mine action.</w:t>
            </w:r>
            <w:r w:rsidR="006F7AFD" w:rsidRPr="007F2463">
              <w:rPr>
                <w:sz w:val="22"/>
                <w:szCs w:val="22"/>
              </w:rPr>
              <w:t xml:space="preserve"> </w:t>
            </w:r>
            <w:r w:rsidR="00B6360D" w:rsidRPr="007F2463">
              <w:rPr>
                <w:sz w:val="22"/>
                <w:szCs w:val="22"/>
              </w:rPr>
              <w:t>Progress is now being made on t</w:t>
            </w:r>
            <w:r w:rsidR="00DB0B0E" w:rsidRPr="007F2463">
              <w:rPr>
                <w:sz w:val="22"/>
                <w:szCs w:val="22"/>
              </w:rPr>
              <w:t xml:space="preserve">hese aspects </w:t>
            </w:r>
            <w:r w:rsidR="00B6360D" w:rsidRPr="007F2463">
              <w:rPr>
                <w:sz w:val="22"/>
                <w:szCs w:val="22"/>
              </w:rPr>
              <w:t xml:space="preserve">and they </w:t>
            </w:r>
            <w:r w:rsidR="00DB0B0E" w:rsidRPr="007F2463">
              <w:rPr>
                <w:sz w:val="22"/>
                <w:szCs w:val="22"/>
              </w:rPr>
              <w:t xml:space="preserve">will be </w:t>
            </w:r>
            <w:r w:rsidR="00B6360D" w:rsidRPr="007F2463">
              <w:rPr>
                <w:sz w:val="22"/>
                <w:szCs w:val="22"/>
              </w:rPr>
              <w:t xml:space="preserve">further </w:t>
            </w:r>
            <w:r w:rsidR="00DB0B0E" w:rsidRPr="007F2463">
              <w:rPr>
                <w:sz w:val="22"/>
                <w:szCs w:val="22"/>
              </w:rPr>
              <w:t>addressed in the Danish dialogue with GoI, UNDP and other donors, including through the FFIS Steering Committee in which Denmark has a seat.</w:t>
            </w:r>
          </w:p>
        </w:tc>
      </w:tr>
      <w:tr w:rsidR="00403C2C" w:rsidRPr="00A85FD9" w:rsidTr="002D4065">
        <w:tc>
          <w:tcPr>
            <w:tcW w:w="9639" w:type="dxa"/>
            <w:gridSpan w:val="2"/>
            <w:shd w:val="clear" w:color="auto" w:fill="EBD9E2"/>
          </w:tcPr>
          <w:p w:rsidR="00403C2C" w:rsidRPr="007F2463" w:rsidRDefault="00403C2C" w:rsidP="00403C2C">
            <w:pPr>
              <w:rPr>
                <w:sz w:val="22"/>
                <w:szCs w:val="22"/>
              </w:rPr>
            </w:pPr>
            <w:r w:rsidRPr="007F2463">
              <w:rPr>
                <w:sz w:val="22"/>
                <w:szCs w:val="22"/>
              </w:rPr>
              <w:t>Previous support</w:t>
            </w:r>
          </w:p>
        </w:tc>
      </w:tr>
      <w:tr w:rsidR="00403C2C" w:rsidRPr="00A85FD9" w:rsidTr="00EB5A86">
        <w:tc>
          <w:tcPr>
            <w:tcW w:w="9639" w:type="dxa"/>
            <w:gridSpan w:val="2"/>
            <w:shd w:val="clear" w:color="auto" w:fill="auto"/>
          </w:tcPr>
          <w:p w:rsidR="00403C2C" w:rsidRPr="007F2463" w:rsidRDefault="00AF1D92" w:rsidP="00403C2C">
            <w:pPr>
              <w:rPr>
                <w:sz w:val="22"/>
                <w:szCs w:val="22"/>
              </w:rPr>
            </w:pPr>
            <w:r w:rsidRPr="007F2463">
              <w:rPr>
                <w:sz w:val="22"/>
                <w:szCs w:val="22"/>
              </w:rPr>
              <w:t>DKK 7</w:t>
            </w:r>
            <w:r w:rsidR="00CC4B68" w:rsidRPr="007F2463">
              <w:rPr>
                <w:sz w:val="22"/>
                <w:szCs w:val="22"/>
              </w:rPr>
              <w:t xml:space="preserve"> mill in 2015</w:t>
            </w:r>
          </w:p>
        </w:tc>
      </w:tr>
    </w:tbl>
    <w:p w:rsidR="00D50C5D" w:rsidRPr="00816FC2" w:rsidRDefault="00D50C5D" w:rsidP="00454D2E">
      <w:pPr>
        <w:pStyle w:val="Overskrift4"/>
        <w:numPr>
          <w:ilvl w:val="0"/>
          <w:numId w:val="41"/>
        </w:numPr>
      </w:pPr>
      <w:r w:rsidRPr="00816FC2">
        <w:t>Support to UNMAS</w:t>
      </w:r>
      <w:r w:rsidR="000F0D42" w:rsidRPr="00816FC2">
        <w:t xml:space="preserve"> in</w:t>
      </w:r>
      <w:r w:rsidR="0061056A" w:rsidRPr="00816FC2">
        <w:t xml:space="preserve"> Iraq</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427540" w:rsidRPr="00A85FD9" w:rsidTr="002D4065">
        <w:tc>
          <w:tcPr>
            <w:tcW w:w="9639" w:type="dxa"/>
            <w:gridSpan w:val="2"/>
            <w:shd w:val="clear" w:color="auto" w:fill="3E2C42"/>
          </w:tcPr>
          <w:p w:rsidR="00427540" w:rsidRPr="007F2463" w:rsidRDefault="00427540" w:rsidP="00E2589C">
            <w:pPr>
              <w:rPr>
                <w:b/>
                <w:color w:val="FFFFFF" w:themeColor="background1"/>
                <w:sz w:val="22"/>
                <w:szCs w:val="22"/>
              </w:rPr>
            </w:pPr>
            <w:r w:rsidRPr="007F2463">
              <w:rPr>
                <w:b/>
                <w:color w:val="FFFFFF" w:themeColor="background1"/>
                <w:sz w:val="22"/>
                <w:szCs w:val="22"/>
              </w:rPr>
              <w:t>Overview</w:t>
            </w:r>
          </w:p>
        </w:tc>
      </w:tr>
      <w:tr w:rsidR="00427540" w:rsidRPr="00A85FD9" w:rsidTr="002D4065">
        <w:tc>
          <w:tcPr>
            <w:tcW w:w="2694" w:type="dxa"/>
            <w:shd w:val="clear" w:color="auto" w:fill="EBD9E2"/>
          </w:tcPr>
          <w:p w:rsidR="00427540" w:rsidRPr="007F2463" w:rsidRDefault="00427540" w:rsidP="00E2589C">
            <w:pPr>
              <w:rPr>
                <w:sz w:val="22"/>
                <w:szCs w:val="22"/>
              </w:rPr>
            </w:pPr>
            <w:r w:rsidRPr="007F2463">
              <w:rPr>
                <w:sz w:val="22"/>
                <w:szCs w:val="22"/>
              </w:rPr>
              <w:t>Implementing partner</w:t>
            </w:r>
          </w:p>
        </w:tc>
        <w:tc>
          <w:tcPr>
            <w:tcW w:w="6945" w:type="dxa"/>
          </w:tcPr>
          <w:p w:rsidR="00427540" w:rsidRPr="007F2463" w:rsidRDefault="00B361E0" w:rsidP="00E2589C">
            <w:pPr>
              <w:rPr>
                <w:sz w:val="22"/>
                <w:szCs w:val="22"/>
              </w:rPr>
            </w:pPr>
            <w:r w:rsidRPr="007F2463">
              <w:rPr>
                <w:sz w:val="22"/>
                <w:szCs w:val="22"/>
              </w:rPr>
              <w:t>United Nations Mine Action Service</w:t>
            </w:r>
          </w:p>
        </w:tc>
      </w:tr>
      <w:tr w:rsidR="00427540" w:rsidRPr="00A85FD9" w:rsidTr="002D4065">
        <w:tc>
          <w:tcPr>
            <w:tcW w:w="2694" w:type="dxa"/>
            <w:shd w:val="clear" w:color="auto" w:fill="EBD9E2"/>
          </w:tcPr>
          <w:p w:rsidR="00427540" w:rsidRPr="007F2463" w:rsidRDefault="00427540" w:rsidP="00E2589C">
            <w:pPr>
              <w:rPr>
                <w:sz w:val="22"/>
                <w:szCs w:val="22"/>
              </w:rPr>
            </w:pPr>
            <w:r w:rsidRPr="007F2463">
              <w:rPr>
                <w:sz w:val="22"/>
                <w:szCs w:val="22"/>
              </w:rPr>
              <w:t>Danish contribution</w:t>
            </w:r>
          </w:p>
        </w:tc>
        <w:tc>
          <w:tcPr>
            <w:tcW w:w="6945" w:type="dxa"/>
          </w:tcPr>
          <w:p w:rsidR="00427540" w:rsidRPr="007F2463" w:rsidRDefault="00506702">
            <w:pPr>
              <w:rPr>
                <w:sz w:val="22"/>
                <w:szCs w:val="22"/>
              </w:rPr>
            </w:pPr>
            <w:r w:rsidRPr="007F2463">
              <w:rPr>
                <w:sz w:val="22"/>
                <w:szCs w:val="22"/>
              </w:rPr>
              <w:t>2</w:t>
            </w:r>
            <w:r>
              <w:rPr>
                <w:sz w:val="22"/>
                <w:szCs w:val="22"/>
              </w:rPr>
              <w:t>2</w:t>
            </w:r>
            <w:r w:rsidRPr="007F2463">
              <w:rPr>
                <w:sz w:val="22"/>
                <w:szCs w:val="22"/>
              </w:rPr>
              <w:t xml:space="preserve"> </w:t>
            </w:r>
            <w:r w:rsidR="009A1E8F" w:rsidRPr="007F2463">
              <w:rPr>
                <w:sz w:val="22"/>
                <w:szCs w:val="22"/>
              </w:rPr>
              <w:t>M</w:t>
            </w:r>
            <w:r w:rsidR="00BD5487" w:rsidRPr="007F2463">
              <w:rPr>
                <w:sz w:val="22"/>
                <w:szCs w:val="22"/>
              </w:rPr>
              <w:t xml:space="preserve"> DKK</w:t>
            </w:r>
            <w:r w:rsidR="009A1E8F" w:rsidRPr="007F2463">
              <w:rPr>
                <w:sz w:val="22"/>
                <w:szCs w:val="22"/>
              </w:rPr>
              <w:t xml:space="preserve"> in 2016, 1</w:t>
            </w:r>
            <w:r w:rsidR="00730C74" w:rsidRPr="007F2463">
              <w:rPr>
                <w:sz w:val="22"/>
                <w:szCs w:val="22"/>
              </w:rPr>
              <w:t>9</w:t>
            </w:r>
            <w:r w:rsidR="009A1E8F" w:rsidRPr="007F2463">
              <w:rPr>
                <w:sz w:val="22"/>
                <w:szCs w:val="22"/>
              </w:rPr>
              <w:t xml:space="preserve"> M</w:t>
            </w:r>
            <w:r w:rsidR="00BD5487" w:rsidRPr="007F2463">
              <w:rPr>
                <w:sz w:val="22"/>
                <w:szCs w:val="22"/>
              </w:rPr>
              <w:t xml:space="preserve"> DKK</w:t>
            </w:r>
            <w:r w:rsidR="009A1E8F" w:rsidRPr="007F2463">
              <w:rPr>
                <w:sz w:val="22"/>
                <w:szCs w:val="22"/>
              </w:rPr>
              <w:t xml:space="preserve"> in 2017 and </w:t>
            </w:r>
            <w:r w:rsidR="00730C74" w:rsidRPr="007F2463">
              <w:rPr>
                <w:sz w:val="22"/>
                <w:szCs w:val="22"/>
              </w:rPr>
              <w:t>25</w:t>
            </w:r>
            <w:r w:rsidR="009A1E8F" w:rsidRPr="007F2463">
              <w:rPr>
                <w:sz w:val="22"/>
                <w:szCs w:val="22"/>
              </w:rPr>
              <w:t xml:space="preserve"> M</w:t>
            </w:r>
            <w:r w:rsidR="00BD5487" w:rsidRPr="007F2463">
              <w:rPr>
                <w:sz w:val="22"/>
                <w:szCs w:val="22"/>
              </w:rPr>
              <w:t xml:space="preserve"> DKK</w:t>
            </w:r>
            <w:r w:rsidR="009A1E8F" w:rsidRPr="007F2463">
              <w:rPr>
                <w:sz w:val="22"/>
                <w:szCs w:val="22"/>
              </w:rPr>
              <w:t xml:space="preserve"> in 2018</w:t>
            </w:r>
          </w:p>
        </w:tc>
      </w:tr>
      <w:tr w:rsidR="00427540" w:rsidRPr="00A85FD9" w:rsidTr="002D4065">
        <w:tc>
          <w:tcPr>
            <w:tcW w:w="2694" w:type="dxa"/>
            <w:shd w:val="clear" w:color="auto" w:fill="EBD9E2"/>
          </w:tcPr>
          <w:p w:rsidR="00427540" w:rsidRPr="007F2463" w:rsidRDefault="00427540" w:rsidP="00E2589C">
            <w:pPr>
              <w:rPr>
                <w:sz w:val="22"/>
                <w:szCs w:val="22"/>
              </w:rPr>
            </w:pPr>
            <w:r w:rsidRPr="007F2463">
              <w:rPr>
                <w:sz w:val="22"/>
                <w:szCs w:val="22"/>
              </w:rPr>
              <w:t>Total budget</w:t>
            </w:r>
          </w:p>
        </w:tc>
        <w:tc>
          <w:tcPr>
            <w:tcW w:w="6945" w:type="dxa"/>
          </w:tcPr>
          <w:p w:rsidR="00427540" w:rsidRPr="007F2463" w:rsidRDefault="009D1BBD" w:rsidP="00E2589C">
            <w:pPr>
              <w:rPr>
                <w:sz w:val="22"/>
                <w:szCs w:val="22"/>
              </w:rPr>
            </w:pPr>
            <w:r w:rsidRPr="007F2463">
              <w:rPr>
                <w:sz w:val="22"/>
                <w:szCs w:val="22"/>
              </w:rPr>
              <w:t>USD 26</w:t>
            </w:r>
            <w:r w:rsidR="004E558D" w:rsidRPr="007F2463">
              <w:rPr>
                <w:sz w:val="22"/>
                <w:szCs w:val="22"/>
              </w:rPr>
              <w:t>.</w:t>
            </w:r>
            <w:r w:rsidRPr="007F2463">
              <w:rPr>
                <w:sz w:val="22"/>
                <w:szCs w:val="22"/>
              </w:rPr>
              <w:t>5 m (2016), USD 112 m (2017), USD 168 m (2018)</w:t>
            </w:r>
          </w:p>
        </w:tc>
      </w:tr>
      <w:tr w:rsidR="00427540" w:rsidRPr="00A85FD9" w:rsidTr="002D4065">
        <w:tc>
          <w:tcPr>
            <w:tcW w:w="2694" w:type="dxa"/>
            <w:shd w:val="clear" w:color="auto" w:fill="EBD9E2"/>
          </w:tcPr>
          <w:p w:rsidR="00427540" w:rsidRPr="007F2463" w:rsidRDefault="00427540" w:rsidP="00E2589C">
            <w:pPr>
              <w:rPr>
                <w:sz w:val="22"/>
                <w:szCs w:val="22"/>
              </w:rPr>
            </w:pPr>
            <w:r w:rsidRPr="007F2463">
              <w:rPr>
                <w:sz w:val="22"/>
                <w:szCs w:val="22"/>
              </w:rPr>
              <w:t>Project period</w:t>
            </w:r>
          </w:p>
        </w:tc>
        <w:tc>
          <w:tcPr>
            <w:tcW w:w="6945" w:type="dxa"/>
          </w:tcPr>
          <w:p w:rsidR="00427540" w:rsidRPr="007F2463" w:rsidRDefault="00974F35" w:rsidP="00E2589C">
            <w:pPr>
              <w:rPr>
                <w:sz w:val="22"/>
                <w:szCs w:val="22"/>
              </w:rPr>
            </w:pPr>
            <w:r w:rsidRPr="007F2463">
              <w:rPr>
                <w:sz w:val="22"/>
                <w:szCs w:val="22"/>
              </w:rPr>
              <w:t>2016-2018</w:t>
            </w:r>
          </w:p>
        </w:tc>
      </w:tr>
      <w:tr w:rsidR="00427540" w:rsidRPr="00A85FD9" w:rsidTr="002D4065">
        <w:tc>
          <w:tcPr>
            <w:tcW w:w="2694" w:type="dxa"/>
            <w:shd w:val="clear" w:color="auto" w:fill="EBD9E2"/>
          </w:tcPr>
          <w:p w:rsidR="00427540" w:rsidRPr="007F2463" w:rsidRDefault="00427540" w:rsidP="00E2589C">
            <w:pPr>
              <w:rPr>
                <w:sz w:val="22"/>
                <w:szCs w:val="22"/>
              </w:rPr>
            </w:pPr>
            <w:r w:rsidRPr="007F2463">
              <w:rPr>
                <w:sz w:val="22"/>
                <w:szCs w:val="22"/>
              </w:rPr>
              <w:t>Other donors</w:t>
            </w:r>
          </w:p>
        </w:tc>
        <w:tc>
          <w:tcPr>
            <w:tcW w:w="6945" w:type="dxa"/>
          </w:tcPr>
          <w:p w:rsidR="00427540" w:rsidRPr="007F2463" w:rsidRDefault="00F64915" w:rsidP="00E2589C">
            <w:pPr>
              <w:rPr>
                <w:sz w:val="22"/>
                <w:szCs w:val="22"/>
              </w:rPr>
            </w:pPr>
            <w:r w:rsidRPr="007F2463">
              <w:rPr>
                <w:sz w:val="22"/>
                <w:szCs w:val="22"/>
              </w:rPr>
              <w:t>EU,</w:t>
            </w:r>
            <w:r w:rsidR="00974F35" w:rsidRPr="007F2463">
              <w:rPr>
                <w:sz w:val="22"/>
                <w:szCs w:val="22"/>
              </w:rPr>
              <w:t xml:space="preserve"> UK, Netherlands, Japan, Canada</w:t>
            </w:r>
          </w:p>
        </w:tc>
      </w:tr>
      <w:tr w:rsidR="00427540" w:rsidRPr="00A85FD9" w:rsidTr="002D4065">
        <w:tc>
          <w:tcPr>
            <w:tcW w:w="9639" w:type="dxa"/>
            <w:gridSpan w:val="2"/>
            <w:shd w:val="clear" w:color="auto" w:fill="EBD9E2"/>
          </w:tcPr>
          <w:p w:rsidR="00427540" w:rsidRPr="007F2463" w:rsidRDefault="00F174C6" w:rsidP="00E2589C">
            <w:pPr>
              <w:rPr>
                <w:sz w:val="22"/>
                <w:szCs w:val="22"/>
              </w:rPr>
            </w:pPr>
            <w:r w:rsidRPr="007F2463">
              <w:rPr>
                <w:sz w:val="22"/>
                <w:szCs w:val="22"/>
              </w:rPr>
              <w:lastRenderedPageBreak/>
              <w:t>O</w:t>
            </w:r>
            <w:r w:rsidR="00427540" w:rsidRPr="007F2463">
              <w:rPr>
                <w:sz w:val="22"/>
                <w:szCs w:val="22"/>
              </w:rPr>
              <w:t>bjective (output to overall programme results framework)</w:t>
            </w:r>
          </w:p>
        </w:tc>
      </w:tr>
      <w:tr w:rsidR="00427540" w:rsidRPr="00A85FD9" w:rsidTr="00EB5A86">
        <w:tc>
          <w:tcPr>
            <w:tcW w:w="9639" w:type="dxa"/>
            <w:gridSpan w:val="2"/>
          </w:tcPr>
          <w:p w:rsidR="00427540" w:rsidRPr="007F2463" w:rsidRDefault="00D13206" w:rsidP="00E2589C">
            <w:pPr>
              <w:rPr>
                <w:sz w:val="22"/>
                <w:szCs w:val="22"/>
              </w:rPr>
            </w:pPr>
            <w:r w:rsidRPr="007F2463">
              <w:rPr>
                <w:sz w:val="22"/>
                <w:szCs w:val="22"/>
              </w:rPr>
              <w:t>R</w:t>
            </w:r>
            <w:r w:rsidR="007300E5" w:rsidRPr="007F2463">
              <w:rPr>
                <w:sz w:val="22"/>
                <w:szCs w:val="22"/>
              </w:rPr>
              <w:t>esponse to the threat of unexploded ordnance, including from improvised explo</w:t>
            </w:r>
            <w:r w:rsidR="000F0D42" w:rsidRPr="007F2463">
              <w:rPr>
                <w:sz w:val="22"/>
                <w:szCs w:val="22"/>
              </w:rPr>
              <w:t>sive devices,</w:t>
            </w:r>
            <w:r w:rsidRPr="007F2463">
              <w:rPr>
                <w:sz w:val="22"/>
                <w:szCs w:val="22"/>
              </w:rPr>
              <w:t xml:space="preserve"> is strengthened</w:t>
            </w:r>
            <w:r w:rsidR="000F0D42" w:rsidRPr="007F2463">
              <w:rPr>
                <w:sz w:val="22"/>
                <w:szCs w:val="22"/>
              </w:rPr>
              <w:t xml:space="preserve"> </w:t>
            </w:r>
            <w:r w:rsidR="007300E5" w:rsidRPr="007F2463">
              <w:rPr>
                <w:sz w:val="22"/>
                <w:szCs w:val="22"/>
              </w:rPr>
              <w:t xml:space="preserve">thereby enhancing community safety and helping to facilitate </w:t>
            </w:r>
            <w:r w:rsidR="00831B80" w:rsidRPr="007F2463">
              <w:rPr>
                <w:sz w:val="22"/>
                <w:szCs w:val="22"/>
              </w:rPr>
              <w:t xml:space="preserve">IDP </w:t>
            </w:r>
            <w:r w:rsidR="007300E5" w:rsidRPr="007F2463">
              <w:rPr>
                <w:sz w:val="22"/>
                <w:szCs w:val="22"/>
              </w:rPr>
              <w:t>return.</w:t>
            </w:r>
          </w:p>
        </w:tc>
      </w:tr>
      <w:tr w:rsidR="00427540" w:rsidRPr="00A85FD9" w:rsidTr="002D4065">
        <w:tc>
          <w:tcPr>
            <w:tcW w:w="9639" w:type="dxa"/>
            <w:gridSpan w:val="2"/>
            <w:shd w:val="clear" w:color="auto" w:fill="EBD9E2"/>
          </w:tcPr>
          <w:p w:rsidR="00427540" w:rsidRPr="007F2463" w:rsidRDefault="00427540" w:rsidP="00E2589C">
            <w:pPr>
              <w:rPr>
                <w:sz w:val="22"/>
                <w:szCs w:val="22"/>
              </w:rPr>
            </w:pPr>
            <w:r w:rsidRPr="007F2463">
              <w:rPr>
                <w:sz w:val="22"/>
                <w:szCs w:val="22"/>
              </w:rPr>
              <w:t>Engagement description</w:t>
            </w:r>
          </w:p>
        </w:tc>
      </w:tr>
      <w:tr w:rsidR="00427540" w:rsidRPr="00A85FD9" w:rsidTr="00EB5A86">
        <w:tc>
          <w:tcPr>
            <w:tcW w:w="9639" w:type="dxa"/>
            <w:gridSpan w:val="2"/>
          </w:tcPr>
          <w:p w:rsidR="000B61B7" w:rsidRPr="007F2463" w:rsidRDefault="007300E5" w:rsidP="00E2589C">
            <w:pPr>
              <w:rPr>
                <w:sz w:val="22"/>
                <w:szCs w:val="22"/>
              </w:rPr>
            </w:pPr>
            <w:r w:rsidRPr="007F2463">
              <w:rPr>
                <w:sz w:val="22"/>
                <w:szCs w:val="22"/>
              </w:rPr>
              <w:t>Th</w:t>
            </w:r>
            <w:r w:rsidR="003E2886" w:rsidRPr="007F2463">
              <w:rPr>
                <w:sz w:val="22"/>
                <w:szCs w:val="22"/>
              </w:rPr>
              <w:t>is</w:t>
            </w:r>
            <w:r w:rsidRPr="007F2463">
              <w:rPr>
                <w:sz w:val="22"/>
                <w:szCs w:val="22"/>
              </w:rPr>
              <w:t xml:space="preserve"> enga</w:t>
            </w:r>
            <w:r w:rsidR="006D1732" w:rsidRPr="007F2463">
              <w:rPr>
                <w:sz w:val="22"/>
                <w:szCs w:val="22"/>
              </w:rPr>
              <w:t>gement</w:t>
            </w:r>
            <w:r w:rsidR="003E2886" w:rsidRPr="007F2463">
              <w:rPr>
                <w:sz w:val="22"/>
                <w:szCs w:val="22"/>
              </w:rPr>
              <w:t>, provided through the UN Voluntary Trust Fund (UN VTF) for Assistance in Mine Action,</w:t>
            </w:r>
            <w:r w:rsidR="006D1732" w:rsidRPr="007F2463">
              <w:rPr>
                <w:sz w:val="22"/>
                <w:szCs w:val="22"/>
              </w:rPr>
              <w:t xml:space="preserve"> </w:t>
            </w:r>
            <w:r w:rsidR="003E2886" w:rsidRPr="007F2463">
              <w:rPr>
                <w:sz w:val="22"/>
                <w:szCs w:val="22"/>
              </w:rPr>
              <w:t xml:space="preserve">deepens </w:t>
            </w:r>
            <w:r w:rsidR="006D1732" w:rsidRPr="007F2463">
              <w:rPr>
                <w:sz w:val="22"/>
                <w:szCs w:val="22"/>
              </w:rPr>
              <w:t>D</w:t>
            </w:r>
            <w:r w:rsidR="003E2886" w:rsidRPr="007F2463">
              <w:rPr>
                <w:sz w:val="22"/>
                <w:szCs w:val="22"/>
              </w:rPr>
              <w:t>e</w:t>
            </w:r>
            <w:r w:rsidR="006D1732" w:rsidRPr="007F2463">
              <w:rPr>
                <w:sz w:val="22"/>
                <w:szCs w:val="22"/>
              </w:rPr>
              <w:t>n</w:t>
            </w:r>
            <w:r w:rsidR="003E2886" w:rsidRPr="007F2463">
              <w:rPr>
                <w:sz w:val="22"/>
                <w:szCs w:val="22"/>
              </w:rPr>
              <w:t xml:space="preserve">mark’s </w:t>
            </w:r>
            <w:r w:rsidR="006D1732" w:rsidRPr="007F2463">
              <w:rPr>
                <w:sz w:val="22"/>
                <w:szCs w:val="22"/>
              </w:rPr>
              <w:t>contribution to UNMAS’</w:t>
            </w:r>
            <w:r w:rsidR="00833DAC" w:rsidRPr="007F2463">
              <w:rPr>
                <w:sz w:val="22"/>
                <w:szCs w:val="22"/>
              </w:rPr>
              <w:t xml:space="preserve"> activities in Iraq. </w:t>
            </w:r>
            <w:r w:rsidR="000B61B7" w:rsidRPr="007F2463">
              <w:rPr>
                <w:sz w:val="22"/>
                <w:szCs w:val="22"/>
              </w:rPr>
              <w:t xml:space="preserve">In view of the immediate and foreseeable demands in Iraq and </w:t>
            </w:r>
            <w:r w:rsidR="00D80584" w:rsidRPr="007F2463">
              <w:rPr>
                <w:sz w:val="22"/>
                <w:szCs w:val="22"/>
              </w:rPr>
              <w:t xml:space="preserve">UNMAS’s </w:t>
            </w:r>
            <w:r w:rsidR="00CF28FB" w:rsidRPr="007F2463">
              <w:rPr>
                <w:sz w:val="22"/>
                <w:szCs w:val="22"/>
              </w:rPr>
              <w:t xml:space="preserve">ability to work closely with Iraqi authorities, </w:t>
            </w:r>
            <w:r w:rsidR="000F0D42" w:rsidRPr="007F2463">
              <w:rPr>
                <w:sz w:val="22"/>
                <w:szCs w:val="22"/>
              </w:rPr>
              <w:t>Danish support</w:t>
            </w:r>
            <w:r w:rsidR="00CF28FB" w:rsidRPr="007F2463">
              <w:rPr>
                <w:sz w:val="22"/>
                <w:szCs w:val="22"/>
              </w:rPr>
              <w:t xml:space="preserve"> will be earmarked as core support for UNMAS Iraq.</w:t>
            </w:r>
            <w:r w:rsidR="00D674B1" w:rsidRPr="007F2463">
              <w:rPr>
                <w:sz w:val="22"/>
                <w:szCs w:val="22"/>
              </w:rPr>
              <w:t xml:space="preserve"> </w:t>
            </w:r>
            <w:r w:rsidR="00D80584" w:rsidRPr="007F2463">
              <w:rPr>
                <w:sz w:val="22"/>
                <w:szCs w:val="22"/>
              </w:rPr>
              <w:t>The p</w:t>
            </w:r>
            <w:r w:rsidR="007802AC" w:rsidRPr="007F2463">
              <w:rPr>
                <w:sz w:val="22"/>
                <w:szCs w:val="22"/>
              </w:rPr>
              <w:t>ossibilit</w:t>
            </w:r>
            <w:r w:rsidR="00D80584" w:rsidRPr="007F2463">
              <w:rPr>
                <w:sz w:val="22"/>
                <w:szCs w:val="22"/>
              </w:rPr>
              <w:t>y</w:t>
            </w:r>
            <w:r w:rsidR="007802AC" w:rsidRPr="007F2463">
              <w:rPr>
                <w:sz w:val="22"/>
                <w:szCs w:val="22"/>
              </w:rPr>
              <w:t xml:space="preserve"> </w:t>
            </w:r>
            <w:r w:rsidR="00D80584" w:rsidRPr="007F2463">
              <w:rPr>
                <w:sz w:val="22"/>
                <w:szCs w:val="22"/>
              </w:rPr>
              <w:t xml:space="preserve">of </w:t>
            </w:r>
            <w:r w:rsidR="007802AC" w:rsidRPr="007F2463">
              <w:rPr>
                <w:sz w:val="22"/>
                <w:szCs w:val="22"/>
              </w:rPr>
              <w:t xml:space="preserve">extending </w:t>
            </w:r>
            <w:r w:rsidR="007A18CF" w:rsidRPr="007F2463">
              <w:rPr>
                <w:sz w:val="22"/>
                <w:szCs w:val="22"/>
              </w:rPr>
              <w:t xml:space="preserve">support to Syria </w:t>
            </w:r>
            <w:r w:rsidR="007802AC" w:rsidRPr="007F2463">
              <w:rPr>
                <w:sz w:val="22"/>
                <w:szCs w:val="22"/>
              </w:rPr>
              <w:t xml:space="preserve">will be assessed </w:t>
            </w:r>
            <w:r w:rsidR="00D80584" w:rsidRPr="007F2463">
              <w:rPr>
                <w:sz w:val="22"/>
                <w:szCs w:val="22"/>
              </w:rPr>
              <w:t xml:space="preserve">in </w:t>
            </w:r>
            <w:r w:rsidR="007802AC" w:rsidRPr="007F2463">
              <w:rPr>
                <w:sz w:val="22"/>
                <w:szCs w:val="22"/>
              </w:rPr>
              <w:t>the</w:t>
            </w:r>
            <w:r w:rsidR="003E2886" w:rsidRPr="007F2463">
              <w:rPr>
                <w:sz w:val="22"/>
                <w:szCs w:val="22"/>
              </w:rPr>
              <w:t xml:space="preserve"> 2017 MTR</w:t>
            </w:r>
            <w:r w:rsidR="00D80584" w:rsidRPr="007F2463">
              <w:rPr>
                <w:sz w:val="22"/>
                <w:szCs w:val="22"/>
              </w:rPr>
              <w:t xml:space="preserve"> as UNMAS’s strategy for Syria becomes more developed</w:t>
            </w:r>
            <w:r w:rsidR="003E2886" w:rsidRPr="007F2463">
              <w:rPr>
                <w:sz w:val="22"/>
                <w:szCs w:val="22"/>
              </w:rPr>
              <w:t>.</w:t>
            </w:r>
          </w:p>
          <w:p w:rsidR="00D80584" w:rsidRPr="007F2463" w:rsidRDefault="007802AC" w:rsidP="00E2589C">
            <w:pPr>
              <w:rPr>
                <w:sz w:val="22"/>
                <w:szCs w:val="22"/>
              </w:rPr>
            </w:pPr>
            <w:r w:rsidRPr="007F2463">
              <w:rPr>
                <w:sz w:val="22"/>
                <w:szCs w:val="22"/>
              </w:rPr>
              <w:t>Th</w:t>
            </w:r>
            <w:r w:rsidR="00D80584" w:rsidRPr="007F2463">
              <w:rPr>
                <w:sz w:val="22"/>
                <w:szCs w:val="22"/>
              </w:rPr>
              <w:t xml:space="preserve">is support addresses a critical impediment </w:t>
            </w:r>
            <w:r w:rsidR="006D68FC" w:rsidRPr="007F2463">
              <w:rPr>
                <w:sz w:val="22"/>
                <w:szCs w:val="22"/>
              </w:rPr>
              <w:t>to effective stabilisation</w:t>
            </w:r>
            <w:r w:rsidR="00D80584" w:rsidRPr="007F2463">
              <w:rPr>
                <w:sz w:val="22"/>
                <w:szCs w:val="22"/>
              </w:rPr>
              <w:t>:</w:t>
            </w:r>
            <w:r w:rsidR="006D68FC" w:rsidRPr="007F2463">
              <w:rPr>
                <w:sz w:val="22"/>
                <w:szCs w:val="22"/>
              </w:rPr>
              <w:t xml:space="preserve"> </w:t>
            </w:r>
            <w:r w:rsidR="008E0EC7" w:rsidRPr="007F2463">
              <w:rPr>
                <w:sz w:val="22"/>
                <w:szCs w:val="22"/>
              </w:rPr>
              <w:t xml:space="preserve">namely the </w:t>
            </w:r>
            <w:r w:rsidR="006D68FC" w:rsidRPr="007F2463">
              <w:rPr>
                <w:sz w:val="22"/>
                <w:szCs w:val="22"/>
              </w:rPr>
              <w:t>large amount of unexploded ordnance</w:t>
            </w:r>
            <w:r w:rsidR="00F24D7C" w:rsidRPr="007F2463">
              <w:rPr>
                <w:sz w:val="22"/>
                <w:szCs w:val="22"/>
              </w:rPr>
              <w:t>,</w:t>
            </w:r>
            <w:r w:rsidR="00833DAC" w:rsidRPr="007F2463">
              <w:rPr>
                <w:sz w:val="22"/>
                <w:szCs w:val="22"/>
              </w:rPr>
              <w:t xml:space="preserve"> in particular, improvised explosive devices (IEDs)</w:t>
            </w:r>
            <w:r w:rsidR="006D68FC" w:rsidRPr="007F2463">
              <w:rPr>
                <w:sz w:val="22"/>
                <w:szCs w:val="22"/>
              </w:rPr>
              <w:t xml:space="preserve"> </w:t>
            </w:r>
            <w:r w:rsidR="00D80584" w:rsidRPr="007F2463">
              <w:rPr>
                <w:sz w:val="22"/>
                <w:szCs w:val="22"/>
              </w:rPr>
              <w:t>left behind by retreating Da’esh forces</w:t>
            </w:r>
            <w:r w:rsidR="00EC4A24" w:rsidRPr="007F2463">
              <w:rPr>
                <w:sz w:val="22"/>
                <w:szCs w:val="22"/>
              </w:rPr>
              <w:t xml:space="preserve">. </w:t>
            </w:r>
            <w:r w:rsidR="00F24D7C" w:rsidRPr="007F2463">
              <w:rPr>
                <w:sz w:val="22"/>
                <w:szCs w:val="22"/>
              </w:rPr>
              <w:t xml:space="preserve">Whilst the </w:t>
            </w:r>
            <w:r w:rsidR="00D80584" w:rsidRPr="007F2463">
              <w:rPr>
                <w:sz w:val="22"/>
                <w:szCs w:val="22"/>
              </w:rPr>
              <w:t xml:space="preserve">full extent of </w:t>
            </w:r>
            <w:r w:rsidR="00F24D7C" w:rsidRPr="007F2463">
              <w:rPr>
                <w:sz w:val="22"/>
                <w:szCs w:val="22"/>
              </w:rPr>
              <w:t>demining the challenge remains unknown, i</w:t>
            </w:r>
            <w:r w:rsidR="00D80584" w:rsidRPr="007F2463">
              <w:rPr>
                <w:sz w:val="22"/>
                <w:szCs w:val="22"/>
              </w:rPr>
              <w:t xml:space="preserve">nter alia, there is a widespread concern that ISF advances in Fallujah and Mosul could require substantially more </w:t>
            </w:r>
            <w:r w:rsidR="00F24D7C" w:rsidRPr="007F2463">
              <w:rPr>
                <w:sz w:val="22"/>
                <w:szCs w:val="22"/>
              </w:rPr>
              <w:t xml:space="preserve">national and international civilian explosive ordinance disposal (EOD) </w:t>
            </w:r>
            <w:r w:rsidR="00D80584" w:rsidRPr="007F2463">
              <w:rPr>
                <w:sz w:val="22"/>
                <w:szCs w:val="22"/>
              </w:rPr>
              <w:t xml:space="preserve">capacity than is currently available. </w:t>
            </w:r>
          </w:p>
          <w:p w:rsidR="00F96FA9" w:rsidRPr="007F2463" w:rsidRDefault="00833DAC" w:rsidP="00E2589C">
            <w:pPr>
              <w:rPr>
                <w:sz w:val="22"/>
                <w:szCs w:val="22"/>
              </w:rPr>
            </w:pPr>
            <w:r w:rsidRPr="007F2463">
              <w:rPr>
                <w:sz w:val="22"/>
                <w:szCs w:val="22"/>
              </w:rPr>
              <w:t xml:space="preserve">Without concerted efforts to identify and clear ordnance from residential and </w:t>
            </w:r>
            <w:r w:rsidR="007802AC" w:rsidRPr="007F2463">
              <w:rPr>
                <w:sz w:val="22"/>
                <w:szCs w:val="22"/>
              </w:rPr>
              <w:t xml:space="preserve">administrative </w:t>
            </w:r>
            <w:r w:rsidRPr="007F2463">
              <w:rPr>
                <w:sz w:val="22"/>
                <w:szCs w:val="22"/>
              </w:rPr>
              <w:t xml:space="preserve">areas, </w:t>
            </w:r>
            <w:r w:rsidR="00F96FA9" w:rsidRPr="007F2463">
              <w:rPr>
                <w:sz w:val="22"/>
                <w:szCs w:val="22"/>
              </w:rPr>
              <w:t xml:space="preserve">critical stabilisation efforts </w:t>
            </w:r>
            <w:r w:rsidR="00D80584" w:rsidRPr="007F2463">
              <w:rPr>
                <w:sz w:val="22"/>
                <w:szCs w:val="22"/>
              </w:rPr>
              <w:t xml:space="preserve">cannot </w:t>
            </w:r>
            <w:r w:rsidR="00F96FA9" w:rsidRPr="007F2463">
              <w:rPr>
                <w:sz w:val="22"/>
                <w:szCs w:val="22"/>
              </w:rPr>
              <w:t xml:space="preserve">deliver </w:t>
            </w:r>
            <w:r w:rsidR="000D49C9" w:rsidRPr="007F2463">
              <w:rPr>
                <w:sz w:val="22"/>
                <w:szCs w:val="22"/>
              </w:rPr>
              <w:t xml:space="preserve">and </w:t>
            </w:r>
            <w:r w:rsidR="00F24D7C" w:rsidRPr="007F2463">
              <w:rPr>
                <w:sz w:val="22"/>
                <w:szCs w:val="22"/>
              </w:rPr>
              <w:t xml:space="preserve">IDPs </w:t>
            </w:r>
            <w:r w:rsidRPr="007F2463">
              <w:rPr>
                <w:sz w:val="22"/>
                <w:szCs w:val="22"/>
              </w:rPr>
              <w:t xml:space="preserve">will not be able to return to their homes </w:t>
            </w:r>
            <w:r w:rsidR="00D80584" w:rsidRPr="007F2463">
              <w:rPr>
                <w:sz w:val="22"/>
                <w:szCs w:val="22"/>
              </w:rPr>
              <w:t xml:space="preserve">without </w:t>
            </w:r>
            <w:r w:rsidRPr="007F2463">
              <w:rPr>
                <w:sz w:val="22"/>
                <w:szCs w:val="22"/>
              </w:rPr>
              <w:t xml:space="preserve">significant risks to their well-being. </w:t>
            </w:r>
            <w:r w:rsidR="00F24D7C" w:rsidRPr="007F2463">
              <w:rPr>
                <w:sz w:val="22"/>
                <w:szCs w:val="22"/>
              </w:rPr>
              <w:t>E</w:t>
            </w:r>
            <w:r w:rsidR="006337E6" w:rsidRPr="007F2463">
              <w:rPr>
                <w:sz w:val="22"/>
                <w:szCs w:val="22"/>
              </w:rPr>
              <w:t xml:space="preserve">vidence from </w:t>
            </w:r>
            <w:r w:rsidR="00F24D7C" w:rsidRPr="007F2463">
              <w:rPr>
                <w:sz w:val="22"/>
                <w:szCs w:val="22"/>
              </w:rPr>
              <w:t xml:space="preserve">Iraq and Syria demonstrates that, </w:t>
            </w:r>
            <w:r w:rsidR="006337E6" w:rsidRPr="007F2463">
              <w:rPr>
                <w:sz w:val="22"/>
                <w:szCs w:val="22"/>
              </w:rPr>
              <w:t xml:space="preserve">in the absence of qualified mine clearance operators, citizens attempt to remove devices themselves, often with serious consequences. </w:t>
            </w:r>
            <w:r w:rsidR="00F24D7C" w:rsidRPr="007F2463">
              <w:rPr>
                <w:sz w:val="22"/>
                <w:szCs w:val="22"/>
              </w:rPr>
              <w:t>In such a context, the current inability of Iraqi authorities to declare areas safe from contamination will effectively act as a brake on stabilisation efforts through the FFIS.</w:t>
            </w:r>
          </w:p>
          <w:p w:rsidR="00726317" w:rsidRPr="007F2463" w:rsidRDefault="006C3B48" w:rsidP="00E2589C">
            <w:pPr>
              <w:rPr>
                <w:sz w:val="22"/>
                <w:szCs w:val="22"/>
              </w:rPr>
            </w:pPr>
            <w:r w:rsidRPr="007F2463">
              <w:rPr>
                <w:sz w:val="22"/>
                <w:szCs w:val="22"/>
              </w:rPr>
              <w:t xml:space="preserve">UNMAS Iraq is currently building its capacity to </w:t>
            </w:r>
            <w:r w:rsidR="00D80584" w:rsidRPr="007F2463">
              <w:rPr>
                <w:sz w:val="22"/>
                <w:szCs w:val="22"/>
              </w:rPr>
              <w:t xml:space="preserve">implement a </w:t>
            </w:r>
            <w:r w:rsidRPr="007F2463">
              <w:rPr>
                <w:sz w:val="22"/>
                <w:szCs w:val="22"/>
              </w:rPr>
              <w:t>multi-year comprehensive programme response with aim</w:t>
            </w:r>
            <w:r w:rsidR="00D80584" w:rsidRPr="007F2463">
              <w:rPr>
                <w:sz w:val="22"/>
                <w:szCs w:val="22"/>
              </w:rPr>
              <w:t>s</w:t>
            </w:r>
            <w:r w:rsidRPr="007F2463">
              <w:rPr>
                <w:sz w:val="22"/>
                <w:szCs w:val="22"/>
              </w:rPr>
              <w:t xml:space="preserve"> </w:t>
            </w:r>
            <w:r w:rsidR="00D80584" w:rsidRPr="007F2463">
              <w:rPr>
                <w:sz w:val="22"/>
                <w:szCs w:val="22"/>
              </w:rPr>
              <w:t xml:space="preserve">to </w:t>
            </w:r>
            <w:r w:rsidRPr="007F2463">
              <w:rPr>
                <w:sz w:val="22"/>
                <w:szCs w:val="22"/>
              </w:rPr>
              <w:t>(a) reduc</w:t>
            </w:r>
            <w:r w:rsidR="00D80584" w:rsidRPr="007F2463">
              <w:rPr>
                <w:sz w:val="22"/>
                <w:szCs w:val="22"/>
              </w:rPr>
              <w:t>e</w:t>
            </w:r>
            <w:r w:rsidRPr="007F2463">
              <w:rPr>
                <w:sz w:val="22"/>
                <w:szCs w:val="22"/>
              </w:rPr>
              <w:t xml:space="preserve"> the risk of explosive hazards </w:t>
            </w:r>
            <w:r w:rsidR="00D80584" w:rsidRPr="007F2463">
              <w:rPr>
                <w:sz w:val="22"/>
                <w:szCs w:val="22"/>
              </w:rPr>
              <w:t xml:space="preserve">to </w:t>
            </w:r>
            <w:r w:rsidRPr="007F2463">
              <w:rPr>
                <w:sz w:val="22"/>
                <w:szCs w:val="22"/>
              </w:rPr>
              <w:t>support of stabilisation planning and delivery and (b) increas</w:t>
            </w:r>
            <w:r w:rsidR="00D80584" w:rsidRPr="007F2463">
              <w:rPr>
                <w:sz w:val="22"/>
                <w:szCs w:val="22"/>
              </w:rPr>
              <w:t>e</w:t>
            </w:r>
            <w:r w:rsidRPr="007F2463">
              <w:rPr>
                <w:sz w:val="22"/>
                <w:szCs w:val="22"/>
              </w:rPr>
              <w:t xml:space="preserve"> Iraqi capacit</w:t>
            </w:r>
            <w:r w:rsidR="00D80584" w:rsidRPr="007F2463">
              <w:rPr>
                <w:sz w:val="22"/>
                <w:szCs w:val="22"/>
              </w:rPr>
              <w:t>y</w:t>
            </w:r>
            <w:r w:rsidRPr="007F2463">
              <w:rPr>
                <w:sz w:val="22"/>
                <w:szCs w:val="22"/>
              </w:rPr>
              <w:t xml:space="preserve"> to manage the threat of explosive hazards. </w:t>
            </w:r>
            <w:r w:rsidR="00D80584" w:rsidRPr="007F2463">
              <w:rPr>
                <w:sz w:val="22"/>
                <w:szCs w:val="22"/>
              </w:rPr>
              <w:t xml:space="preserve">UNMAS will apply </w:t>
            </w:r>
            <w:r w:rsidR="00F64915" w:rsidRPr="007F2463">
              <w:rPr>
                <w:sz w:val="22"/>
                <w:szCs w:val="22"/>
              </w:rPr>
              <w:t>“blended” solutions utilis</w:t>
            </w:r>
            <w:r w:rsidR="00D80584" w:rsidRPr="007F2463">
              <w:rPr>
                <w:sz w:val="22"/>
                <w:szCs w:val="22"/>
              </w:rPr>
              <w:t>ing</w:t>
            </w:r>
            <w:r w:rsidR="00F64915" w:rsidRPr="007F2463">
              <w:rPr>
                <w:sz w:val="22"/>
                <w:szCs w:val="22"/>
              </w:rPr>
              <w:t xml:space="preserve"> contracted commercial and NGO capacities alongside developing Iraqi capacity.</w:t>
            </w:r>
            <w:r w:rsidR="00E2589C">
              <w:rPr>
                <w:sz w:val="22"/>
                <w:szCs w:val="22"/>
              </w:rPr>
              <w:t xml:space="preserve"> </w:t>
            </w:r>
            <w:r w:rsidR="00296F4D">
              <w:rPr>
                <w:sz w:val="22"/>
                <w:szCs w:val="22"/>
              </w:rPr>
              <w:t xml:space="preserve">UNMAS’ project documentation will develop further over the coming months and this engagement will be updated accordingly. </w:t>
            </w:r>
          </w:p>
        </w:tc>
      </w:tr>
      <w:tr w:rsidR="00427540" w:rsidRPr="00A85FD9" w:rsidTr="002D4065">
        <w:tc>
          <w:tcPr>
            <w:tcW w:w="9639" w:type="dxa"/>
            <w:gridSpan w:val="2"/>
            <w:shd w:val="clear" w:color="auto" w:fill="EBD9E2"/>
          </w:tcPr>
          <w:p w:rsidR="00427540" w:rsidRPr="007F2463" w:rsidRDefault="00427540" w:rsidP="00E2589C">
            <w:pPr>
              <w:rPr>
                <w:sz w:val="22"/>
                <w:szCs w:val="22"/>
              </w:rPr>
            </w:pPr>
            <w:r w:rsidRPr="007F2463">
              <w:rPr>
                <w:sz w:val="22"/>
                <w:szCs w:val="22"/>
              </w:rPr>
              <w:t>Previous support</w:t>
            </w:r>
          </w:p>
        </w:tc>
      </w:tr>
      <w:tr w:rsidR="00427540" w:rsidRPr="00A85FD9" w:rsidTr="00EB5A86">
        <w:tc>
          <w:tcPr>
            <w:tcW w:w="9639" w:type="dxa"/>
            <w:gridSpan w:val="2"/>
            <w:shd w:val="clear" w:color="auto" w:fill="auto"/>
          </w:tcPr>
          <w:p w:rsidR="00427540" w:rsidRPr="007F2463" w:rsidRDefault="007300E5" w:rsidP="00E2589C">
            <w:pPr>
              <w:rPr>
                <w:sz w:val="22"/>
                <w:szCs w:val="22"/>
              </w:rPr>
            </w:pPr>
            <w:r w:rsidRPr="007F2463">
              <w:rPr>
                <w:sz w:val="22"/>
                <w:szCs w:val="22"/>
              </w:rPr>
              <w:t xml:space="preserve">DKK 30 mill in </w:t>
            </w:r>
            <w:r w:rsidR="00F00399" w:rsidRPr="007F2463">
              <w:rPr>
                <w:sz w:val="22"/>
                <w:szCs w:val="22"/>
              </w:rPr>
              <w:t>2015-</w:t>
            </w:r>
            <w:r w:rsidRPr="007F2463">
              <w:rPr>
                <w:sz w:val="22"/>
                <w:szCs w:val="22"/>
              </w:rPr>
              <w:t xml:space="preserve">2016 </w:t>
            </w:r>
            <w:r w:rsidR="00F00399" w:rsidRPr="007F2463">
              <w:rPr>
                <w:sz w:val="22"/>
                <w:szCs w:val="22"/>
              </w:rPr>
              <w:t>as</w:t>
            </w:r>
            <w:r w:rsidRPr="007F2463">
              <w:rPr>
                <w:sz w:val="22"/>
                <w:szCs w:val="22"/>
              </w:rPr>
              <w:t xml:space="preserve"> core funding to UNMAS (utilised by UNMAS largely in Iraq and Syria)</w:t>
            </w:r>
          </w:p>
        </w:tc>
      </w:tr>
    </w:tbl>
    <w:p w:rsidR="00D50C5D" w:rsidRPr="00816FC2" w:rsidRDefault="00D50C5D" w:rsidP="00454D2E">
      <w:pPr>
        <w:pStyle w:val="Overskrift4"/>
        <w:numPr>
          <w:ilvl w:val="0"/>
          <w:numId w:val="41"/>
        </w:numPr>
      </w:pPr>
      <w:r w:rsidRPr="00816FC2">
        <w:t>Conventional Weapons Destruction Services in Ramadi (Sterling)</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2348D2" w:rsidRPr="00A85FD9" w:rsidTr="002D4065">
        <w:tc>
          <w:tcPr>
            <w:tcW w:w="9639" w:type="dxa"/>
            <w:gridSpan w:val="2"/>
            <w:shd w:val="clear" w:color="auto" w:fill="3E2C42"/>
          </w:tcPr>
          <w:p w:rsidR="002348D2" w:rsidRPr="00A85FD9" w:rsidRDefault="002348D2" w:rsidP="002348D2">
            <w:pPr>
              <w:rPr>
                <w:b/>
                <w:color w:val="FFFFFF" w:themeColor="background1"/>
                <w:sz w:val="22"/>
                <w:szCs w:val="22"/>
              </w:rPr>
            </w:pPr>
            <w:r w:rsidRPr="00A85FD9">
              <w:rPr>
                <w:b/>
                <w:color w:val="FFFFFF" w:themeColor="background1"/>
                <w:sz w:val="22"/>
                <w:szCs w:val="22"/>
              </w:rPr>
              <w:t>Overview</w:t>
            </w:r>
          </w:p>
        </w:tc>
      </w:tr>
      <w:tr w:rsidR="002348D2" w:rsidRPr="00A85FD9" w:rsidTr="002D4065">
        <w:tc>
          <w:tcPr>
            <w:tcW w:w="2694" w:type="dxa"/>
            <w:shd w:val="clear" w:color="auto" w:fill="EBD9E2"/>
          </w:tcPr>
          <w:p w:rsidR="002348D2" w:rsidRPr="00A85FD9" w:rsidRDefault="002348D2" w:rsidP="002348D2">
            <w:pPr>
              <w:rPr>
                <w:sz w:val="22"/>
                <w:szCs w:val="22"/>
              </w:rPr>
            </w:pPr>
            <w:r w:rsidRPr="00A85FD9">
              <w:rPr>
                <w:sz w:val="22"/>
                <w:szCs w:val="22"/>
              </w:rPr>
              <w:t>Implementing partner</w:t>
            </w:r>
          </w:p>
        </w:tc>
        <w:tc>
          <w:tcPr>
            <w:tcW w:w="6945" w:type="dxa"/>
          </w:tcPr>
          <w:p w:rsidR="002348D2" w:rsidRPr="00A85FD9" w:rsidRDefault="00DA4908" w:rsidP="002348D2">
            <w:pPr>
              <w:rPr>
                <w:sz w:val="22"/>
                <w:szCs w:val="22"/>
              </w:rPr>
            </w:pPr>
            <w:r w:rsidRPr="00A85FD9">
              <w:rPr>
                <w:sz w:val="22"/>
                <w:szCs w:val="22"/>
              </w:rPr>
              <w:t xml:space="preserve">Sterling International, through U.S. Department of State </w:t>
            </w:r>
          </w:p>
        </w:tc>
      </w:tr>
      <w:tr w:rsidR="002348D2" w:rsidRPr="00A85FD9" w:rsidTr="002D4065">
        <w:tc>
          <w:tcPr>
            <w:tcW w:w="2694" w:type="dxa"/>
            <w:shd w:val="clear" w:color="auto" w:fill="EBD9E2"/>
          </w:tcPr>
          <w:p w:rsidR="002348D2" w:rsidRPr="00A85FD9" w:rsidRDefault="002348D2" w:rsidP="002348D2">
            <w:pPr>
              <w:rPr>
                <w:sz w:val="22"/>
                <w:szCs w:val="22"/>
              </w:rPr>
            </w:pPr>
            <w:r w:rsidRPr="00A85FD9">
              <w:rPr>
                <w:sz w:val="22"/>
                <w:szCs w:val="22"/>
              </w:rPr>
              <w:t>Danish contribution</w:t>
            </w:r>
          </w:p>
        </w:tc>
        <w:tc>
          <w:tcPr>
            <w:tcW w:w="6945" w:type="dxa"/>
          </w:tcPr>
          <w:p w:rsidR="002348D2" w:rsidRPr="00A85FD9" w:rsidRDefault="009A1E8F" w:rsidP="002348D2">
            <w:pPr>
              <w:rPr>
                <w:sz w:val="22"/>
                <w:szCs w:val="22"/>
              </w:rPr>
            </w:pPr>
            <w:r w:rsidRPr="00A85FD9">
              <w:rPr>
                <w:sz w:val="22"/>
                <w:szCs w:val="22"/>
              </w:rPr>
              <w:t>6</w:t>
            </w:r>
            <w:r w:rsidR="00506702">
              <w:rPr>
                <w:sz w:val="22"/>
                <w:szCs w:val="22"/>
              </w:rPr>
              <w:t>.</w:t>
            </w:r>
            <w:r w:rsidRPr="00A85FD9">
              <w:rPr>
                <w:sz w:val="22"/>
                <w:szCs w:val="22"/>
              </w:rPr>
              <w:t>5 M DKK</w:t>
            </w:r>
          </w:p>
        </w:tc>
      </w:tr>
      <w:tr w:rsidR="002348D2" w:rsidRPr="00A85FD9" w:rsidTr="002D4065">
        <w:tc>
          <w:tcPr>
            <w:tcW w:w="2694" w:type="dxa"/>
            <w:shd w:val="clear" w:color="auto" w:fill="EBD9E2"/>
          </w:tcPr>
          <w:p w:rsidR="002348D2" w:rsidRPr="00A85FD9" w:rsidRDefault="002348D2" w:rsidP="002348D2">
            <w:pPr>
              <w:rPr>
                <w:sz w:val="22"/>
                <w:szCs w:val="22"/>
              </w:rPr>
            </w:pPr>
            <w:r w:rsidRPr="00A85FD9">
              <w:rPr>
                <w:sz w:val="22"/>
                <w:szCs w:val="22"/>
              </w:rPr>
              <w:t>Total budget</w:t>
            </w:r>
          </w:p>
        </w:tc>
        <w:tc>
          <w:tcPr>
            <w:tcW w:w="6945" w:type="dxa"/>
          </w:tcPr>
          <w:p w:rsidR="002348D2" w:rsidRPr="00A85FD9" w:rsidRDefault="00EE754F" w:rsidP="002348D2">
            <w:pPr>
              <w:rPr>
                <w:sz w:val="22"/>
                <w:szCs w:val="22"/>
              </w:rPr>
            </w:pPr>
            <w:r w:rsidRPr="00A85FD9">
              <w:rPr>
                <w:sz w:val="22"/>
                <w:szCs w:val="22"/>
              </w:rPr>
              <w:t>USD 20 million</w:t>
            </w:r>
          </w:p>
        </w:tc>
      </w:tr>
      <w:tr w:rsidR="002348D2" w:rsidRPr="00A85FD9" w:rsidTr="002D4065">
        <w:tc>
          <w:tcPr>
            <w:tcW w:w="2694" w:type="dxa"/>
            <w:shd w:val="clear" w:color="auto" w:fill="EBD9E2"/>
          </w:tcPr>
          <w:p w:rsidR="002348D2" w:rsidRPr="00A85FD9" w:rsidRDefault="002348D2" w:rsidP="002348D2">
            <w:pPr>
              <w:rPr>
                <w:sz w:val="22"/>
                <w:szCs w:val="22"/>
              </w:rPr>
            </w:pPr>
            <w:r w:rsidRPr="00A85FD9">
              <w:rPr>
                <w:sz w:val="22"/>
                <w:szCs w:val="22"/>
              </w:rPr>
              <w:t>Project period</w:t>
            </w:r>
          </w:p>
        </w:tc>
        <w:tc>
          <w:tcPr>
            <w:tcW w:w="6945" w:type="dxa"/>
          </w:tcPr>
          <w:p w:rsidR="002348D2" w:rsidRPr="00A85FD9" w:rsidRDefault="00DA4908" w:rsidP="002348D2">
            <w:pPr>
              <w:rPr>
                <w:sz w:val="22"/>
                <w:szCs w:val="22"/>
              </w:rPr>
            </w:pPr>
            <w:r w:rsidRPr="00A85FD9">
              <w:rPr>
                <w:sz w:val="22"/>
                <w:szCs w:val="22"/>
              </w:rPr>
              <w:t>2016</w:t>
            </w:r>
          </w:p>
        </w:tc>
      </w:tr>
      <w:tr w:rsidR="002348D2" w:rsidRPr="00A85FD9" w:rsidTr="002D4065">
        <w:tc>
          <w:tcPr>
            <w:tcW w:w="2694" w:type="dxa"/>
            <w:shd w:val="clear" w:color="auto" w:fill="EBD9E2"/>
          </w:tcPr>
          <w:p w:rsidR="002348D2" w:rsidRPr="00A85FD9" w:rsidRDefault="002348D2" w:rsidP="002348D2">
            <w:pPr>
              <w:rPr>
                <w:sz w:val="22"/>
                <w:szCs w:val="22"/>
              </w:rPr>
            </w:pPr>
            <w:r w:rsidRPr="00A85FD9">
              <w:rPr>
                <w:sz w:val="22"/>
                <w:szCs w:val="22"/>
              </w:rPr>
              <w:t>Other donors</w:t>
            </w:r>
          </w:p>
        </w:tc>
        <w:tc>
          <w:tcPr>
            <w:tcW w:w="6945" w:type="dxa"/>
          </w:tcPr>
          <w:p w:rsidR="002348D2" w:rsidRPr="00A85FD9" w:rsidRDefault="00DA4908" w:rsidP="002348D2">
            <w:pPr>
              <w:rPr>
                <w:sz w:val="22"/>
                <w:szCs w:val="22"/>
              </w:rPr>
            </w:pPr>
            <w:r w:rsidRPr="00A85FD9">
              <w:rPr>
                <w:sz w:val="22"/>
                <w:szCs w:val="22"/>
              </w:rPr>
              <w:t>United States</w:t>
            </w:r>
          </w:p>
        </w:tc>
      </w:tr>
      <w:tr w:rsidR="002348D2" w:rsidRPr="00A85FD9" w:rsidTr="002D4065">
        <w:tc>
          <w:tcPr>
            <w:tcW w:w="9639" w:type="dxa"/>
            <w:gridSpan w:val="2"/>
            <w:shd w:val="clear" w:color="auto" w:fill="EBD9E2"/>
          </w:tcPr>
          <w:p w:rsidR="002348D2" w:rsidRPr="00A85FD9" w:rsidRDefault="00F174C6" w:rsidP="002348D2">
            <w:pPr>
              <w:rPr>
                <w:sz w:val="22"/>
                <w:szCs w:val="22"/>
              </w:rPr>
            </w:pPr>
            <w:r w:rsidRPr="00A85FD9">
              <w:rPr>
                <w:sz w:val="22"/>
                <w:szCs w:val="22"/>
              </w:rPr>
              <w:t>O</w:t>
            </w:r>
            <w:r w:rsidR="002348D2" w:rsidRPr="00A85FD9">
              <w:rPr>
                <w:sz w:val="22"/>
                <w:szCs w:val="22"/>
              </w:rPr>
              <w:t>bjective (output to overall programme results framework)</w:t>
            </w:r>
          </w:p>
        </w:tc>
      </w:tr>
      <w:tr w:rsidR="002348D2" w:rsidRPr="00A85FD9" w:rsidTr="00EB5A86">
        <w:tc>
          <w:tcPr>
            <w:tcW w:w="9639" w:type="dxa"/>
            <w:gridSpan w:val="2"/>
          </w:tcPr>
          <w:p w:rsidR="002348D2" w:rsidRPr="00A85FD9" w:rsidRDefault="00D13206" w:rsidP="00E91B2B">
            <w:pPr>
              <w:rPr>
                <w:sz w:val="22"/>
                <w:szCs w:val="22"/>
              </w:rPr>
            </w:pPr>
            <w:r w:rsidRPr="00A85FD9">
              <w:rPr>
                <w:sz w:val="22"/>
                <w:szCs w:val="22"/>
              </w:rPr>
              <w:t>R</w:t>
            </w:r>
            <w:r w:rsidR="00AB728F" w:rsidRPr="00A85FD9">
              <w:rPr>
                <w:sz w:val="22"/>
                <w:szCs w:val="22"/>
              </w:rPr>
              <w:t>esponse to the threat of unexploded ordnance, including from improvised explosive devices</w:t>
            </w:r>
            <w:r w:rsidRPr="00A85FD9">
              <w:rPr>
                <w:sz w:val="22"/>
                <w:szCs w:val="22"/>
              </w:rPr>
              <w:t>,</w:t>
            </w:r>
            <w:r w:rsidR="00AB728F" w:rsidRPr="00A85FD9">
              <w:rPr>
                <w:sz w:val="22"/>
                <w:szCs w:val="22"/>
              </w:rPr>
              <w:t xml:space="preserve"> in Iraq </w:t>
            </w:r>
            <w:r w:rsidRPr="00A85FD9">
              <w:rPr>
                <w:sz w:val="22"/>
                <w:szCs w:val="22"/>
              </w:rPr>
              <w:t xml:space="preserve">is strengthened </w:t>
            </w:r>
            <w:r w:rsidR="00AB728F" w:rsidRPr="00A85FD9">
              <w:rPr>
                <w:sz w:val="22"/>
                <w:szCs w:val="22"/>
              </w:rPr>
              <w:t>thereby enhancing community safety and helping to facilitate the return of displaced people to their homes</w:t>
            </w:r>
          </w:p>
        </w:tc>
      </w:tr>
      <w:tr w:rsidR="002348D2" w:rsidRPr="00A85FD9" w:rsidTr="002D4065">
        <w:tc>
          <w:tcPr>
            <w:tcW w:w="9639" w:type="dxa"/>
            <w:gridSpan w:val="2"/>
            <w:shd w:val="clear" w:color="auto" w:fill="EBD9E2"/>
          </w:tcPr>
          <w:p w:rsidR="002348D2" w:rsidRPr="00A85FD9" w:rsidRDefault="002348D2" w:rsidP="002348D2">
            <w:pPr>
              <w:rPr>
                <w:sz w:val="22"/>
                <w:szCs w:val="22"/>
              </w:rPr>
            </w:pPr>
            <w:r w:rsidRPr="00A85FD9">
              <w:rPr>
                <w:sz w:val="22"/>
                <w:szCs w:val="22"/>
              </w:rPr>
              <w:t>Engagement description</w:t>
            </w:r>
          </w:p>
        </w:tc>
      </w:tr>
      <w:tr w:rsidR="002348D2" w:rsidRPr="00A85FD9" w:rsidTr="00EB5A86">
        <w:tc>
          <w:tcPr>
            <w:tcW w:w="9639" w:type="dxa"/>
            <w:gridSpan w:val="2"/>
          </w:tcPr>
          <w:p w:rsidR="008E5D2C" w:rsidRPr="00A85FD9" w:rsidRDefault="00AF3AF7" w:rsidP="002F6950">
            <w:pPr>
              <w:rPr>
                <w:sz w:val="22"/>
                <w:szCs w:val="22"/>
              </w:rPr>
            </w:pPr>
            <w:r w:rsidRPr="00A85FD9">
              <w:rPr>
                <w:sz w:val="22"/>
                <w:szCs w:val="22"/>
              </w:rPr>
              <w:t>This</w:t>
            </w:r>
            <w:r w:rsidR="00005658" w:rsidRPr="00A85FD9">
              <w:rPr>
                <w:sz w:val="22"/>
                <w:szCs w:val="22"/>
              </w:rPr>
              <w:t xml:space="preserve"> engagement will provide a </w:t>
            </w:r>
            <w:r w:rsidR="00A342DB" w:rsidRPr="00A85FD9">
              <w:rPr>
                <w:sz w:val="22"/>
                <w:szCs w:val="22"/>
              </w:rPr>
              <w:t xml:space="preserve">one-off </w:t>
            </w:r>
            <w:r w:rsidR="00005658" w:rsidRPr="00A85FD9">
              <w:rPr>
                <w:sz w:val="22"/>
                <w:szCs w:val="22"/>
              </w:rPr>
              <w:t xml:space="preserve">Danish contribution to joint donor funding </w:t>
            </w:r>
            <w:r w:rsidR="00E91B2B" w:rsidRPr="00A85FD9">
              <w:rPr>
                <w:sz w:val="22"/>
                <w:szCs w:val="22"/>
              </w:rPr>
              <w:t xml:space="preserve">under a delegated cooperation agreement </w:t>
            </w:r>
            <w:r w:rsidR="00005658" w:rsidRPr="00A85FD9">
              <w:rPr>
                <w:sz w:val="22"/>
                <w:szCs w:val="22"/>
              </w:rPr>
              <w:t xml:space="preserve">with the </w:t>
            </w:r>
            <w:r w:rsidR="00662F1D" w:rsidRPr="00A85FD9">
              <w:rPr>
                <w:sz w:val="22"/>
                <w:szCs w:val="22"/>
              </w:rPr>
              <w:t>US</w:t>
            </w:r>
            <w:r w:rsidR="002F6950" w:rsidRPr="00A85FD9">
              <w:rPr>
                <w:sz w:val="22"/>
                <w:szCs w:val="22"/>
              </w:rPr>
              <w:t xml:space="preserve"> Department of State</w:t>
            </w:r>
            <w:r w:rsidR="00662F1D" w:rsidRPr="00A85FD9">
              <w:rPr>
                <w:sz w:val="22"/>
                <w:szCs w:val="22"/>
              </w:rPr>
              <w:t xml:space="preserve"> </w:t>
            </w:r>
            <w:r w:rsidR="002F6950" w:rsidRPr="00A85FD9">
              <w:rPr>
                <w:sz w:val="22"/>
                <w:szCs w:val="22"/>
              </w:rPr>
              <w:t xml:space="preserve">(DoS) </w:t>
            </w:r>
            <w:r w:rsidR="00005658" w:rsidRPr="00A85FD9">
              <w:rPr>
                <w:sz w:val="22"/>
                <w:szCs w:val="22"/>
              </w:rPr>
              <w:t xml:space="preserve">to </w:t>
            </w:r>
            <w:r w:rsidR="00DC06AF" w:rsidRPr="00A85FD9">
              <w:rPr>
                <w:sz w:val="22"/>
                <w:szCs w:val="22"/>
              </w:rPr>
              <w:t xml:space="preserve">help meet immediate mine clearance </w:t>
            </w:r>
            <w:r w:rsidR="00323761" w:rsidRPr="00A85FD9">
              <w:rPr>
                <w:sz w:val="22"/>
                <w:szCs w:val="22"/>
              </w:rPr>
              <w:t xml:space="preserve">needs </w:t>
            </w:r>
            <w:r w:rsidR="00DC06AF" w:rsidRPr="00A85FD9">
              <w:rPr>
                <w:sz w:val="22"/>
                <w:szCs w:val="22"/>
              </w:rPr>
              <w:t>in Ramadi</w:t>
            </w:r>
            <w:r w:rsidR="006413CC" w:rsidRPr="00A85FD9">
              <w:rPr>
                <w:sz w:val="22"/>
                <w:szCs w:val="22"/>
              </w:rPr>
              <w:t>.</w:t>
            </w:r>
            <w:r w:rsidR="008070D2" w:rsidRPr="00A85FD9">
              <w:rPr>
                <w:sz w:val="22"/>
                <w:szCs w:val="22"/>
              </w:rPr>
              <w:t xml:space="preserve"> Da’esh </w:t>
            </w:r>
            <w:r w:rsidR="006413CC" w:rsidRPr="00A85FD9">
              <w:rPr>
                <w:sz w:val="22"/>
                <w:szCs w:val="22"/>
              </w:rPr>
              <w:t xml:space="preserve">withdrew from Ramadi </w:t>
            </w:r>
            <w:r w:rsidR="00DC06AF" w:rsidRPr="00A85FD9">
              <w:rPr>
                <w:sz w:val="22"/>
                <w:szCs w:val="22"/>
              </w:rPr>
              <w:t>in January 2016</w:t>
            </w:r>
            <w:r w:rsidR="006413CC" w:rsidRPr="00A85FD9">
              <w:rPr>
                <w:sz w:val="22"/>
                <w:szCs w:val="22"/>
              </w:rPr>
              <w:t xml:space="preserve"> after </w:t>
            </w:r>
            <w:r w:rsidR="00E31566" w:rsidRPr="00A85FD9">
              <w:rPr>
                <w:sz w:val="22"/>
                <w:szCs w:val="22"/>
              </w:rPr>
              <w:t>plac</w:t>
            </w:r>
            <w:r w:rsidR="006413CC" w:rsidRPr="00A85FD9">
              <w:rPr>
                <w:sz w:val="22"/>
                <w:szCs w:val="22"/>
              </w:rPr>
              <w:t xml:space="preserve">ing a </w:t>
            </w:r>
            <w:r w:rsidR="00AD3C4E" w:rsidRPr="00A85FD9">
              <w:rPr>
                <w:sz w:val="22"/>
                <w:szCs w:val="22"/>
              </w:rPr>
              <w:t xml:space="preserve">substantial numbers of IEDs </w:t>
            </w:r>
            <w:r w:rsidR="00E31566" w:rsidRPr="00A85FD9">
              <w:rPr>
                <w:sz w:val="22"/>
                <w:szCs w:val="22"/>
              </w:rPr>
              <w:t>in strategic and residential area</w:t>
            </w:r>
            <w:r w:rsidR="00A342DB" w:rsidRPr="00A85FD9">
              <w:rPr>
                <w:sz w:val="22"/>
                <w:szCs w:val="22"/>
              </w:rPr>
              <w:t>s</w:t>
            </w:r>
            <w:r w:rsidR="006413CC" w:rsidRPr="00A85FD9">
              <w:rPr>
                <w:sz w:val="22"/>
                <w:szCs w:val="22"/>
              </w:rPr>
              <w:t xml:space="preserve">; these </w:t>
            </w:r>
            <w:r w:rsidR="00AD3C4E" w:rsidRPr="00A85FD9">
              <w:rPr>
                <w:sz w:val="22"/>
                <w:szCs w:val="22"/>
              </w:rPr>
              <w:t xml:space="preserve">now delay the restoration of critical infrastructure and return of citizens. </w:t>
            </w:r>
          </w:p>
          <w:p w:rsidR="002F6950" w:rsidRPr="00A85FD9" w:rsidRDefault="008E5D2C" w:rsidP="002F6950">
            <w:pPr>
              <w:rPr>
                <w:sz w:val="22"/>
                <w:szCs w:val="22"/>
              </w:rPr>
            </w:pPr>
            <w:r w:rsidRPr="00A85FD9">
              <w:rPr>
                <w:sz w:val="22"/>
                <w:szCs w:val="22"/>
              </w:rPr>
              <w:t xml:space="preserve">In view of </w:t>
            </w:r>
            <w:r w:rsidR="00F93FFB" w:rsidRPr="00A85FD9">
              <w:rPr>
                <w:sz w:val="22"/>
                <w:szCs w:val="22"/>
              </w:rPr>
              <w:t xml:space="preserve">limited </w:t>
            </w:r>
            <w:r w:rsidR="00BD3E76" w:rsidRPr="00A85FD9">
              <w:rPr>
                <w:sz w:val="22"/>
                <w:szCs w:val="22"/>
              </w:rPr>
              <w:t xml:space="preserve">civilian </w:t>
            </w:r>
            <w:r w:rsidR="00F93FFB" w:rsidRPr="00A85FD9">
              <w:rPr>
                <w:sz w:val="22"/>
                <w:szCs w:val="22"/>
              </w:rPr>
              <w:t xml:space="preserve">capacity </w:t>
            </w:r>
            <w:r w:rsidR="00580B93" w:rsidRPr="00A85FD9">
              <w:rPr>
                <w:sz w:val="22"/>
                <w:szCs w:val="22"/>
              </w:rPr>
              <w:t>for search and clearance</w:t>
            </w:r>
            <w:r w:rsidR="00BD3E76" w:rsidRPr="00A85FD9">
              <w:rPr>
                <w:sz w:val="22"/>
                <w:szCs w:val="22"/>
              </w:rPr>
              <w:t xml:space="preserve"> </w:t>
            </w:r>
            <w:r w:rsidR="00AD3C4E" w:rsidRPr="00A85FD9">
              <w:rPr>
                <w:sz w:val="22"/>
                <w:szCs w:val="22"/>
              </w:rPr>
              <w:t>US</w:t>
            </w:r>
            <w:r w:rsidR="002F6950" w:rsidRPr="00A85FD9">
              <w:rPr>
                <w:sz w:val="22"/>
                <w:szCs w:val="22"/>
              </w:rPr>
              <w:t xml:space="preserve"> </w:t>
            </w:r>
            <w:r w:rsidR="00AD3C4E" w:rsidRPr="00A85FD9">
              <w:rPr>
                <w:sz w:val="22"/>
                <w:szCs w:val="22"/>
              </w:rPr>
              <w:t>Do</w:t>
            </w:r>
            <w:r w:rsidR="002F6950" w:rsidRPr="00A85FD9">
              <w:rPr>
                <w:sz w:val="22"/>
                <w:szCs w:val="22"/>
              </w:rPr>
              <w:t xml:space="preserve">S </w:t>
            </w:r>
            <w:r w:rsidR="00AD3C4E" w:rsidRPr="00A85FD9">
              <w:rPr>
                <w:sz w:val="22"/>
                <w:szCs w:val="22"/>
              </w:rPr>
              <w:t xml:space="preserve">has contracted Sterling International to provide IED destruction (IEDD) experts to survey </w:t>
            </w:r>
            <w:r w:rsidR="00087208" w:rsidRPr="00A85FD9">
              <w:rPr>
                <w:sz w:val="22"/>
                <w:szCs w:val="22"/>
              </w:rPr>
              <w:t xml:space="preserve">and clear </w:t>
            </w:r>
            <w:r w:rsidR="00AD3C4E" w:rsidRPr="00A85FD9">
              <w:rPr>
                <w:sz w:val="22"/>
                <w:szCs w:val="22"/>
              </w:rPr>
              <w:t>critical infrastructure and habitable sections of Ramadi</w:t>
            </w:r>
            <w:r w:rsidR="00A342DB" w:rsidRPr="00A85FD9">
              <w:rPr>
                <w:sz w:val="22"/>
                <w:szCs w:val="22"/>
              </w:rPr>
              <w:t>. This aims to</w:t>
            </w:r>
            <w:r w:rsidR="00AD3C4E" w:rsidRPr="00A85FD9">
              <w:rPr>
                <w:sz w:val="22"/>
                <w:szCs w:val="22"/>
              </w:rPr>
              <w:t xml:space="preserve"> enable </w:t>
            </w:r>
            <w:r w:rsidR="00A342DB" w:rsidRPr="00A85FD9">
              <w:rPr>
                <w:sz w:val="22"/>
                <w:szCs w:val="22"/>
              </w:rPr>
              <w:t xml:space="preserve">the </w:t>
            </w:r>
            <w:r w:rsidR="00AD3C4E" w:rsidRPr="00A85FD9">
              <w:rPr>
                <w:sz w:val="22"/>
                <w:szCs w:val="22"/>
              </w:rPr>
              <w:t>timely inspection</w:t>
            </w:r>
            <w:r w:rsidR="00A342DB" w:rsidRPr="00A85FD9">
              <w:rPr>
                <w:sz w:val="22"/>
                <w:szCs w:val="22"/>
              </w:rPr>
              <w:t xml:space="preserve">, </w:t>
            </w:r>
            <w:r w:rsidR="00AD3C4E" w:rsidRPr="00A85FD9">
              <w:rPr>
                <w:sz w:val="22"/>
                <w:szCs w:val="22"/>
              </w:rPr>
              <w:t>repair of facilities and saf</w:t>
            </w:r>
            <w:r w:rsidR="00584F2D" w:rsidRPr="00A85FD9">
              <w:rPr>
                <w:sz w:val="22"/>
                <w:szCs w:val="22"/>
              </w:rPr>
              <w:t xml:space="preserve">e return of </w:t>
            </w:r>
            <w:r w:rsidR="00662F1D" w:rsidRPr="00A85FD9">
              <w:rPr>
                <w:sz w:val="22"/>
                <w:szCs w:val="22"/>
              </w:rPr>
              <w:t xml:space="preserve">those </w:t>
            </w:r>
            <w:r w:rsidR="00584F2D" w:rsidRPr="00A85FD9">
              <w:rPr>
                <w:sz w:val="22"/>
                <w:szCs w:val="22"/>
              </w:rPr>
              <w:t xml:space="preserve">displaced. </w:t>
            </w:r>
            <w:r w:rsidR="00662F1D" w:rsidRPr="00A85FD9">
              <w:rPr>
                <w:sz w:val="22"/>
                <w:szCs w:val="22"/>
              </w:rPr>
              <w:t>S</w:t>
            </w:r>
            <w:r w:rsidR="00087208" w:rsidRPr="00A85FD9">
              <w:rPr>
                <w:sz w:val="22"/>
                <w:szCs w:val="22"/>
              </w:rPr>
              <w:t xml:space="preserve">earch and clearance operations will </w:t>
            </w:r>
            <w:r w:rsidR="00A342DB" w:rsidRPr="00A85FD9">
              <w:rPr>
                <w:sz w:val="22"/>
                <w:szCs w:val="22"/>
              </w:rPr>
              <w:t xml:space="preserve">take place over </w:t>
            </w:r>
            <w:r w:rsidR="00087208" w:rsidRPr="00A85FD9">
              <w:rPr>
                <w:sz w:val="22"/>
                <w:szCs w:val="22"/>
              </w:rPr>
              <w:t>44 weeks in 2016 using two 20</w:t>
            </w:r>
            <w:r w:rsidR="00662F1D" w:rsidRPr="00A85FD9">
              <w:rPr>
                <w:sz w:val="22"/>
                <w:szCs w:val="22"/>
              </w:rPr>
              <w:t>-</w:t>
            </w:r>
            <w:r w:rsidR="00087208" w:rsidRPr="00A85FD9">
              <w:rPr>
                <w:sz w:val="22"/>
                <w:szCs w:val="22"/>
              </w:rPr>
              <w:t xml:space="preserve">person teams. </w:t>
            </w:r>
            <w:r w:rsidR="00A342DB" w:rsidRPr="00A85FD9">
              <w:rPr>
                <w:sz w:val="22"/>
                <w:szCs w:val="22"/>
              </w:rPr>
              <w:t>I</w:t>
            </w:r>
            <w:r w:rsidR="00E934BA" w:rsidRPr="00A85FD9">
              <w:rPr>
                <w:sz w:val="22"/>
                <w:szCs w:val="22"/>
              </w:rPr>
              <w:t xml:space="preserve">t is expected that </w:t>
            </w:r>
            <w:r w:rsidR="00E934BA" w:rsidRPr="00A85FD9">
              <w:rPr>
                <w:sz w:val="22"/>
                <w:szCs w:val="22"/>
              </w:rPr>
              <w:lastRenderedPageBreak/>
              <w:t xml:space="preserve">around </w:t>
            </w:r>
            <w:r w:rsidR="00087208" w:rsidRPr="00A85FD9">
              <w:rPr>
                <w:sz w:val="22"/>
                <w:szCs w:val="22"/>
              </w:rPr>
              <w:t xml:space="preserve">20 residential buildings per day </w:t>
            </w:r>
            <w:r w:rsidR="00E934BA" w:rsidRPr="00A85FD9">
              <w:rPr>
                <w:sz w:val="22"/>
                <w:szCs w:val="22"/>
              </w:rPr>
              <w:t xml:space="preserve">can be cleared, </w:t>
            </w:r>
            <w:r w:rsidR="00087208" w:rsidRPr="00A85FD9">
              <w:rPr>
                <w:sz w:val="22"/>
                <w:szCs w:val="22"/>
              </w:rPr>
              <w:t>depending upon degree of contamination (assuming an AXO/IED in 10-20% of buildings surveyed).</w:t>
            </w:r>
            <w:r w:rsidR="00EE754F" w:rsidRPr="00A85FD9">
              <w:rPr>
                <w:sz w:val="22"/>
                <w:szCs w:val="22"/>
              </w:rPr>
              <w:t xml:space="preserve"> </w:t>
            </w:r>
            <w:r w:rsidR="00EF63DB" w:rsidRPr="00A85FD9">
              <w:rPr>
                <w:sz w:val="22"/>
                <w:szCs w:val="22"/>
              </w:rPr>
              <w:t xml:space="preserve">Sterling’s </w:t>
            </w:r>
            <w:r w:rsidR="00AD3C4E" w:rsidRPr="00A85FD9">
              <w:rPr>
                <w:sz w:val="22"/>
                <w:szCs w:val="22"/>
              </w:rPr>
              <w:t xml:space="preserve">will </w:t>
            </w:r>
            <w:r w:rsidR="00EF63DB" w:rsidRPr="00A85FD9">
              <w:rPr>
                <w:sz w:val="22"/>
                <w:szCs w:val="22"/>
              </w:rPr>
              <w:t xml:space="preserve">also </w:t>
            </w:r>
            <w:r w:rsidR="00AD3C4E" w:rsidRPr="00A85FD9">
              <w:rPr>
                <w:sz w:val="22"/>
                <w:szCs w:val="22"/>
              </w:rPr>
              <w:t xml:space="preserve">train Iraqi </w:t>
            </w:r>
            <w:r w:rsidR="00A342DB" w:rsidRPr="00A85FD9">
              <w:rPr>
                <w:sz w:val="22"/>
                <w:szCs w:val="22"/>
              </w:rPr>
              <w:t>teams t</w:t>
            </w:r>
            <w:r w:rsidR="00AD3C4E" w:rsidRPr="00A85FD9">
              <w:rPr>
                <w:sz w:val="22"/>
                <w:szCs w:val="22"/>
              </w:rPr>
              <w:t>o address complex IEDs</w:t>
            </w:r>
            <w:r w:rsidR="00580B93" w:rsidRPr="00A85FD9">
              <w:rPr>
                <w:sz w:val="22"/>
                <w:szCs w:val="22"/>
              </w:rPr>
              <w:t xml:space="preserve">. </w:t>
            </w:r>
          </w:p>
          <w:p w:rsidR="00A342DB" w:rsidRPr="00A85FD9" w:rsidRDefault="00A342DB" w:rsidP="00A342DB">
            <w:pPr>
              <w:rPr>
                <w:sz w:val="22"/>
                <w:szCs w:val="22"/>
              </w:rPr>
            </w:pPr>
            <w:r w:rsidRPr="00A85FD9">
              <w:rPr>
                <w:sz w:val="22"/>
                <w:szCs w:val="22"/>
              </w:rPr>
              <w:t>W</w:t>
            </w:r>
            <w:r w:rsidR="00AD3C4E" w:rsidRPr="00A85FD9">
              <w:rPr>
                <w:sz w:val="22"/>
                <w:szCs w:val="22"/>
              </w:rPr>
              <w:t xml:space="preserve">ork </w:t>
            </w:r>
            <w:r w:rsidR="00EF63DB" w:rsidRPr="00A85FD9">
              <w:rPr>
                <w:sz w:val="22"/>
                <w:szCs w:val="22"/>
              </w:rPr>
              <w:t xml:space="preserve">will </w:t>
            </w:r>
            <w:r w:rsidR="00AD3C4E" w:rsidRPr="00A85FD9">
              <w:rPr>
                <w:sz w:val="22"/>
                <w:szCs w:val="22"/>
              </w:rPr>
              <w:t xml:space="preserve">be </w:t>
            </w:r>
            <w:r w:rsidRPr="00A85FD9">
              <w:rPr>
                <w:sz w:val="22"/>
                <w:szCs w:val="22"/>
              </w:rPr>
              <w:t xml:space="preserve">carried out </w:t>
            </w:r>
            <w:r w:rsidR="00AD3C4E" w:rsidRPr="00A85FD9">
              <w:rPr>
                <w:sz w:val="22"/>
                <w:szCs w:val="22"/>
              </w:rPr>
              <w:t>in accordance</w:t>
            </w:r>
            <w:r w:rsidR="00EF63DB" w:rsidRPr="00A85FD9">
              <w:rPr>
                <w:sz w:val="22"/>
                <w:szCs w:val="22"/>
              </w:rPr>
              <w:t xml:space="preserve"> with IMAS standards </w:t>
            </w:r>
            <w:r w:rsidR="00AD3C4E" w:rsidRPr="00A85FD9">
              <w:rPr>
                <w:sz w:val="22"/>
                <w:szCs w:val="22"/>
              </w:rPr>
              <w:t>(</w:t>
            </w:r>
            <w:r w:rsidR="00EF63DB" w:rsidRPr="00A85FD9">
              <w:rPr>
                <w:sz w:val="22"/>
                <w:szCs w:val="22"/>
              </w:rPr>
              <w:t xml:space="preserve">and </w:t>
            </w:r>
            <w:r w:rsidR="00AD3C4E" w:rsidRPr="00A85FD9">
              <w:rPr>
                <w:sz w:val="22"/>
                <w:szCs w:val="22"/>
              </w:rPr>
              <w:t xml:space="preserve">NATO STANAGS in the case of IEDs), </w:t>
            </w:r>
            <w:r w:rsidR="00EF63DB" w:rsidRPr="00A85FD9">
              <w:rPr>
                <w:sz w:val="22"/>
                <w:szCs w:val="22"/>
              </w:rPr>
              <w:t xml:space="preserve">will </w:t>
            </w:r>
            <w:r w:rsidR="00AD3C4E" w:rsidRPr="00A85FD9">
              <w:rPr>
                <w:sz w:val="22"/>
                <w:szCs w:val="22"/>
              </w:rPr>
              <w:t>meet host nation requirements and</w:t>
            </w:r>
            <w:r w:rsidR="00EF63DB" w:rsidRPr="00A85FD9">
              <w:rPr>
                <w:sz w:val="22"/>
                <w:szCs w:val="22"/>
              </w:rPr>
              <w:t xml:space="preserve"> </w:t>
            </w:r>
            <w:r w:rsidR="00AD3C4E" w:rsidRPr="00A85FD9">
              <w:rPr>
                <w:sz w:val="22"/>
                <w:szCs w:val="22"/>
              </w:rPr>
              <w:t>conform to international best practice. This includes coordination with other mine action agencies, including UNMAS</w:t>
            </w:r>
            <w:r w:rsidRPr="00A85FD9">
              <w:rPr>
                <w:sz w:val="22"/>
                <w:szCs w:val="22"/>
              </w:rPr>
              <w:t xml:space="preserve">, </w:t>
            </w:r>
            <w:r w:rsidR="00AD3C4E" w:rsidRPr="00A85FD9">
              <w:rPr>
                <w:sz w:val="22"/>
                <w:szCs w:val="22"/>
              </w:rPr>
              <w:t xml:space="preserve">the </w:t>
            </w:r>
            <w:r w:rsidRPr="00A85FD9">
              <w:rPr>
                <w:sz w:val="22"/>
                <w:szCs w:val="22"/>
              </w:rPr>
              <w:t>GoI</w:t>
            </w:r>
            <w:r w:rsidR="00AD3C4E" w:rsidRPr="00A85FD9">
              <w:rPr>
                <w:sz w:val="22"/>
                <w:szCs w:val="22"/>
              </w:rPr>
              <w:t>, UNDP</w:t>
            </w:r>
            <w:r w:rsidRPr="00A85FD9">
              <w:rPr>
                <w:sz w:val="22"/>
                <w:szCs w:val="22"/>
              </w:rPr>
              <w:t>’s</w:t>
            </w:r>
            <w:r w:rsidR="003C6EBD" w:rsidRPr="00A85FD9">
              <w:rPr>
                <w:sz w:val="22"/>
                <w:szCs w:val="22"/>
              </w:rPr>
              <w:t xml:space="preserve"> FFIS</w:t>
            </w:r>
            <w:r w:rsidR="00AD3C4E" w:rsidRPr="00A85FD9">
              <w:rPr>
                <w:sz w:val="22"/>
                <w:szCs w:val="22"/>
              </w:rPr>
              <w:t xml:space="preserve"> and the Iraqi NOC </w:t>
            </w:r>
            <w:r w:rsidRPr="00A85FD9">
              <w:rPr>
                <w:sz w:val="22"/>
                <w:szCs w:val="22"/>
              </w:rPr>
              <w:t xml:space="preserve">to identify </w:t>
            </w:r>
            <w:r w:rsidR="00AD3C4E" w:rsidRPr="00A85FD9">
              <w:rPr>
                <w:sz w:val="22"/>
                <w:szCs w:val="22"/>
              </w:rPr>
              <w:t xml:space="preserve">critical infrastructure priorities. </w:t>
            </w:r>
            <w:r w:rsidR="003C6EBD" w:rsidRPr="00A85FD9">
              <w:rPr>
                <w:sz w:val="22"/>
                <w:szCs w:val="22"/>
              </w:rPr>
              <w:t>The use of commercial contractors is in line with UNMAS’ current strategy for “blended solutions” to the twin demands of clearance and capacity development in Iraq</w:t>
            </w:r>
            <w:r w:rsidR="00323761" w:rsidRPr="00A85FD9">
              <w:rPr>
                <w:sz w:val="22"/>
                <w:szCs w:val="22"/>
              </w:rPr>
              <w:t>. Sterling is one of two main contractors that are present in Iraq and able to provide services within a short timeframe.</w:t>
            </w:r>
            <w:r w:rsidRPr="00A85FD9">
              <w:rPr>
                <w:sz w:val="22"/>
                <w:szCs w:val="22"/>
              </w:rPr>
              <w:t xml:space="preserve"> </w:t>
            </w:r>
          </w:p>
          <w:p w:rsidR="00325970" w:rsidRPr="00A85FD9" w:rsidRDefault="00146C4F" w:rsidP="00146C4F">
            <w:pPr>
              <w:rPr>
                <w:sz w:val="22"/>
                <w:szCs w:val="22"/>
              </w:rPr>
            </w:pPr>
            <w:r w:rsidRPr="00A85FD9">
              <w:rPr>
                <w:sz w:val="22"/>
                <w:szCs w:val="22"/>
              </w:rPr>
              <w:t xml:space="preserve">This </w:t>
            </w:r>
            <w:r w:rsidR="00325970" w:rsidRPr="00A85FD9">
              <w:rPr>
                <w:sz w:val="22"/>
                <w:szCs w:val="22"/>
              </w:rPr>
              <w:t xml:space="preserve">will be </w:t>
            </w:r>
            <w:r w:rsidR="002C5AB1" w:rsidRPr="00A85FD9">
              <w:rPr>
                <w:sz w:val="22"/>
                <w:szCs w:val="22"/>
              </w:rPr>
              <w:t xml:space="preserve">a one-off contribution </w:t>
            </w:r>
            <w:r w:rsidR="00325970" w:rsidRPr="00A85FD9">
              <w:rPr>
                <w:sz w:val="22"/>
                <w:szCs w:val="22"/>
              </w:rPr>
              <w:t>provided through a delegated cooperation arrangement with the U.S. Department of State</w:t>
            </w:r>
            <w:r w:rsidR="00CE421E" w:rsidRPr="00A85FD9">
              <w:rPr>
                <w:sz w:val="22"/>
                <w:szCs w:val="22"/>
              </w:rPr>
              <w:t xml:space="preserve"> on the basis of </w:t>
            </w:r>
            <w:r w:rsidRPr="00A85FD9">
              <w:rPr>
                <w:sz w:val="22"/>
                <w:szCs w:val="22"/>
              </w:rPr>
              <w:t xml:space="preserve">the </w:t>
            </w:r>
            <w:r w:rsidR="00CE421E" w:rsidRPr="00A85FD9">
              <w:rPr>
                <w:sz w:val="22"/>
                <w:szCs w:val="22"/>
              </w:rPr>
              <w:t xml:space="preserve">project documentation provided by Sterling and a task Order from the Department of State. This provides a general overview of the project </w:t>
            </w:r>
            <w:r w:rsidR="00584F2D" w:rsidRPr="00A85FD9">
              <w:rPr>
                <w:sz w:val="22"/>
                <w:szCs w:val="22"/>
              </w:rPr>
              <w:t xml:space="preserve">but needs strengthening in terms of its results framework and budget clarity. These aspects will be pursued further in dialogue with the </w:t>
            </w:r>
            <w:r w:rsidRPr="00A85FD9">
              <w:rPr>
                <w:sz w:val="22"/>
                <w:szCs w:val="22"/>
              </w:rPr>
              <w:t>U.S.</w:t>
            </w:r>
            <w:r w:rsidR="00584F2D" w:rsidRPr="00A85FD9">
              <w:rPr>
                <w:sz w:val="22"/>
                <w:szCs w:val="22"/>
              </w:rPr>
              <w:t>.</w:t>
            </w:r>
            <w:r w:rsidR="00CE421E" w:rsidRPr="00A85FD9">
              <w:rPr>
                <w:sz w:val="22"/>
                <w:szCs w:val="22"/>
              </w:rPr>
              <w:t xml:space="preserve"> </w:t>
            </w:r>
            <w:r w:rsidR="002C5AB1" w:rsidRPr="00A85FD9">
              <w:rPr>
                <w:sz w:val="22"/>
                <w:szCs w:val="22"/>
              </w:rPr>
              <w:t>The engagement is expected to be complete by the end of 2016.</w:t>
            </w:r>
          </w:p>
        </w:tc>
      </w:tr>
      <w:tr w:rsidR="002348D2" w:rsidRPr="00A85FD9" w:rsidTr="002D4065">
        <w:tc>
          <w:tcPr>
            <w:tcW w:w="9639" w:type="dxa"/>
            <w:gridSpan w:val="2"/>
            <w:shd w:val="clear" w:color="auto" w:fill="EBD9E2"/>
          </w:tcPr>
          <w:p w:rsidR="002348D2" w:rsidRPr="00A85FD9" w:rsidRDefault="002348D2" w:rsidP="002348D2">
            <w:pPr>
              <w:rPr>
                <w:sz w:val="22"/>
                <w:szCs w:val="22"/>
              </w:rPr>
            </w:pPr>
            <w:r w:rsidRPr="00A85FD9">
              <w:rPr>
                <w:sz w:val="22"/>
                <w:szCs w:val="22"/>
              </w:rPr>
              <w:lastRenderedPageBreak/>
              <w:t>Previous support</w:t>
            </w:r>
          </w:p>
        </w:tc>
      </w:tr>
      <w:tr w:rsidR="002348D2" w:rsidRPr="00A85FD9" w:rsidTr="00EB5A86">
        <w:tc>
          <w:tcPr>
            <w:tcW w:w="9639" w:type="dxa"/>
            <w:gridSpan w:val="2"/>
            <w:shd w:val="clear" w:color="auto" w:fill="auto"/>
          </w:tcPr>
          <w:p w:rsidR="002348D2" w:rsidRPr="00A85FD9" w:rsidRDefault="00AB728F" w:rsidP="002348D2">
            <w:pPr>
              <w:rPr>
                <w:sz w:val="22"/>
                <w:szCs w:val="22"/>
              </w:rPr>
            </w:pPr>
            <w:r w:rsidRPr="00A85FD9">
              <w:rPr>
                <w:sz w:val="22"/>
                <w:szCs w:val="22"/>
              </w:rPr>
              <w:t>None</w:t>
            </w:r>
          </w:p>
        </w:tc>
      </w:tr>
    </w:tbl>
    <w:p w:rsidR="0012383F" w:rsidRPr="00816FC2" w:rsidRDefault="008F142D" w:rsidP="0080400C">
      <w:pPr>
        <w:pStyle w:val="Overskrift2"/>
      </w:pPr>
      <w:bookmarkStart w:id="46" w:name="_Toc452641851"/>
      <w:bookmarkStart w:id="47" w:name="_Toc452641913"/>
      <w:bookmarkStart w:id="48" w:name="_Toc323740995"/>
      <w:bookmarkStart w:id="49" w:name="_Toc332370520"/>
      <w:bookmarkEnd w:id="46"/>
      <w:bookmarkEnd w:id="47"/>
      <w:r w:rsidRPr="00816FC2">
        <w:t xml:space="preserve">TP3: Community </w:t>
      </w:r>
      <w:r w:rsidR="00384B1D" w:rsidRPr="00816FC2">
        <w:t xml:space="preserve">Security </w:t>
      </w:r>
      <w:r w:rsidRPr="00816FC2">
        <w:t>and G</w:t>
      </w:r>
      <w:r w:rsidR="0012383F" w:rsidRPr="00816FC2">
        <w:t>overnance</w:t>
      </w:r>
      <w:bookmarkEnd w:id="48"/>
      <w:bookmarkEnd w:id="49"/>
    </w:p>
    <w:p w:rsidR="00AF2855" w:rsidRPr="00816FC2" w:rsidRDefault="00AF2855" w:rsidP="008770FD">
      <w:pPr>
        <w:pStyle w:val="Overskrift3"/>
      </w:pPr>
      <w:bookmarkStart w:id="50" w:name="_Toc323740997"/>
      <w:r w:rsidRPr="00816FC2">
        <w:t>Thematic objectives</w:t>
      </w:r>
      <w:bookmarkEnd w:id="50"/>
    </w:p>
    <w:p w:rsidR="00F70BEF" w:rsidRPr="00F70BEF" w:rsidRDefault="000E6FDD" w:rsidP="00F70BEF">
      <w:pPr>
        <w:spacing w:after="0"/>
        <w:rPr>
          <w:i/>
        </w:rPr>
      </w:pPr>
      <w:r w:rsidRPr="00816FC2">
        <w:t xml:space="preserve">The thematic objective relating to community </w:t>
      </w:r>
      <w:r w:rsidR="00384B1D" w:rsidRPr="00816FC2">
        <w:t xml:space="preserve">security </w:t>
      </w:r>
      <w:r w:rsidRPr="00816FC2">
        <w:t>and governance is</w:t>
      </w:r>
      <w:r w:rsidR="00104C3A">
        <w:t>:</w:t>
      </w:r>
      <w:r w:rsidRPr="00816FC2">
        <w:t xml:space="preserve"> </w:t>
      </w:r>
      <w:r w:rsidR="00BA6431" w:rsidRPr="007F2463">
        <w:rPr>
          <w:i/>
        </w:rPr>
        <w:t xml:space="preserve">Community security strengthened and inclusive </w:t>
      </w:r>
      <w:r w:rsidR="00F70BEF" w:rsidRPr="007F2463">
        <w:rPr>
          <w:i/>
        </w:rPr>
        <w:t>governance promoted by moderate actors in Syria and the GoI in Iraq.</w:t>
      </w:r>
    </w:p>
    <w:p w:rsidR="0015239F" w:rsidRDefault="0015239F" w:rsidP="0080400C"/>
    <w:p w:rsidR="007D6F1B" w:rsidRPr="00816FC2" w:rsidRDefault="00A20816" w:rsidP="0080400C">
      <w:r w:rsidRPr="00816FC2">
        <w:t>Weak rule of law in Iraq and the complete breakdown of order in Syria renders support for community s</w:t>
      </w:r>
      <w:r w:rsidR="0008140C" w:rsidRPr="00816FC2">
        <w:t xml:space="preserve">ecurity </w:t>
      </w:r>
      <w:r w:rsidRPr="00816FC2">
        <w:t xml:space="preserve">and governance initiatives necessary. </w:t>
      </w:r>
      <w:r w:rsidR="00882652" w:rsidRPr="00816FC2">
        <w:t xml:space="preserve">In the current context, these are considered high priorities, as without basic safety in place, people may be displaced from their communities. Equally, </w:t>
      </w:r>
      <w:r w:rsidR="00384B1D" w:rsidRPr="00816FC2">
        <w:t xml:space="preserve">security </w:t>
      </w:r>
      <w:r w:rsidR="00882652" w:rsidRPr="00816FC2">
        <w:t xml:space="preserve">and access to justice are </w:t>
      </w:r>
      <w:r w:rsidR="00F00399">
        <w:t>central</w:t>
      </w:r>
      <w:r w:rsidR="00F00399" w:rsidRPr="00816FC2">
        <w:t xml:space="preserve"> </w:t>
      </w:r>
      <w:r w:rsidR="00882652" w:rsidRPr="00816FC2">
        <w:t>to ensuring the return of those displaced to their communities.</w:t>
      </w:r>
    </w:p>
    <w:p w:rsidR="00882652" w:rsidRPr="00816FC2" w:rsidRDefault="00882652" w:rsidP="00AF2855">
      <w:r w:rsidRPr="00816FC2">
        <w:t xml:space="preserve">Through this Programme, Denmark will reinforce security and justice mechanisms that challenge those advanced by Salafist armed groups such as JaN in Syria, bolster local communities’ abilities to respond to crises and, support </w:t>
      </w:r>
      <w:r w:rsidR="00587A5D" w:rsidRPr="00816FC2">
        <w:t xml:space="preserve">reform processes and </w:t>
      </w:r>
      <w:r w:rsidRPr="00816FC2">
        <w:t>good governance in Iraq’s s</w:t>
      </w:r>
      <w:r w:rsidR="000E6FDD" w:rsidRPr="00816FC2">
        <w:t>ecurity sector thereby reinforcing</w:t>
      </w:r>
      <w:r w:rsidRPr="00816FC2">
        <w:t xml:space="preserve"> the legitimacy of the Iraqi state. </w:t>
      </w:r>
      <w:r w:rsidR="008F142D" w:rsidRPr="00816FC2">
        <w:t xml:space="preserve">Ensuring a minimum degree of community safety is thus directly linked to the resilience of people and communities, to preventing further displacement, and providing a counterweight to extremist rhetoric. </w:t>
      </w:r>
      <w:bookmarkStart w:id="51" w:name="_Toc323740998"/>
    </w:p>
    <w:p w:rsidR="0012383F" w:rsidRPr="00816FC2" w:rsidRDefault="0012383F" w:rsidP="008770FD">
      <w:pPr>
        <w:pStyle w:val="Overskrift3"/>
      </w:pPr>
      <w:r w:rsidRPr="00816FC2">
        <w:t>Theory of change</w:t>
      </w:r>
      <w:bookmarkEnd w:id="51"/>
    </w:p>
    <w:tbl>
      <w:tblPr>
        <w:tblStyle w:val="Tabel-Gitter"/>
        <w:tblW w:w="9668"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4A0" w:firstRow="1" w:lastRow="0" w:firstColumn="1" w:lastColumn="0" w:noHBand="0" w:noVBand="1"/>
      </w:tblPr>
      <w:tblGrid>
        <w:gridCol w:w="4707"/>
        <w:gridCol w:w="2410"/>
        <w:gridCol w:w="2551"/>
      </w:tblGrid>
      <w:tr w:rsidR="00882652" w:rsidRPr="00816FC2" w:rsidTr="002D4065">
        <w:tc>
          <w:tcPr>
            <w:tcW w:w="9668" w:type="dxa"/>
            <w:gridSpan w:val="3"/>
            <w:tcBorders>
              <w:top w:val="single" w:sz="4" w:space="0" w:color="3E2C42"/>
              <w:left w:val="single" w:sz="4" w:space="0" w:color="3E2C42"/>
              <w:bottom w:val="single" w:sz="4" w:space="0" w:color="3E2C42"/>
              <w:right w:val="single" w:sz="4" w:space="0" w:color="3E2C42"/>
            </w:tcBorders>
            <w:shd w:val="clear" w:color="auto" w:fill="3E2C42"/>
          </w:tcPr>
          <w:p w:rsidR="00882652" w:rsidRPr="00816FC2" w:rsidRDefault="00882652" w:rsidP="00A63554">
            <w:pPr>
              <w:jc w:val="center"/>
              <w:rPr>
                <w:b/>
                <w:bCs/>
                <w:sz w:val="22"/>
                <w:szCs w:val="22"/>
              </w:rPr>
            </w:pPr>
            <w:r w:rsidRPr="00816FC2">
              <w:rPr>
                <w:b/>
                <w:bCs/>
                <w:color w:val="FFFFFF" w:themeColor="background1"/>
                <w:sz w:val="22"/>
                <w:szCs w:val="22"/>
              </w:rPr>
              <w:t xml:space="preserve">TP 3 Theory of Change </w:t>
            </w:r>
            <w:r w:rsidRPr="00816FC2">
              <w:rPr>
                <w:b/>
                <w:bCs/>
                <w:color w:val="FFFFFF" w:themeColor="background1"/>
                <w:sz w:val="22"/>
                <w:szCs w:val="22"/>
              </w:rPr>
              <w:br/>
              <w:t>Community S</w:t>
            </w:r>
            <w:r w:rsidR="00A63554">
              <w:rPr>
                <w:b/>
                <w:bCs/>
                <w:color w:val="FFFFFF" w:themeColor="background1"/>
                <w:sz w:val="22"/>
                <w:szCs w:val="22"/>
              </w:rPr>
              <w:t xml:space="preserve">ecurity </w:t>
            </w:r>
            <w:r w:rsidRPr="00816FC2">
              <w:rPr>
                <w:b/>
                <w:bCs/>
                <w:color w:val="FFFFFF" w:themeColor="background1"/>
                <w:sz w:val="22"/>
                <w:szCs w:val="22"/>
              </w:rPr>
              <w:t>and Governance</w:t>
            </w:r>
          </w:p>
        </w:tc>
      </w:tr>
      <w:tr w:rsidR="00882652" w:rsidRPr="00816FC2" w:rsidTr="002D4065">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r w:rsidRPr="00816FC2">
              <w:rPr>
                <w:sz w:val="22"/>
                <w:szCs w:val="22"/>
              </w:rPr>
              <w:t>IF</w:t>
            </w:r>
          </w:p>
        </w:tc>
        <w:tc>
          <w:tcPr>
            <w:tcW w:w="2410"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r w:rsidRPr="00816FC2">
              <w:rPr>
                <w:sz w:val="22"/>
                <w:szCs w:val="22"/>
              </w:rPr>
              <w:t>Results</w:t>
            </w: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r w:rsidRPr="00816FC2">
              <w:rPr>
                <w:sz w:val="22"/>
                <w:szCs w:val="22"/>
              </w:rPr>
              <w:t>Engagement</w:t>
            </w:r>
          </w:p>
        </w:tc>
      </w:tr>
      <w:tr w:rsidR="00882652" w:rsidRPr="00816FC2" w:rsidTr="002D4065">
        <w:tc>
          <w:tcPr>
            <w:tcW w:w="4707" w:type="dxa"/>
            <w:tcBorders>
              <w:top w:val="single" w:sz="4" w:space="0" w:color="3E2C42"/>
              <w:left w:val="single" w:sz="4" w:space="0" w:color="3E2C42"/>
              <w:bottom w:val="single" w:sz="4" w:space="0" w:color="3E2C42"/>
              <w:right w:val="single" w:sz="4" w:space="0" w:color="3E2C42"/>
            </w:tcBorders>
          </w:tcPr>
          <w:p w:rsidR="00882652" w:rsidRPr="00816FC2" w:rsidRDefault="00882652" w:rsidP="0080400C">
            <w:pPr>
              <w:rPr>
                <w:sz w:val="22"/>
                <w:szCs w:val="22"/>
              </w:rPr>
            </w:pPr>
            <w:r w:rsidRPr="00816FC2">
              <w:rPr>
                <w:sz w:val="22"/>
                <w:szCs w:val="22"/>
              </w:rPr>
              <w:t>We improve the opportunity for Syrians in opposition-controlled areas to experience increasingly effective security services and initiatives that improve communities’ access to justice and civilian policing through non-extremist institutions</w:t>
            </w:r>
            <w:r w:rsidR="00FF32FC" w:rsidRPr="00816FC2">
              <w:rPr>
                <w:sz w:val="22"/>
                <w:szCs w:val="22"/>
              </w:rPr>
              <w:t>.</w:t>
            </w:r>
          </w:p>
        </w:tc>
        <w:tc>
          <w:tcPr>
            <w:tcW w:w="2410" w:type="dxa"/>
            <w:tcBorders>
              <w:top w:val="single" w:sz="4" w:space="0" w:color="3E2C42"/>
              <w:left w:val="single" w:sz="4" w:space="0" w:color="3E2C42"/>
              <w:bottom w:val="single" w:sz="4" w:space="0" w:color="3E2C42"/>
              <w:right w:val="single" w:sz="4" w:space="0" w:color="3E2C42"/>
            </w:tcBorders>
          </w:tcPr>
          <w:p w:rsidR="00882652" w:rsidRPr="00816FC2" w:rsidRDefault="00882652" w:rsidP="0080400C">
            <w:pPr>
              <w:rPr>
                <w:sz w:val="22"/>
                <w:szCs w:val="22"/>
              </w:rPr>
            </w:pPr>
            <w:r w:rsidRPr="00816FC2">
              <w:rPr>
                <w:b/>
                <w:sz w:val="22"/>
                <w:szCs w:val="22"/>
              </w:rPr>
              <w:t xml:space="preserve">Intermediate outcome 3.1 </w:t>
            </w:r>
            <w:r w:rsidRPr="00816FC2">
              <w:rPr>
                <w:sz w:val="22"/>
                <w:szCs w:val="22"/>
              </w:rPr>
              <w:t xml:space="preserve">(short and medium term) </w:t>
            </w:r>
            <w:r w:rsidRPr="00816FC2">
              <w:rPr>
                <w:sz w:val="22"/>
                <w:szCs w:val="22"/>
              </w:rPr>
              <w:br/>
            </w:r>
          </w:p>
        </w:tc>
        <w:tc>
          <w:tcPr>
            <w:tcW w:w="2551" w:type="dxa"/>
            <w:tcBorders>
              <w:top w:val="single" w:sz="4" w:space="0" w:color="3E2C42"/>
              <w:left w:val="single" w:sz="4" w:space="0" w:color="3E2C42"/>
              <w:bottom w:val="single" w:sz="4" w:space="0" w:color="3E2C42"/>
              <w:right w:val="single" w:sz="4" w:space="0" w:color="3E2C42"/>
            </w:tcBorders>
          </w:tcPr>
          <w:p w:rsidR="00882652" w:rsidRPr="00816FC2" w:rsidRDefault="00882652" w:rsidP="0080400C">
            <w:pPr>
              <w:rPr>
                <w:sz w:val="22"/>
                <w:szCs w:val="22"/>
              </w:rPr>
            </w:pPr>
            <w:r w:rsidRPr="00816FC2">
              <w:rPr>
                <w:sz w:val="22"/>
                <w:szCs w:val="22"/>
              </w:rPr>
              <w:t xml:space="preserve">Access to Justice and Community Security (AJACS) </w:t>
            </w:r>
            <w:r w:rsidR="00BA69C1">
              <w:rPr>
                <w:sz w:val="22"/>
                <w:szCs w:val="22"/>
              </w:rPr>
              <w:t>[</w:t>
            </w:r>
            <w:r w:rsidR="006535C6">
              <w:rPr>
                <w:sz w:val="22"/>
                <w:szCs w:val="22"/>
              </w:rPr>
              <w:t>Possibly SSR in Ira</w:t>
            </w:r>
            <w:r w:rsidR="00BA69C1">
              <w:rPr>
                <w:sz w:val="22"/>
                <w:szCs w:val="22"/>
              </w:rPr>
              <w:t>q]</w:t>
            </w:r>
          </w:p>
        </w:tc>
      </w:tr>
      <w:tr w:rsidR="00882652" w:rsidRPr="00816FC2" w:rsidTr="002D4065">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FD08FA" w:rsidP="0080400C">
            <w:pPr>
              <w:rPr>
                <w:sz w:val="22"/>
                <w:szCs w:val="22"/>
              </w:rPr>
            </w:pPr>
            <w:r w:rsidRPr="00816FC2">
              <w:rPr>
                <w:sz w:val="22"/>
                <w:szCs w:val="22"/>
              </w:rPr>
              <w:t>A</w:t>
            </w:r>
            <w:r w:rsidR="00882652" w:rsidRPr="00816FC2">
              <w:rPr>
                <w:sz w:val="22"/>
                <w:szCs w:val="22"/>
              </w:rPr>
              <w:t>nd</w:t>
            </w:r>
          </w:p>
        </w:tc>
        <w:tc>
          <w:tcPr>
            <w:tcW w:w="2410"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p>
        </w:tc>
      </w:tr>
      <w:tr w:rsidR="00882652" w:rsidRPr="00816FC2" w:rsidTr="009A2005">
        <w:trPr>
          <w:trHeight w:val="892"/>
        </w:trPr>
        <w:tc>
          <w:tcPr>
            <w:tcW w:w="4707"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882652" w:rsidRPr="00816FC2" w:rsidRDefault="00882652" w:rsidP="0080400C">
            <w:pPr>
              <w:rPr>
                <w:i/>
                <w:sz w:val="22"/>
                <w:szCs w:val="22"/>
              </w:rPr>
            </w:pPr>
            <w:r w:rsidRPr="00816FC2">
              <w:rPr>
                <w:sz w:val="22"/>
                <w:szCs w:val="22"/>
              </w:rPr>
              <w:t>We support local resilience mechanisms enabling communities to effectively organise, respond to, and recover from crises</w:t>
            </w:r>
            <w:r w:rsidR="00FF32FC" w:rsidRPr="00816FC2">
              <w:rPr>
                <w:sz w:val="22"/>
                <w:szCs w:val="22"/>
              </w:rPr>
              <w:t>.</w:t>
            </w:r>
          </w:p>
        </w:tc>
        <w:tc>
          <w:tcPr>
            <w:tcW w:w="2410"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882652" w:rsidRPr="00816FC2" w:rsidRDefault="00882652" w:rsidP="0080400C">
            <w:pPr>
              <w:rPr>
                <w:sz w:val="22"/>
                <w:szCs w:val="22"/>
              </w:rPr>
            </w:pPr>
            <w:r w:rsidRPr="00816FC2">
              <w:rPr>
                <w:sz w:val="22"/>
                <w:szCs w:val="22"/>
              </w:rPr>
              <w:t>Intermediate outcome 3.2</w:t>
            </w:r>
          </w:p>
          <w:p w:rsidR="00882652" w:rsidRPr="00816FC2" w:rsidRDefault="00882652" w:rsidP="0080400C">
            <w:pPr>
              <w:rPr>
                <w:i/>
                <w:sz w:val="22"/>
                <w:szCs w:val="22"/>
              </w:rPr>
            </w:pPr>
            <w:r w:rsidRPr="00816FC2">
              <w:rPr>
                <w:sz w:val="22"/>
                <w:szCs w:val="22"/>
              </w:rPr>
              <w:t>(short and medium term)</w:t>
            </w:r>
          </w:p>
        </w:tc>
        <w:tc>
          <w:tcPr>
            <w:tcW w:w="2551" w:type="dxa"/>
            <w:tcBorders>
              <w:top w:val="single" w:sz="4" w:space="0" w:color="3E2C42"/>
              <w:left w:val="single" w:sz="4" w:space="0" w:color="3E2C42"/>
              <w:bottom w:val="single" w:sz="4" w:space="0" w:color="3E2C42"/>
              <w:right w:val="single" w:sz="4" w:space="0" w:color="3E2C42"/>
            </w:tcBorders>
            <w:shd w:val="clear" w:color="auto" w:fill="FFFFFF" w:themeFill="background1"/>
          </w:tcPr>
          <w:p w:rsidR="00882652" w:rsidRPr="00816FC2" w:rsidRDefault="00882652" w:rsidP="0080400C">
            <w:pPr>
              <w:rPr>
                <w:i/>
                <w:sz w:val="22"/>
                <w:szCs w:val="22"/>
              </w:rPr>
            </w:pPr>
            <w:r w:rsidRPr="00816FC2">
              <w:rPr>
                <w:sz w:val="22"/>
                <w:szCs w:val="22"/>
              </w:rPr>
              <w:t>Syria Civil Defence</w:t>
            </w:r>
          </w:p>
        </w:tc>
      </w:tr>
      <w:tr w:rsidR="00882652" w:rsidRPr="00816FC2" w:rsidTr="002D4065">
        <w:tc>
          <w:tcPr>
            <w:tcW w:w="4707"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r w:rsidRPr="00816FC2">
              <w:rPr>
                <w:sz w:val="22"/>
                <w:szCs w:val="22"/>
              </w:rPr>
              <w:t>THEN</w:t>
            </w:r>
          </w:p>
        </w:tc>
        <w:tc>
          <w:tcPr>
            <w:tcW w:w="2410"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p>
        </w:tc>
        <w:tc>
          <w:tcPr>
            <w:tcW w:w="2551" w:type="dxa"/>
            <w:tcBorders>
              <w:top w:val="single" w:sz="4" w:space="0" w:color="3E2C42"/>
              <w:left w:val="single" w:sz="4" w:space="0" w:color="3E2C42"/>
              <w:bottom w:val="single" w:sz="4" w:space="0" w:color="3E2C42"/>
              <w:right w:val="single" w:sz="4" w:space="0" w:color="3E2C42"/>
            </w:tcBorders>
            <w:shd w:val="clear" w:color="auto" w:fill="EBD9E2"/>
          </w:tcPr>
          <w:p w:rsidR="00882652" w:rsidRPr="00816FC2" w:rsidRDefault="00882652" w:rsidP="0080400C">
            <w:pPr>
              <w:rPr>
                <w:sz w:val="22"/>
                <w:szCs w:val="22"/>
              </w:rPr>
            </w:pPr>
          </w:p>
        </w:tc>
      </w:tr>
      <w:tr w:rsidR="00882652" w:rsidRPr="00816FC2" w:rsidTr="002D4065">
        <w:tc>
          <w:tcPr>
            <w:tcW w:w="4707" w:type="dxa"/>
            <w:tcBorders>
              <w:top w:val="single" w:sz="4" w:space="0" w:color="3E2C42"/>
              <w:left w:val="single" w:sz="4" w:space="0" w:color="3E2C42"/>
              <w:bottom w:val="single" w:sz="4" w:space="0" w:color="3E2C42"/>
              <w:right w:val="single" w:sz="4" w:space="0" w:color="3E2C42"/>
            </w:tcBorders>
          </w:tcPr>
          <w:p w:rsidR="00882652" w:rsidRPr="00816FC2" w:rsidRDefault="00882652" w:rsidP="0080400C">
            <w:pPr>
              <w:rPr>
                <w:sz w:val="22"/>
                <w:szCs w:val="22"/>
              </w:rPr>
            </w:pPr>
            <w:r w:rsidRPr="00816FC2">
              <w:rPr>
                <w:sz w:val="22"/>
                <w:szCs w:val="22"/>
              </w:rPr>
              <w:t xml:space="preserve">We will empower moderate actors and foster </w:t>
            </w:r>
            <w:r w:rsidRPr="00816FC2">
              <w:rPr>
                <w:sz w:val="22"/>
                <w:szCs w:val="22"/>
              </w:rPr>
              <w:lastRenderedPageBreak/>
              <w:t>community resilience to extremism.</w:t>
            </w:r>
          </w:p>
        </w:tc>
        <w:tc>
          <w:tcPr>
            <w:tcW w:w="2410" w:type="dxa"/>
            <w:tcBorders>
              <w:top w:val="single" w:sz="4" w:space="0" w:color="3E2C42"/>
              <w:left w:val="single" w:sz="4" w:space="0" w:color="3E2C42"/>
              <w:bottom w:val="single" w:sz="4" w:space="0" w:color="3E2C42"/>
              <w:right w:val="single" w:sz="4" w:space="0" w:color="3E2C42"/>
            </w:tcBorders>
          </w:tcPr>
          <w:p w:rsidR="00882652" w:rsidRPr="00816FC2" w:rsidRDefault="00882652" w:rsidP="00962CB2">
            <w:pPr>
              <w:rPr>
                <w:sz w:val="22"/>
                <w:szCs w:val="22"/>
              </w:rPr>
            </w:pPr>
            <w:r w:rsidRPr="00816FC2">
              <w:rPr>
                <w:sz w:val="22"/>
                <w:szCs w:val="22"/>
              </w:rPr>
              <w:lastRenderedPageBreak/>
              <w:t>OUTCOME 3</w:t>
            </w:r>
          </w:p>
        </w:tc>
        <w:tc>
          <w:tcPr>
            <w:tcW w:w="2551" w:type="dxa"/>
            <w:tcBorders>
              <w:top w:val="single" w:sz="4" w:space="0" w:color="3E2C42"/>
              <w:left w:val="single" w:sz="4" w:space="0" w:color="3E2C42"/>
              <w:bottom w:val="single" w:sz="4" w:space="0" w:color="3E2C42"/>
              <w:right w:val="single" w:sz="4" w:space="0" w:color="3E2C42"/>
            </w:tcBorders>
          </w:tcPr>
          <w:p w:rsidR="00882652" w:rsidRPr="00816FC2" w:rsidRDefault="00882652" w:rsidP="0080400C">
            <w:pPr>
              <w:rPr>
                <w:sz w:val="22"/>
                <w:szCs w:val="22"/>
                <w:highlight w:val="yellow"/>
              </w:rPr>
            </w:pPr>
          </w:p>
        </w:tc>
      </w:tr>
    </w:tbl>
    <w:p w:rsidR="00AF2855" w:rsidRPr="00816FC2" w:rsidRDefault="00AF2855" w:rsidP="008770FD">
      <w:pPr>
        <w:pStyle w:val="Overskrift3"/>
      </w:pPr>
      <w:r w:rsidRPr="00816FC2">
        <w:t>Overview of TP3 Engagements</w:t>
      </w:r>
    </w:p>
    <w:p w:rsidR="0031761B" w:rsidRPr="00816FC2" w:rsidRDefault="0031761B" w:rsidP="002F6950">
      <w:r w:rsidRPr="00816FC2">
        <w:t xml:space="preserve">This thematic programme provides a framework for Danish support to community security initiatives in Syria and </w:t>
      </w:r>
      <w:r w:rsidR="002F6950">
        <w:t xml:space="preserve">may support </w:t>
      </w:r>
      <w:r w:rsidRPr="00816FC2">
        <w:t xml:space="preserve">broader </w:t>
      </w:r>
      <w:r w:rsidR="002F6950">
        <w:t xml:space="preserve">SSR </w:t>
      </w:r>
      <w:r w:rsidR="003A7D7A" w:rsidRPr="00816FC2">
        <w:t xml:space="preserve">process in Iraq should an extension to the previous programme’s support in this area be extended </w:t>
      </w:r>
      <w:r w:rsidR="002F6950">
        <w:t>following the programme’s 2017 MTR</w:t>
      </w:r>
      <w:r w:rsidR="003A7D7A" w:rsidRPr="00816FC2">
        <w:t xml:space="preserve">. </w:t>
      </w:r>
      <w:r w:rsidR="002F6950">
        <w:t xml:space="preserve">The engagements </w:t>
      </w:r>
      <w:r w:rsidR="009D40C1" w:rsidRPr="00816FC2">
        <w:t xml:space="preserve">promote democratic governance </w:t>
      </w:r>
      <w:r w:rsidR="002F6950">
        <w:t xml:space="preserve">including </w:t>
      </w:r>
      <w:r w:rsidR="009D40C1" w:rsidRPr="00816FC2">
        <w:t>accountability, transparency and participatory decision-making</w:t>
      </w:r>
      <w:r w:rsidR="009A2005">
        <w:t>.</w:t>
      </w:r>
    </w:p>
    <w:p w:rsidR="0010188C" w:rsidRDefault="00A85FD9" w:rsidP="005F0739">
      <w:r w:rsidRPr="00816FC2">
        <w:t xml:space="preserve"> </w:t>
      </w:r>
    </w:p>
    <w:p w:rsidR="005F0739" w:rsidRDefault="008621FA" w:rsidP="005F0739">
      <w:r w:rsidRPr="00816FC2">
        <w:t>In Syria, d</w:t>
      </w:r>
      <w:r w:rsidR="00A20816" w:rsidRPr="00816FC2">
        <w:t xml:space="preserve">elegated </w:t>
      </w:r>
      <w:r w:rsidR="003B14F1" w:rsidRPr="00816FC2">
        <w:t xml:space="preserve">cooperation </w:t>
      </w:r>
      <w:r w:rsidR="001B0675" w:rsidRPr="00816FC2">
        <w:t>a</w:t>
      </w:r>
      <w:r w:rsidR="00A20816" w:rsidRPr="00816FC2">
        <w:t xml:space="preserve">rrangements with the UK to </w:t>
      </w:r>
      <w:r w:rsidRPr="00816FC2">
        <w:t>Syria Civil D</w:t>
      </w:r>
      <w:r w:rsidR="00A20816" w:rsidRPr="00816FC2">
        <w:t>efence</w:t>
      </w:r>
      <w:r w:rsidR="001B0675" w:rsidRPr="00816FC2">
        <w:t xml:space="preserve"> (through the NGO Mayday Rescue) and to the Free Syrian Police (through the AJACS programme)</w:t>
      </w:r>
      <w:r w:rsidR="00A20816" w:rsidRPr="00816FC2">
        <w:t xml:space="preserve"> will be continued at </w:t>
      </w:r>
      <w:r w:rsidR="00AF2855" w:rsidRPr="00816FC2">
        <w:t xml:space="preserve">DKK </w:t>
      </w:r>
      <w:r w:rsidR="00404997" w:rsidRPr="00816FC2">
        <w:t xml:space="preserve">60 </w:t>
      </w:r>
      <w:r w:rsidR="00AF2855" w:rsidRPr="00816FC2">
        <w:t xml:space="preserve">million and DKK </w:t>
      </w:r>
      <w:r w:rsidR="00404997" w:rsidRPr="00816FC2">
        <w:t>45</w:t>
      </w:r>
      <w:r w:rsidR="00AF2855" w:rsidRPr="00816FC2">
        <w:t xml:space="preserve"> million respectively</w:t>
      </w:r>
      <w:r w:rsidR="001B0675" w:rsidRPr="00816FC2">
        <w:t xml:space="preserve">. </w:t>
      </w:r>
      <w:r w:rsidR="00720A03" w:rsidRPr="00816FC2">
        <w:rPr>
          <w:b/>
        </w:rPr>
        <w:t>AJACS</w:t>
      </w:r>
      <w:r w:rsidR="00720A03" w:rsidRPr="00816FC2">
        <w:t xml:space="preserve"> supports policing and transitional justice actors in moderate opposition areas</w:t>
      </w:r>
      <w:r w:rsidR="002F6950">
        <w:t>,</w:t>
      </w:r>
      <w:r w:rsidR="00720A03" w:rsidRPr="00816FC2">
        <w:t xml:space="preserve"> and continues to deliver results despite significant constraints </w:t>
      </w:r>
      <w:r w:rsidR="002F6950">
        <w:t xml:space="preserve">to </w:t>
      </w:r>
      <w:r w:rsidR="00720A03" w:rsidRPr="00816FC2">
        <w:t>their operations</w:t>
      </w:r>
      <w:r w:rsidR="00D12F37" w:rsidRPr="00816FC2">
        <w:t xml:space="preserve">. </w:t>
      </w:r>
      <w:r w:rsidR="005F0739">
        <w:t xml:space="preserve">Ensuring </w:t>
      </w:r>
      <w:r w:rsidR="002F6950">
        <w:t xml:space="preserve">civilian access to </w:t>
      </w:r>
      <w:r w:rsidR="00720A03" w:rsidRPr="00816FC2">
        <w:t>basic security</w:t>
      </w:r>
      <w:r w:rsidR="005F0739">
        <w:t xml:space="preserve"> through governance and </w:t>
      </w:r>
      <w:r w:rsidR="00720A03" w:rsidRPr="00816FC2">
        <w:t>justice</w:t>
      </w:r>
      <w:r w:rsidR="005F0739">
        <w:t xml:space="preserve"> through the preservation of civil and land documentation </w:t>
      </w:r>
      <w:r w:rsidR="002F6950">
        <w:t xml:space="preserve">are </w:t>
      </w:r>
      <w:r w:rsidR="00720A03" w:rsidRPr="00816FC2">
        <w:t xml:space="preserve">critical components of community resilience, and offer a credible alternative to extremist </w:t>
      </w:r>
      <w:r w:rsidR="005F0739">
        <w:t xml:space="preserve">ideologies </w:t>
      </w:r>
      <w:r w:rsidR="00720A03" w:rsidRPr="00816FC2">
        <w:t xml:space="preserve">inside Syria. </w:t>
      </w:r>
      <w:r w:rsidR="00720A03" w:rsidRPr="007F2463">
        <w:rPr>
          <w:bCs/>
        </w:rPr>
        <w:t>Syria</w:t>
      </w:r>
      <w:r w:rsidR="002F6950" w:rsidRPr="007F2463">
        <w:rPr>
          <w:bCs/>
        </w:rPr>
        <w:t>n</w:t>
      </w:r>
      <w:r w:rsidR="00720A03" w:rsidRPr="00816FC2">
        <w:rPr>
          <w:b/>
        </w:rPr>
        <w:t xml:space="preserve"> Civil Defence</w:t>
      </w:r>
      <w:r w:rsidR="00720A03" w:rsidRPr="00816FC2">
        <w:t xml:space="preserve"> </w:t>
      </w:r>
      <w:r w:rsidR="002F6950">
        <w:t xml:space="preserve">also </w:t>
      </w:r>
      <w:r w:rsidR="00720A03" w:rsidRPr="00816FC2">
        <w:t>operate</w:t>
      </w:r>
      <w:r w:rsidR="00C13187" w:rsidRPr="00816FC2">
        <w:t>s</w:t>
      </w:r>
      <w:r w:rsidR="00720A03" w:rsidRPr="00816FC2">
        <w:t xml:space="preserve"> </w:t>
      </w:r>
      <w:r w:rsidR="00C13187" w:rsidRPr="00816FC2">
        <w:t xml:space="preserve">in </w:t>
      </w:r>
      <w:r w:rsidR="00720A03" w:rsidRPr="00816FC2">
        <w:t>moderate opposition controlled areas inside Syria and plays a critical immediate stabilisation</w:t>
      </w:r>
      <w:r w:rsidR="005F0739">
        <w:t xml:space="preserve">. Its </w:t>
      </w:r>
      <w:r w:rsidR="00720A03" w:rsidRPr="00816FC2">
        <w:t xml:space="preserve">early service delivery recovery function </w:t>
      </w:r>
      <w:r w:rsidR="005F0739">
        <w:t xml:space="preserve">reinforces </w:t>
      </w:r>
      <w:r w:rsidR="00720A03" w:rsidRPr="00816FC2">
        <w:t>Danish policy priorities</w:t>
      </w:r>
      <w:r w:rsidR="005F0739">
        <w:t>, and both programmes may play a positive role in mobilising efforts and supporting activities in newly liberated areas from Da'esh.</w:t>
      </w:r>
      <w:r w:rsidR="00720A03" w:rsidRPr="00816FC2">
        <w:t xml:space="preserve"> </w:t>
      </w:r>
    </w:p>
    <w:p w:rsidR="001B0675" w:rsidRPr="00816FC2" w:rsidRDefault="00720A03" w:rsidP="005F0739">
      <w:r w:rsidRPr="00816FC2">
        <w:t>Al</w:t>
      </w:r>
      <w:r w:rsidR="00A20816" w:rsidRPr="00816FC2">
        <w:t xml:space="preserve">though the present </w:t>
      </w:r>
      <w:r w:rsidR="001B0675" w:rsidRPr="00816FC2">
        <w:t xml:space="preserve">scenario analysis suggests that governance projects </w:t>
      </w:r>
      <w:r w:rsidR="00C111C5" w:rsidRPr="00816FC2">
        <w:t xml:space="preserve">in Syria </w:t>
      </w:r>
      <w:r w:rsidR="008621FA" w:rsidRPr="00816FC2">
        <w:t xml:space="preserve">(such as Tamkeen) </w:t>
      </w:r>
      <w:r w:rsidR="001B0675" w:rsidRPr="00816FC2">
        <w:t xml:space="preserve">should not be </w:t>
      </w:r>
      <w:r w:rsidR="00A20816" w:rsidRPr="00816FC2">
        <w:t xml:space="preserve">a </w:t>
      </w:r>
      <w:r w:rsidR="001B0675" w:rsidRPr="00816FC2">
        <w:t>priority, this programme creates the space for such projects to be supported should the landscape become</w:t>
      </w:r>
      <w:r w:rsidRPr="00816FC2">
        <w:t xml:space="preserve"> more permissive.  </w:t>
      </w:r>
    </w:p>
    <w:p w:rsidR="001E6DE3" w:rsidRDefault="00BB3DB2" w:rsidP="001F7C8F">
      <w:pPr>
        <w:keepNext/>
        <w:keepLines/>
        <w:spacing w:after="100" w:afterAutospacing="1"/>
        <w:contextualSpacing/>
      </w:pPr>
      <w:r w:rsidRPr="00816FC2">
        <w:t>In Iraq,</w:t>
      </w:r>
      <w:r w:rsidR="00720A03" w:rsidRPr="00816FC2">
        <w:t xml:space="preserve"> </w:t>
      </w:r>
      <w:r w:rsidR="00DA2D18" w:rsidRPr="00816FC2">
        <w:t xml:space="preserve">the previous programme </w:t>
      </w:r>
      <w:r w:rsidR="00720A03" w:rsidRPr="00816FC2">
        <w:t>provide</w:t>
      </w:r>
      <w:r w:rsidR="008621FA" w:rsidRPr="00816FC2">
        <w:t>d</w:t>
      </w:r>
      <w:r w:rsidR="00720A03" w:rsidRPr="00816FC2">
        <w:t xml:space="preserve"> funding</w:t>
      </w:r>
      <w:r w:rsidR="002F6950">
        <w:t xml:space="preserve"> </w:t>
      </w:r>
      <w:r w:rsidR="00720A03" w:rsidRPr="00816FC2">
        <w:t xml:space="preserve">to UNDP’s </w:t>
      </w:r>
      <w:r w:rsidR="00720A03" w:rsidRPr="00816FC2">
        <w:rPr>
          <w:b/>
        </w:rPr>
        <w:t>Security Sector R</w:t>
      </w:r>
      <w:r w:rsidR="001B0675" w:rsidRPr="00816FC2">
        <w:rPr>
          <w:b/>
        </w:rPr>
        <w:t>eform</w:t>
      </w:r>
      <w:r w:rsidR="001B0675" w:rsidRPr="00816FC2">
        <w:t xml:space="preserve"> </w:t>
      </w:r>
      <w:r w:rsidRPr="00816FC2">
        <w:t xml:space="preserve">(SSR) and Strengthening Participatory and Accountable Governance (SPAG) programmes and will run until mid-2017. </w:t>
      </w:r>
      <w:r w:rsidR="0013187B" w:rsidRPr="00816FC2">
        <w:t xml:space="preserve">In view of the current </w:t>
      </w:r>
      <w:r w:rsidR="005F0739">
        <w:t xml:space="preserve">this </w:t>
      </w:r>
      <w:r w:rsidR="0013187B" w:rsidRPr="00816FC2">
        <w:t>programme’s focus on immediate stabilisation objectives and the present political climate in Iraq, it has been decided not to extend the</w:t>
      </w:r>
      <w:r w:rsidR="00DA2D18" w:rsidRPr="00816FC2">
        <w:t xml:space="preserve"> support to SPAG</w:t>
      </w:r>
      <w:r w:rsidR="005F0739">
        <w:t xml:space="preserve"> </w:t>
      </w:r>
      <w:r w:rsidR="00DA2D18" w:rsidRPr="00816FC2">
        <w:t xml:space="preserve">beyond 2017 and to consider the scope for </w:t>
      </w:r>
      <w:r w:rsidR="0013187B" w:rsidRPr="00816FC2">
        <w:t>(re)focusing</w:t>
      </w:r>
      <w:r w:rsidR="002B7A36" w:rsidRPr="00816FC2">
        <w:t xml:space="preserve"> the SSR programme</w:t>
      </w:r>
      <w:r w:rsidR="00754C39" w:rsidRPr="00816FC2">
        <w:t xml:space="preserve">. This </w:t>
      </w:r>
      <w:r w:rsidR="00F86086">
        <w:t xml:space="preserve">decision </w:t>
      </w:r>
      <w:r w:rsidR="00754C39" w:rsidRPr="00816FC2">
        <w:t>will be guided by three principle</w:t>
      </w:r>
      <w:r w:rsidR="00C77097" w:rsidRPr="00816FC2">
        <w:t>s</w:t>
      </w:r>
      <w:r w:rsidR="00754C39" w:rsidRPr="00816FC2">
        <w:t xml:space="preserve">: firstly, </w:t>
      </w:r>
      <w:r w:rsidR="002F6950">
        <w:t xml:space="preserve">whether the </w:t>
      </w:r>
      <w:r w:rsidR="00754C39" w:rsidRPr="00816FC2">
        <w:t xml:space="preserve">UNDP strengthens its project management through filling current staffing gaps (this appears to be in hand); secondly, </w:t>
      </w:r>
      <w:r w:rsidR="005F0739">
        <w:t xml:space="preserve">whether </w:t>
      </w:r>
      <w:r w:rsidR="00754C39" w:rsidRPr="00816FC2">
        <w:t xml:space="preserve">the results achieved so far are consolidated (particularly building upon the recently approved National Security Strategy); and thirdly, </w:t>
      </w:r>
      <w:r w:rsidR="005F0739">
        <w:t xml:space="preserve">whether </w:t>
      </w:r>
      <w:r w:rsidR="00754C39" w:rsidRPr="00816FC2">
        <w:t xml:space="preserve">possible support beyond 2017 </w:t>
      </w:r>
      <w:r w:rsidR="004537FE">
        <w:t>includes</w:t>
      </w:r>
      <w:r w:rsidR="005F0739">
        <w:t xml:space="preserve"> </w:t>
      </w:r>
      <w:r w:rsidR="00956712" w:rsidRPr="00816FC2">
        <w:t xml:space="preserve">a focus on SSR in relation to immediate stabilisation needs (for example, </w:t>
      </w:r>
      <w:r w:rsidR="005F0739">
        <w:t xml:space="preserve">such as </w:t>
      </w:r>
      <w:r w:rsidR="00956712" w:rsidRPr="00816FC2">
        <w:t xml:space="preserve">in relation to </w:t>
      </w:r>
      <w:r w:rsidR="002B7A36" w:rsidRPr="00816FC2">
        <w:t>local level policing</w:t>
      </w:r>
      <w:r w:rsidR="00956712" w:rsidRPr="00816FC2">
        <w:t xml:space="preserve">). These points will be pursued further </w:t>
      </w:r>
      <w:r w:rsidR="002B7A36" w:rsidRPr="00816FC2">
        <w:t>in dialogue with UNDP</w:t>
      </w:r>
      <w:r w:rsidR="005F0739">
        <w:t xml:space="preserve">, </w:t>
      </w:r>
      <w:r w:rsidR="00956712" w:rsidRPr="00816FC2">
        <w:t>and with the Netherlands and Canada, should the latter decide to join the project.</w:t>
      </w:r>
      <w:r w:rsidR="002B7A36" w:rsidRPr="00816FC2">
        <w:t xml:space="preserve"> Such a shift in focus would also seek to capitalise upon synergies possible through the Danish police advisor to </w:t>
      </w:r>
      <w:r w:rsidR="00956712" w:rsidRPr="00816FC2">
        <w:t>the SSR programme</w:t>
      </w:r>
      <w:r w:rsidR="002B7A36" w:rsidRPr="00816FC2">
        <w:t>.</w:t>
      </w:r>
      <w:r w:rsidR="00EA1354" w:rsidRPr="00816FC2">
        <w:t xml:space="preserve"> This dialogue would take place later in 2016/early 2017 and could be further considered by the mid</w:t>
      </w:r>
      <w:r w:rsidR="002C6D65" w:rsidRPr="00816FC2">
        <w:t>-</w:t>
      </w:r>
      <w:r w:rsidR="00EA1354" w:rsidRPr="00816FC2">
        <w:t xml:space="preserve">term review in 2017. </w:t>
      </w:r>
      <w:r w:rsidR="004537FE">
        <w:t>A</w:t>
      </w:r>
      <w:r w:rsidR="00EA1354" w:rsidRPr="00816FC2">
        <w:t xml:space="preserve"> PSED for SSR </w:t>
      </w:r>
      <w:r w:rsidR="00424C38">
        <w:t xml:space="preserve">will </w:t>
      </w:r>
      <w:r w:rsidR="00EA1354" w:rsidRPr="00816FC2">
        <w:t>be</w:t>
      </w:r>
      <w:r w:rsidR="001F7C8F">
        <w:t xml:space="preserve"> added in due course, if needed.</w:t>
      </w:r>
    </w:p>
    <w:p w:rsidR="0032585A" w:rsidRPr="0032585A" w:rsidRDefault="0032585A" w:rsidP="0032585A">
      <w:pPr>
        <w:pStyle w:val="Overskrift4"/>
        <w:numPr>
          <w:ilvl w:val="0"/>
          <w:numId w:val="48"/>
        </w:numPr>
      </w:pPr>
      <w:r w:rsidRPr="0032585A">
        <w:t>Contribution of funding and advisory input to the Access to Justice and Community Security (AJACS) programme</w:t>
      </w:r>
    </w:p>
    <w:p w:rsidR="0032585A" w:rsidRDefault="0032585A" w:rsidP="001F7C8F">
      <w:pPr>
        <w:keepNext/>
        <w:keepLines/>
        <w:spacing w:after="100" w:afterAutospacing="1"/>
        <w:contextualSpacing/>
      </w:pPr>
    </w:p>
    <w:tbl>
      <w:tblPr>
        <w:tblStyle w:val="Tabel-Gitter"/>
        <w:tblW w:w="9639"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15239F" w:rsidRPr="00A85FD9" w:rsidTr="0032585A">
        <w:tc>
          <w:tcPr>
            <w:tcW w:w="9639" w:type="dxa"/>
            <w:gridSpan w:val="2"/>
            <w:shd w:val="clear" w:color="auto" w:fill="3E2C42"/>
          </w:tcPr>
          <w:p w:rsidR="0015239F" w:rsidRPr="00A85FD9" w:rsidRDefault="0015239F" w:rsidP="0032585A">
            <w:pPr>
              <w:keepNext/>
              <w:keepLines/>
              <w:spacing w:after="100" w:afterAutospacing="1"/>
              <w:contextualSpacing/>
              <w:rPr>
                <w:b/>
                <w:bCs/>
                <w:sz w:val="22"/>
                <w:szCs w:val="22"/>
              </w:rPr>
            </w:pPr>
            <w:r w:rsidRPr="00A85FD9">
              <w:rPr>
                <w:b/>
                <w:bCs/>
                <w:color w:val="FFFFFF" w:themeColor="background1"/>
                <w:sz w:val="22"/>
                <w:szCs w:val="22"/>
              </w:rPr>
              <w:t>Overview</w:t>
            </w:r>
          </w:p>
        </w:tc>
      </w:tr>
      <w:tr w:rsidR="0015239F" w:rsidRPr="00A85FD9" w:rsidTr="0032585A">
        <w:tc>
          <w:tcPr>
            <w:tcW w:w="2694" w:type="dxa"/>
            <w:shd w:val="clear" w:color="auto" w:fill="EBD9E2"/>
          </w:tcPr>
          <w:p w:rsidR="0015239F" w:rsidRPr="00A85FD9" w:rsidRDefault="0015239F" w:rsidP="0032585A">
            <w:pPr>
              <w:keepNext/>
              <w:keepLines/>
              <w:spacing w:after="100" w:afterAutospacing="1"/>
              <w:contextualSpacing/>
              <w:rPr>
                <w:sz w:val="22"/>
                <w:szCs w:val="22"/>
              </w:rPr>
            </w:pPr>
            <w:r w:rsidRPr="00A85FD9">
              <w:rPr>
                <w:sz w:val="22"/>
                <w:szCs w:val="22"/>
              </w:rPr>
              <w:t>Implementing partner</w:t>
            </w:r>
          </w:p>
        </w:tc>
        <w:tc>
          <w:tcPr>
            <w:tcW w:w="6945" w:type="dxa"/>
          </w:tcPr>
          <w:p w:rsidR="0015239F" w:rsidRPr="00A85FD9" w:rsidRDefault="0015239F" w:rsidP="0032585A">
            <w:pPr>
              <w:keepNext/>
              <w:keepLines/>
              <w:spacing w:after="100" w:afterAutospacing="1"/>
              <w:contextualSpacing/>
              <w:rPr>
                <w:sz w:val="22"/>
                <w:szCs w:val="22"/>
              </w:rPr>
            </w:pPr>
            <w:r w:rsidRPr="00A85FD9">
              <w:rPr>
                <w:sz w:val="22"/>
                <w:szCs w:val="22"/>
              </w:rPr>
              <w:t>Adam Smith International (ASI) and Creative Associates (CA) (the project is due to be retendered.)</w:t>
            </w:r>
          </w:p>
        </w:tc>
      </w:tr>
      <w:tr w:rsidR="0015239F" w:rsidRPr="00A85FD9" w:rsidTr="0032585A">
        <w:tc>
          <w:tcPr>
            <w:tcW w:w="2694" w:type="dxa"/>
            <w:shd w:val="clear" w:color="auto" w:fill="EBD9E2"/>
          </w:tcPr>
          <w:p w:rsidR="0015239F" w:rsidRPr="00A85FD9" w:rsidRDefault="0015239F" w:rsidP="0032585A">
            <w:pPr>
              <w:spacing w:after="100" w:afterAutospacing="1"/>
              <w:rPr>
                <w:sz w:val="22"/>
                <w:szCs w:val="22"/>
              </w:rPr>
            </w:pPr>
            <w:r w:rsidRPr="00A85FD9">
              <w:rPr>
                <w:sz w:val="22"/>
                <w:szCs w:val="22"/>
              </w:rPr>
              <w:t>Danish contribution</w:t>
            </w:r>
          </w:p>
        </w:tc>
        <w:tc>
          <w:tcPr>
            <w:tcW w:w="6945" w:type="dxa"/>
          </w:tcPr>
          <w:p w:rsidR="0015239F" w:rsidRPr="00A85FD9" w:rsidRDefault="0015239F" w:rsidP="0032585A">
            <w:pPr>
              <w:spacing w:after="100" w:afterAutospacing="1"/>
              <w:rPr>
                <w:sz w:val="22"/>
                <w:szCs w:val="22"/>
              </w:rPr>
            </w:pPr>
            <w:r w:rsidRPr="00A85FD9">
              <w:rPr>
                <w:sz w:val="22"/>
                <w:szCs w:val="22"/>
              </w:rPr>
              <w:t>1</w:t>
            </w:r>
            <w:r w:rsidR="00944E18">
              <w:rPr>
                <w:sz w:val="22"/>
                <w:szCs w:val="22"/>
              </w:rPr>
              <w:t>9</w:t>
            </w:r>
            <w:r w:rsidRPr="00A85FD9">
              <w:rPr>
                <w:sz w:val="22"/>
                <w:szCs w:val="22"/>
              </w:rPr>
              <w:t xml:space="preserve"> M DKK in 2016, 15 M DKK in 2017 and 15 M DKK in 2018</w:t>
            </w:r>
          </w:p>
        </w:tc>
      </w:tr>
      <w:tr w:rsidR="0015239F" w:rsidRPr="00A85FD9" w:rsidTr="0032585A">
        <w:tc>
          <w:tcPr>
            <w:tcW w:w="2694" w:type="dxa"/>
            <w:shd w:val="clear" w:color="auto" w:fill="EBD9E2"/>
          </w:tcPr>
          <w:p w:rsidR="0015239F" w:rsidRPr="00A85FD9" w:rsidRDefault="0015239F" w:rsidP="0032585A">
            <w:pPr>
              <w:spacing w:after="100" w:afterAutospacing="1"/>
              <w:rPr>
                <w:sz w:val="22"/>
                <w:szCs w:val="22"/>
              </w:rPr>
            </w:pPr>
            <w:r w:rsidRPr="00A85FD9">
              <w:rPr>
                <w:sz w:val="22"/>
                <w:szCs w:val="22"/>
              </w:rPr>
              <w:t>Total budget</w:t>
            </w:r>
          </w:p>
        </w:tc>
        <w:tc>
          <w:tcPr>
            <w:tcW w:w="6945" w:type="dxa"/>
          </w:tcPr>
          <w:p w:rsidR="0015239F" w:rsidRPr="00A85FD9" w:rsidRDefault="0015239F" w:rsidP="0032585A">
            <w:pPr>
              <w:spacing w:after="100" w:afterAutospacing="1"/>
              <w:rPr>
                <w:sz w:val="22"/>
                <w:szCs w:val="22"/>
              </w:rPr>
            </w:pPr>
            <w:r w:rsidRPr="00A85FD9">
              <w:rPr>
                <w:sz w:val="22"/>
                <w:szCs w:val="22"/>
              </w:rPr>
              <w:t>Approx. EUR 41 million funded across two complementary contracts, one UK government contracted and one US government contracted</w:t>
            </w:r>
          </w:p>
        </w:tc>
      </w:tr>
      <w:tr w:rsidR="0015239F" w:rsidRPr="00A85FD9" w:rsidTr="0032585A">
        <w:tc>
          <w:tcPr>
            <w:tcW w:w="2694" w:type="dxa"/>
            <w:shd w:val="clear" w:color="auto" w:fill="EBD9E2"/>
          </w:tcPr>
          <w:p w:rsidR="0015239F" w:rsidRPr="00A85FD9" w:rsidRDefault="0015239F" w:rsidP="0032585A">
            <w:pPr>
              <w:spacing w:after="100" w:afterAutospacing="1"/>
              <w:rPr>
                <w:sz w:val="22"/>
                <w:szCs w:val="22"/>
              </w:rPr>
            </w:pPr>
            <w:r w:rsidRPr="00A85FD9">
              <w:rPr>
                <w:sz w:val="22"/>
                <w:szCs w:val="22"/>
              </w:rPr>
              <w:t>Project period</w:t>
            </w:r>
          </w:p>
        </w:tc>
        <w:tc>
          <w:tcPr>
            <w:tcW w:w="6945" w:type="dxa"/>
          </w:tcPr>
          <w:p w:rsidR="0015239F" w:rsidRPr="00A85FD9" w:rsidRDefault="0015239F" w:rsidP="0032585A">
            <w:pPr>
              <w:spacing w:after="100" w:afterAutospacing="1"/>
              <w:rPr>
                <w:sz w:val="22"/>
                <w:szCs w:val="22"/>
                <w:highlight w:val="yellow"/>
              </w:rPr>
            </w:pPr>
            <w:r w:rsidRPr="00A85FD9">
              <w:rPr>
                <w:sz w:val="22"/>
                <w:szCs w:val="22"/>
              </w:rPr>
              <w:t>Currently funded until 31 August 2016, next phase to be retendered</w:t>
            </w:r>
          </w:p>
        </w:tc>
      </w:tr>
      <w:tr w:rsidR="0015239F" w:rsidRPr="00A85FD9" w:rsidTr="0032585A">
        <w:tc>
          <w:tcPr>
            <w:tcW w:w="2694" w:type="dxa"/>
            <w:shd w:val="clear" w:color="auto" w:fill="EBD9E2"/>
          </w:tcPr>
          <w:p w:rsidR="0015239F" w:rsidRPr="00A85FD9" w:rsidRDefault="0015239F" w:rsidP="0032585A">
            <w:pPr>
              <w:spacing w:after="100" w:afterAutospacing="1"/>
              <w:rPr>
                <w:sz w:val="22"/>
                <w:szCs w:val="22"/>
              </w:rPr>
            </w:pPr>
            <w:r w:rsidRPr="00A85FD9">
              <w:rPr>
                <w:sz w:val="22"/>
                <w:szCs w:val="22"/>
              </w:rPr>
              <w:t>Other donors</w:t>
            </w:r>
          </w:p>
        </w:tc>
        <w:tc>
          <w:tcPr>
            <w:tcW w:w="6945" w:type="dxa"/>
          </w:tcPr>
          <w:p w:rsidR="0015239F" w:rsidRPr="00A85FD9" w:rsidRDefault="0015239F" w:rsidP="0032585A">
            <w:pPr>
              <w:spacing w:after="100" w:afterAutospacing="1"/>
              <w:rPr>
                <w:sz w:val="22"/>
                <w:szCs w:val="22"/>
              </w:rPr>
            </w:pPr>
            <w:r w:rsidRPr="00A85FD9">
              <w:rPr>
                <w:sz w:val="22"/>
                <w:szCs w:val="22"/>
              </w:rPr>
              <w:t>US, UK, the Netherlands and Germany</w:t>
            </w:r>
          </w:p>
        </w:tc>
      </w:tr>
      <w:tr w:rsidR="0015239F" w:rsidRPr="00A85FD9" w:rsidTr="0032585A">
        <w:tc>
          <w:tcPr>
            <w:tcW w:w="9639" w:type="dxa"/>
            <w:gridSpan w:val="2"/>
            <w:shd w:val="clear" w:color="auto" w:fill="EBD9E2"/>
          </w:tcPr>
          <w:p w:rsidR="0015239F" w:rsidRPr="00A85FD9" w:rsidRDefault="0015239F" w:rsidP="0032585A">
            <w:pPr>
              <w:spacing w:after="100" w:afterAutospacing="1"/>
              <w:rPr>
                <w:sz w:val="22"/>
                <w:szCs w:val="22"/>
              </w:rPr>
            </w:pPr>
            <w:r w:rsidRPr="00A85FD9">
              <w:rPr>
                <w:sz w:val="22"/>
                <w:szCs w:val="22"/>
              </w:rPr>
              <w:t>Objective (output to overall programme results framework)</w:t>
            </w:r>
          </w:p>
        </w:tc>
      </w:tr>
      <w:tr w:rsidR="0015239F" w:rsidRPr="00A85FD9" w:rsidTr="0032585A">
        <w:tc>
          <w:tcPr>
            <w:tcW w:w="9639" w:type="dxa"/>
            <w:gridSpan w:val="2"/>
          </w:tcPr>
          <w:p w:rsidR="0015239F" w:rsidRPr="00A85FD9" w:rsidRDefault="0015239F" w:rsidP="0032585A">
            <w:pPr>
              <w:spacing w:after="100" w:afterAutospacing="1"/>
              <w:rPr>
                <w:sz w:val="22"/>
                <w:szCs w:val="22"/>
              </w:rPr>
            </w:pPr>
            <w:r w:rsidRPr="00A85FD9">
              <w:rPr>
                <w:sz w:val="22"/>
                <w:szCs w:val="22"/>
              </w:rPr>
              <w:t xml:space="preserve">Moderate civilian actors in Syria are supported to provide security and serve communities in opposition-held areas and newly Da’esh-liberated areas as viable alternatives to the regime, Da’esh and other extremist groups, challenging their narratives and preparing Syrians for transition by setting the conditions for inclusive, locally </w:t>
            </w:r>
            <w:r w:rsidRPr="00A85FD9">
              <w:rPr>
                <w:sz w:val="22"/>
                <w:szCs w:val="22"/>
              </w:rPr>
              <w:lastRenderedPageBreak/>
              <w:t>accountable security and governance.</w:t>
            </w:r>
          </w:p>
        </w:tc>
      </w:tr>
      <w:tr w:rsidR="0015239F" w:rsidRPr="00A85FD9" w:rsidTr="0032585A">
        <w:tc>
          <w:tcPr>
            <w:tcW w:w="9639" w:type="dxa"/>
            <w:gridSpan w:val="2"/>
            <w:shd w:val="clear" w:color="auto" w:fill="EBD9E2"/>
          </w:tcPr>
          <w:p w:rsidR="0015239F" w:rsidRPr="00A85FD9" w:rsidRDefault="0015239F" w:rsidP="0032585A">
            <w:pPr>
              <w:spacing w:after="100" w:afterAutospacing="1"/>
              <w:rPr>
                <w:sz w:val="22"/>
                <w:szCs w:val="22"/>
              </w:rPr>
            </w:pPr>
            <w:r w:rsidRPr="00A85FD9">
              <w:rPr>
                <w:sz w:val="22"/>
                <w:szCs w:val="22"/>
              </w:rPr>
              <w:lastRenderedPageBreak/>
              <w:t>Engagement description</w:t>
            </w:r>
          </w:p>
        </w:tc>
      </w:tr>
      <w:tr w:rsidR="0015239F" w:rsidRPr="00A85FD9" w:rsidTr="0032585A">
        <w:tc>
          <w:tcPr>
            <w:tcW w:w="9639" w:type="dxa"/>
            <w:gridSpan w:val="2"/>
          </w:tcPr>
          <w:p w:rsidR="0015239F" w:rsidRPr="00A85FD9" w:rsidRDefault="0015239F" w:rsidP="0032585A">
            <w:pPr>
              <w:spacing w:after="100" w:afterAutospacing="1"/>
              <w:rPr>
                <w:sz w:val="22"/>
                <w:szCs w:val="22"/>
              </w:rPr>
            </w:pPr>
            <w:r w:rsidRPr="00A85FD9">
              <w:rPr>
                <w:sz w:val="22"/>
                <w:szCs w:val="22"/>
              </w:rPr>
              <w:t xml:space="preserve">AJACS was founded in 2013 to support improve access to civilian security and justice services in opposition-held areas, providing governance through security. The project is supported by Denmark through a delegated cooperation agreement with the UK, and comprises three key elements: community engagement, police development and civil administration. </w:t>
            </w:r>
          </w:p>
          <w:p w:rsidR="0015239F" w:rsidRPr="00A85FD9" w:rsidRDefault="0015239F" w:rsidP="0032585A">
            <w:pPr>
              <w:spacing w:after="100" w:afterAutospacing="1"/>
              <w:rPr>
                <w:sz w:val="22"/>
                <w:szCs w:val="22"/>
              </w:rPr>
            </w:pPr>
            <w:r w:rsidRPr="00A85FD9">
              <w:rPr>
                <w:sz w:val="22"/>
                <w:szCs w:val="22"/>
              </w:rPr>
              <w:t xml:space="preserve">Recent changes to AJACS’s management has resulted in a broadening of the project’s focus from </w:t>
            </w:r>
            <w:r>
              <w:rPr>
                <w:sz w:val="22"/>
                <w:szCs w:val="22"/>
              </w:rPr>
              <w:t>the capacity development and</w:t>
            </w:r>
            <w:r w:rsidRPr="00A85FD9">
              <w:rPr>
                <w:sz w:val="22"/>
                <w:szCs w:val="22"/>
              </w:rPr>
              <w:t xml:space="preserve"> payment of stipends to Free Syrian Police (FSP), and towards justice and community security.</w:t>
            </w:r>
            <w:r w:rsidRPr="00A85FD9">
              <w:rPr>
                <w:rStyle w:val="Fodnotehenvisning"/>
                <w:sz w:val="22"/>
                <w:szCs w:val="22"/>
              </w:rPr>
              <w:footnoteReference w:id="12"/>
            </w:r>
            <w:r w:rsidRPr="00A85FD9">
              <w:rPr>
                <w:sz w:val="22"/>
                <w:szCs w:val="22"/>
              </w:rPr>
              <w:t xml:space="preserve"> AJACS supports the maintenance of records and civil registries through its National Documentation Office (NDO. This </w:t>
            </w:r>
            <w:r>
              <w:rPr>
                <w:sz w:val="22"/>
                <w:szCs w:val="22"/>
              </w:rPr>
              <w:t xml:space="preserve">is closely coordinated with </w:t>
            </w:r>
            <w:r w:rsidRPr="00A85FD9">
              <w:rPr>
                <w:sz w:val="22"/>
                <w:szCs w:val="22"/>
              </w:rPr>
              <w:t>TDA’s work on document preservation</w:t>
            </w:r>
            <w:r>
              <w:rPr>
                <w:sz w:val="22"/>
                <w:szCs w:val="22"/>
              </w:rPr>
              <w:t>.</w:t>
            </w:r>
            <w:r w:rsidRPr="00A85FD9">
              <w:rPr>
                <w:sz w:val="22"/>
                <w:szCs w:val="22"/>
              </w:rPr>
              <w:t xml:space="preserve"> AJACS has also set up 41 Community Security Working Groups (CSWGs) charged with identifying local security priorities, creating action plans, and implementing activities against the plan. 30 such activities with a total value of US$588,595 currently being implemented. </w:t>
            </w:r>
          </w:p>
          <w:p w:rsidR="0015239F" w:rsidRPr="00A85FD9" w:rsidRDefault="0015239F" w:rsidP="0032585A">
            <w:pPr>
              <w:spacing w:after="100" w:afterAutospacing="1"/>
              <w:rPr>
                <w:sz w:val="22"/>
                <w:szCs w:val="22"/>
              </w:rPr>
            </w:pPr>
            <w:r w:rsidRPr="00A85FD9">
              <w:rPr>
                <w:sz w:val="22"/>
                <w:szCs w:val="22"/>
              </w:rPr>
              <w:t xml:space="preserve">The FSP’s presence as an important psychological symbol of support to the moderate opposition and its ability to exist unarmed and through community consent enables the FSP to be used as a vehicle to provide security to newly liberated areas. Despite recent progress, however, the FSP’s performance is highly variable with around 50% of its cadre having no background in policing, and whilst its  support to Civil Defence is to be welcomed, this, coupled with the FSP inability to carry out a traditional policing role risks undermining the FSP in the long-term as a credible justice actor.  </w:t>
            </w:r>
          </w:p>
          <w:p w:rsidR="0015239F" w:rsidRPr="00A85FD9" w:rsidRDefault="0015239F" w:rsidP="0032585A">
            <w:pPr>
              <w:spacing w:after="100" w:afterAutospacing="1"/>
              <w:rPr>
                <w:sz w:val="22"/>
                <w:szCs w:val="22"/>
              </w:rPr>
            </w:pPr>
            <w:r w:rsidRPr="00A85FD9">
              <w:rPr>
                <w:sz w:val="22"/>
                <w:szCs w:val="22"/>
              </w:rPr>
              <w:t>Finally, donor red-lines have affected the justice</w:t>
            </w:r>
            <w:r>
              <w:rPr>
                <w:sz w:val="22"/>
                <w:szCs w:val="22"/>
              </w:rPr>
              <w:t xml:space="preserve"> aspects</w:t>
            </w:r>
            <w:r w:rsidRPr="00A85FD9">
              <w:rPr>
                <w:sz w:val="22"/>
                <w:szCs w:val="22"/>
              </w:rPr>
              <w:t xml:space="preserve"> of the project, and the extent to which the FSP is openly used as a political tool to contest the security and justice methods propagated by Salafist groups</w:t>
            </w:r>
            <w:r>
              <w:rPr>
                <w:sz w:val="22"/>
                <w:szCs w:val="22"/>
              </w:rPr>
              <w:t>.</w:t>
            </w:r>
            <w:r w:rsidRPr="00A85FD9">
              <w:rPr>
                <w:sz w:val="22"/>
                <w:szCs w:val="22"/>
              </w:rPr>
              <w:t xml:space="preserve"> </w:t>
            </w:r>
            <w:r>
              <w:rPr>
                <w:sz w:val="22"/>
                <w:szCs w:val="22"/>
              </w:rPr>
              <w:t xml:space="preserve">The </w:t>
            </w:r>
            <w:r w:rsidRPr="00A85FD9">
              <w:rPr>
                <w:sz w:val="22"/>
                <w:szCs w:val="22"/>
              </w:rPr>
              <w:t>re</w:t>
            </w:r>
            <w:r>
              <w:rPr>
                <w:sz w:val="22"/>
                <w:szCs w:val="22"/>
              </w:rPr>
              <w:t>-</w:t>
            </w:r>
            <w:r w:rsidRPr="00A85FD9">
              <w:rPr>
                <w:sz w:val="22"/>
                <w:szCs w:val="22"/>
              </w:rPr>
              <w:t xml:space="preserve">tender provides a good opportunity to maximise on areas of demonstrable success (such as the FSP and documentation </w:t>
            </w:r>
            <w:r>
              <w:rPr>
                <w:sz w:val="22"/>
                <w:szCs w:val="22"/>
              </w:rPr>
              <w:t xml:space="preserve">centres), whilst rethinking </w:t>
            </w:r>
            <w:r w:rsidRPr="00A85FD9">
              <w:rPr>
                <w:sz w:val="22"/>
                <w:szCs w:val="22"/>
              </w:rPr>
              <w:t>other aspects of the project (such as CSWGs).</w:t>
            </w:r>
          </w:p>
        </w:tc>
      </w:tr>
      <w:tr w:rsidR="0015239F" w:rsidRPr="00A85FD9" w:rsidTr="0032585A">
        <w:tc>
          <w:tcPr>
            <w:tcW w:w="9639" w:type="dxa"/>
            <w:gridSpan w:val="2"/>
            <w:shd w:val="clear" w:color="auto" w:fill="EBD9E2"/>
          </w:tcPr>
          <w:p w:rsidR="0015239F" w:rsidRPr="00A85FD9" w:rsidRDefault="0015239F" w:rsidP="007F2463">
            <w:pPr>
              <w:spacing w:after="100" w:afterAutospacing="1"/>
              <w:rPr>
                <w:sz w:val="22"/>
                <w:szCs w:val="22"/>
              </w:rPr>
            </w:pPr>
            <w:r w:rsidRPr="00A85FD9">
              <w:rPr>
                <w:sz w:val="22"/>
                <w:szCs w:val="22"/>
              </w:rPr>
              <w:t>Previous support</w:t>
            </w:r>
          </w:p>
        </w:tc>
      </w:tr>
      <w:tr w:rsidR="0015239F" w:rsidRPr="00A85FD9" w:rsidTr="0032585A">
        <w:tc>
          <w:tcPr>
            <w:tcW w:w="9639" w:type="dxa"/>
            <w:gridSpan w:val="2"/>
            <w:shd w:val="clear" w:color="auto" w:fill="auto"/>
          </w:tcPr>
          <w:p w:rsidR="0015239F" w:rsidRPr="00A85FD9" w:rsidRDefault="0015239F" w:rsidP="007F2463">
            <w:pPr>
              <w:spacing w:after="100" w:afterAutospacing="1"/>
              <w:rPr>
                <w:sz w:val="22"/>
                <w:szCs w:val="22"/>
                <w:highlight w:val="yellow"/>
              </w:rPr>
            </w:pPr>
            <w:r w:rsidRPr="00A85FD9">
              <w:rPr>
                <w:sz w:val="22"/>
                <w:szCs w:val="22"/>
              </w:rPr>
              <w:t>DKK 9 million in 2015-16, adding to the previous contribution of DKK 50 million since 2013.</w:t>
            </w:r>
          </w:p>
        </w:tc>
      </w:tr>
    </w:tbl>
    <w:p w:rsidR="0015239F" w:rsidRPr="0015239F" w:rsidRDefault="0015239F" w:rsidP="0015239F"/>
    <w:p w:rsidR="001E6DE3" w:rsidRPr="00816FC2" w:rsidRDefault="00FB7AB6" w:rsidP="0015239F">
      <w:pPr>
        <w:pStyle w:val="Overskrift4"/>
        <w:numPr>
          <w:ilvl w:val="0"/>
          <w:numId w:val="48"/>
        </w:numPr>
      </w:pPr>
      <w:r w:rsidRPr="00816FC2">
        <w:t>Support to Syria</w:t>
      </w:r>
      <w:r w:rsidR="00B24228" w:rsidRPr="00816FC2">
        <w:t xml:space="preserve"> Civil Defence (through Mayday Rescue)</w:t>
      </w:r>
    </w:p>
    <w:tbl>
      <w:tblPr>
        <w:tblStyle w:val="Tabel-Gitter"/>
        <w:tblW w:w="9639" w:type="dxa"/>
        <w:tblInd w:w="108"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2694"/>
        <w:gridCol w:w="6945"/>
      </w:tblGrid>
      <w:tr w:rsidR="001E6DE3" w:rsidRPr="0015239F" w:rsidTr="002D4065">
        <w:tc>
          <w:tcPr>
            <w:tcW w:w="9639" w:type="dxa"/>
            <w:gridSpan w:val="2"/>
            <w:shd w:val="clear" w:color="auto" w:fill="3E2C42"/>
          </w:tcPr>
          <w:p w:rsidR="001E6DE3" w:rsidRPr="0015239F" w:rsidRDefault="001E6DE3" w:rsidP="0080400C">
            <w:pPr>
              <w:rPr>
                <w:color w:val="FFFFFF" w:themeColor="background1"/>
                <w:sz w:val="22"/>
                <w:szCs w:val="22"/>
              </w:rPr>
            </w:pPr>
            <w:r w:rsidRPr="0015239F">
              <w:rPr>
                <w:color w:val="FFFFFF" w:themeColor="background1"/>
                <w:sz w:val="22"/>
                <w:szCs w:val="22"/>
              </w:rPr>
              <w:t>Overview</w:t>
            </w:r>
          </w:p>
        </w:tc>
      </w:tr>
      <w:tr w:rsidR="001E6DE3" w:rsidRPr="0015239F" w:rsidTr="002D4065">
        <w:tc>
          <w:tcPr>
            <w:tcW w:w="2694" w:type="dxa"/>
            <w:shd w:val="clear" w:color="auto" w:fill="EBD9E2"/>
          </w:tcPr>
          <w:p w:rsidR="001E6DE3" w:rsidRPr="0015239F" w:rsidRDefault="001E6DE3" w:rsidP="0080400C">
            <w:pPr>
              <w:rPr>
                <w:sz w:val="22"/>
                <w:szCs w:val="22"/>
              </w:rPr>
            </w:pPr>
            <w:r w:rsidRPr="0015239F">
              <w:rPr>
                <w:sz w:val="22"/>
                <w:szCs w:val="22"/>
              </w:rPr>
              <w:t>Implementing partner</w:t>
            </w:r>
          </w:p>
        </w:tc>
        <w:tc>
          <w:tcPr>
            <w:tcW w:w="6945" w:type="dxa"/>
          </w:tcPr>
          <w:p w:rsidR="001E6DE3" w:rsidRPr="0015239F" w:rsidRDefault="00FB7AB6" w:rsidP="0080400C">
            <w:pPr>
              <w:rPr>
                <w:sz w:val="22"/>
                <w:szCs w:val="22"/>
              </w:rPr>
            </w:pPr>
            <w:r w:rsidRPr="0015239F">
              <w:rPr>
                <w:sz w:val="22"/>
                <w:szCs w:val="22"/>
              </w:rPr>
              <w:t xml:space="preserve">Syria Civil Defence (through </w:t>
            </w:r>
            <w:r w:rsidR="001E6DE3" w:rsidRPr="0015239F">
              <w:rPr>
                <w:sz w:val="22"/>
                <w:szCs w:val="22"/>
              </w:rPr>
              <w:t>Mayday Rescue</w:t>
            </w:r>
            <w:r w:rsidRPr="0015239F">
              <w:rPr>
                <w:sz w:val="22"/>
                <w:szCs w:val="22"/>
              </w:rPr>
              <w:t>)</w:t>
            </w:r>
          </w:p>
        </w:tc>
      </w:tr>
      <w:tr w:rsidR="001E6DE3" w:rsidRPr="0015239F" w:rsidTr="002D4065">
        <w:tc>
          <w:tcPr>
            <w:tcW w:w="2694" w:type="dxa"/>
            <w:shd w:val="clear" w:color="auto" w:fill="EBD9E2"/>
          </w:tcPr>
          <w:p w:rsidR="001E6DE3" w:rsidRPr="0015239F" w:rsidRDefault="001E6DE3" w:rsidP="0080400C">
            <w:pPr>
              <w:rPr>
                <w:sz w:val="22"/>
                <w:szCs w:val="22"/>
              </w:rPr>
            </w:pPr>
            <w:r w:rsidRPr="0015239F">
              <w:rPr>
                <w:sz w:val="22"/>
                <w:szCs w:val="22"/>
              </w:rPr>
              <w:t>Danish contribution</w:t>
            </w:r>
          </w:p>
        </w:tc>
        <w:tc>
          <w:tcPr>
            <w:tcW w:w="6945" w:type="dxa"/>
          </w:tcPr>
          <w:p w:rsidR="001E6DE3" w:rsidRPr="0015239F" w:rsidRDefault="009A1E8F" w:rsidP="0080400C">
            <w:pPr>
              <w:rPr>
                <w:sz w:val="22"/>
                <w:szCs w:val="22"/>
              </w:rPr>
            </w:pPr>
            <w:r w:rsidRPr="0015239F">
              <w:rPr>
                <w:sz w:val="22"/>
                <w:szCs w:val="22"/>
              </w:rPr>
              <w:t>20 M DKK in 2016, 20 M DKK in 2017 and 20 M DKK in 2018</w:t>
            </w:r>
          </w:p>
        </w:tc>
      </w:tr>
      <w:tr w:rsidR="001E6DE3" w:rsidRPr="0015239F" w:rsidTr="002D4065">
        <w:tc>
          <w:tcPr>
            <w:tcW w:w="2694" w:type="dxa"/>
            <w:shd w:val="clear" w:color="auto" w:fill="EBD9E2"/>
          </w:tcPr>
          <w:p w:rsidR="001E6DE3" w:rsidRPr="0015239F" w:rsidRDefault="001E6DE3" w:rsidP="0080400C">
            <w:pPr>
              <w:rPr>
                <w:sz w:val="22"/>
                <w:szCs w:val="22"/>
              </w:rPr>
            </w:pPr>
            <w:r w:rsidRPr="0015239F">
              <w:rPr>
                <w:sz w:val="22"/>
                <w:szCs w:val="22"/>
              </w:rPr>
              <w:t>Total budget</w:t>
            </w:r>
          </w:p>
        </w:tc>
        <w:tc>
          <w:tcPr>
            <w:tcW w:w="6945" w:type="dxa"/>
          </w:tcPr>
          <w:p w:rsidR="001E6DE3" w:rsidRPr="0015239F" w:rsidRDefault="004B72DE" w:rsidP="0080400C">
            <w:pPr>
              <w:rPr>
                <w:sz w:val="22"/>
                <w:szCs w:val="22"/>
              </w:rPr>
            </w:pPr>
            <w:r w:rsidRPr="0015239F">
              <w:rPr>
                <w:sz w:val="22"/>
                <w:szCs w:val="22"/>
              </w:rPr>
              <w:t>GBP 15.</w:t>
            </w:r>
            <w:r w:rsidR="002132F4" w:rsidRPr="0015239F">
              <w:rPr>
                <w:sz w:val="22"/>
                <w:szCs w:val="22"/>
              </w:rPr>
              <w:t>8 million</w:t>
            </w:r>
          </w:p>
        </w:tc>
      </w:tr>
      <w:tr w:rsidR="001E6DE3" w:rsidRPr="0015239F" w:rsidTr="002D4065">
        <w:tc>
          <w:tcPr>
            <w:tcW w:w="2694" w:type="dxa"/>
            <w:shd w:val="clear" w:color="auto" w:fill="EBD9E2"/>
          </w:tcPr>
          <w:p w:rsidR="001E6DE3" w:rsidRPr="0015239F" w:rsidRDefault="001E6DE3" w:rsidP="0080400C">
            <w:pPr>
              <w:rPr>
                <w:sz w:val="22"/>
                <w:szCs w:val="22"/>
              </w:rPr>
            </w:pPr>
            <w:r w:rsidRPr="0015239F">
              <w:rPr>
                <w:sz w:val="22"/>
                <w:szCs w:val="22"/>
              </w:rPr>
              <w:t>Project period</w:t>
            </w:r>
          </w:p>
        </w:tc>
        <w:tc>
          <w:tcPr>
            <w:tcW w:w="6945" w:type="dxa"/>
          </w:tcPr>
          <w:p w:rsidR="001E6DE3" w:rsidRPr="0015239F" w:rsidRDefault="001E6DE3" w:rsidP="00BA69C1">
            <w:pPr>
              <w:rPr>
                <w:sz w:val="22"/>
                <w:szCs w:val="22"/>
                <w:highlight w:val="yellow"/>
              </w:rPr>
            </w:pPr>
            <w:r w:rsidRPr="0015239F">
              <w:rPr>
                <w:sz w:val="22"/>
                <w:szCs w:val="22"/>
              </w:rPr>
              <w:t xml:space="preserve">1 September </w:t>
            </w:r>
            <w:r w:rsidR="00BA69C1" w:rsidRPr="0015239F">
              <w:rPr>
                <w:sz w:val="22"/>
                <w:szCs w:val="22"/>
              </w:rPr>
              <w:t xml:space="preserve">2016 </w:t>
            </w:r>
            <w:r w:rsidRPr="0015239F">
              <w:rPr>
                <w:sz w:val="22"/>
                <w:szCs w:val="22"/>
              </w:rPr>
              <w:t xml:space="preserve">to 31 August </w:t>
            </w:r>
            <w:r w:rsidR="00BA69C1" w:rsidRPr="0015239F">
              <w:rPr>
                <w:sz w:val="22"/>
                <w:szCs w:val="22"/>
              </w:rPr>
              <w:t>2017 (expected to be renewed on annual basis)</w:t>
            </w:r>
          </w:p>
        </w:tc>
      </w:tr>
      <w:tr w:rsidR="001E6DE3" w:rsidRPr="0015239F" w:rsidTr="002D4065">
        <w:tc>
          <w:tcPr>
            <w:tcW w:w="2694" w:type="dxa"/>
            <w:shd w:val="clear" w:color="auto" w:fill="EBD9E2"/>
          </w:tcPr>
          <w:p w:rsidR="001E6DE3" w:rsidRPr="0015239F" w:rsidRDefault="001E6DE3" w:rsidP="0080400C">
            <w:pPr>
              <w:rPr>
                <w:sz w:val="22"/>
                <w:szCs w:val="22"/>
              </w:rPr>
            </w:pPr>
            <w:r w:rsidRPr="0015239F">
              <w:rPr>
                <w:sz w:val="22"/>
                <w:szCs w:val="22"/>
              </w:rPr>
              <w:t>Other donors</w:t>
            </w:r>
          </w:p>
        </w:tc>
        <w:tc>
          <w:tcPr>
            <w:tcW w:w="6945" w:type="dxa"/>
          </w:tcPr>
          <w:p w:rsidR="001E6DE3" w:rsidRPr="0015239F" w:rsidRDefault="00646D3C" w:rsidP="0080400C">
            <w:pPr>
              <w:rPr>
                <w:sz w:val="22"/>
                <w:szCs w:val="22"/>
              </w:rPr>
            </w:pPr>
            <w:r w:rsidRPr="0015239F">
              <w:rPr>
                <w:sz w:val="22"/>
                <w:szCs w:val="22"/>
              </w:rPr>
              <w:t>UK, Netherlands, Japan</w:t>
            </w:r>
            <w:r w:rsidR="005F2F41" w:rsidRPr="0015239F">
              <w:rPr>
                <w:sz w:val="22"/>
                <w:szCs w:val="22"/>
              </w:rPr>
              <w:t>, Germany</w:t>
            </w:r>
          </w:p>
        </w:tc>
      </w:tr>
      <w:tr w:rsidR="001E6DE3" w:rsidRPr="0015239F" w:rsidTr="002D4065">
        <w:tc>
          <w:tcPr>
            <w:tcW w:w="9639" w:type="dxa"/>
            <w:gridSpan w:val="2"/>
            <w:shd w:val="clear" w:color="auto" w:fill="EBD9E2"/>
          </w:tcPr>
          <w:p w:rsidR="001E6DE3" w:rsidRPr="0015239F" w:rsidRDefault="000F3FB7" w:rsidP="0080400C">
            <w:pPr>
              <w:rPr>
                <w:sz w:val="22"/>
                <w:szCs w:val="22"/>
              </w:rPr>
            </w:pPr>
            <w:r w:rsidRPr="0015239F">
              <w:rPr>
                <w:sz w:val="22"/>
                <w:szCs w:val="22"/>
              </w:rPr>
              <w:t>O</w:t>
            </w:r>
            <w:r w:rsidR="001E6DE3" w:rsidRPr="0015239F">
              <w:rPr>
                <w:sz w:val="22"/>
                <w:szCs w:val="22"/>
              </w:rPr>
              <w:t>bjective (output to overall programme results framework)</w:t>
            </w:r>
          </w:p>
        </w:tc>
      </w:tr>
      <w:tr w:rsidR="001E6DE3" w:rsidRPr="0015239F" w:rsidTr="00EB5A86">
        <w:tc>
          <w:tcPr>
            <w:tcW w:w="9639" w:type="dxa"/>
            <w:gridSpan w:val="2"/>
          </w:tcPr>
          <w:p w:rsidR="001E6DE3" w:rsidRPr="0015239F" w:rsidRDefault="00E006B8" w:rsidP="00E006B8">
            <w:pPr>
              <w:rPr>
                <w:sz w:val="22"/>
                <w:szCs w:val="22"/>
              </w:rPr>
            </w:pPr>
            <w:r w:rsidRPr="0015239F">
              <w:rPr>
                <w:sz w:val="22"/>
                <w:szCs w:val="22"/>
              </w:rPr>
              <w:t>Immediate stabilisation and early service delivery recovery is supported in moderate opposition held and newly Da’esh-liberated areas of Syria through moderate civilian actors.</w:t>
            </w:r>
          </w:p>
        </w:tc>
      </w:tr>
      <w:tr w:rsidR="001E6DE3" w:rsidRPr="0015239F" w:rsidTr="002D4065">
        <w:tc>
          <w:tcPr>
            <w:tcW w:w="9639" w:type="dxa"/>
            <w:gridSpan w:val="2"/>
            <w:shd w:val="clear" w:color="auto" w:fill="EBD9E2"/>
          </w:tcPr>
          <w:p w:rsidR="001E6DE3" w:rsidRPr="0015239F" w:rsidRDefault="001E6DE3" w:rsidP="0080400C">
            <w:pPr>
              <w:rPr>
                <w:sz w:val="22"/>
                <w:szCs w:val="22"/>
              </w:rPr>
            </w:pPr>
            <w:r w:rsidRPr="0015239F">
              <w:rPr>
                <w:sz w:val="22"/>
                <w:szCs w:val="22"/>
              </w:rPr>
              <w:t>Engagement description</w:t>
            </w:r>
          </w:p>
        </w:tc>
      </w:tr>
      <w:tr w:rsidR="001E6DE3" w:rsidRPr="0015239F" w:rsidTr="00EB5A86">
        <w:tc>
          <w:tcPr>
            <w:tcW w:w="9639" w:type="dxa"/>
            <w:gridSpan w:val="2"/>
          </w:tcPr>
          <w:p w:rsidR="001E6DE3" w:rsidRPr="0015239F" w:rsidRDefault="003B7CFF" w:rsidP="0080400C">
            <w:pPr>
              <w:rPr>
                <w:sz w:val="22"/>
                <w:szCs w:val="22"/>
              </w:rPr>
            </w:pPr>
            <w:r w:rsidRPr="0015239F">
              <w:rPr>
                <w:sz w:val="22"/>
                <w:szCs w:val="22"/>
              </w:rPr>
              <w:t>This engagement will continue the Danish contribution to Syria Civil Defence (</w:t>
            </w:r>
            <w:r w:rsidR="00E006B8" w:rsidRPr="0015239F">
              <w:rPr>
                <w:sz w:val="22"/>
                <w:szCs w:val="22"/>
              </w:rPr>
              <w:t xml:space="preserve">SCD, </w:t>
            </w:r>
            <w:r w:rsidRPr="0015239F">
              <w:rPr>
                <w:sz w:val="22"/>
                <w:szCs w:val="22"/>
              </w:rPr>
              <w:t xml:space="preserve">the While Helmets) through the NGO Mayday Rescue and </w:t>
            </w:r>
            <w:r w:rsidR="007F3886" w:rsidRPr="0015239F">
              <w:rPr>
                <w:sz w:val="22"/>
                <w:szCs w:val="22"/>
              </w:rPr>
              <w:t>via a delegate</w:t>
            </w:r>
            <w:r w:rsidR="00D36D48" w:rsidRPr="0015239F">
              <w:rPr>
                <w:sz w:val="22"/>
                <w:szCs w:val="22"/>
              </w:rPr>
              <w:t>d cooperation arrangement with t</w:t>
            </w:r>
            <w:r w:rsidR="007F3886" w:rsidRPr="0015239F">
              <w:rPr>
                <w:sz w:val="22"/>
                <w:szCs w:val="22"/>
              </w:rPr>
              <w:t>he UK Foreign and Commonwealth Office.</w:t>
            </w:r>
          </w:p>
          <w:p w:rsidR="007F3886" w:rsidRPr="0015239F" w:rsidRDefault="00E006B8" w:rsidP="00E006B8">
            <w:pPr>
              <w:rPr>
                <w:sz w:val="22"/>
                <w:szCs w:val="22"/>
              </w:rPr>
            </w:pPr>
            <w:r w:rsidRPr="0015239F">
              <w:rPr>
                <w:sz w:val="22"/>
                <w:szCs w:val="22"/>
              </w:rPr>
              <w:t xml:space="preserve">SCD </w:t>
            </w:r>
            <w:r w:rsidR="007F3886" w:rsidRPr="0015239F">
              <w:rPr>
                <w:sz w:val="22"/>
                <w:szCs w:val="22"/>
              </w:rPr>
              <w:t xml:space="preserve">formed as a </w:t>
            </w:r>
            <w:r w:rsidR="00182742" w:rsidRPr="0015239F">
              <w:rPr>
                <w:sz w:val="22"/>
                <w:szCs w:val="22"/>
              </w:rPr>
              <w:t xml:space="preserve">grassroots </w:t>
            </w:r>
            <w:r w:rsidR="007F3886" w:rsidRPr="0015239F">
              <w:rPr>
                <w:sz w:val="22"/>
                <w:szCs w:val="22"/>
              </w:rPr>
              <w:t xml:space="preserve">reaction to the aerial and ground bombardment of civilian communities in Syria </w:t>
            </w:r>
            <w:r w:rsidRPr="0015239F">
              <w:rPr>
                <w:sz w:val="22"/>
                <w:szCs w:val="22"/>
              </w:rPr>
              <w:t>in 2013</w:t>
            </w:r>
            <w:r w:rsidR="007F3886" w:rsidRPr="0015239F">
              <w:rPr>
                <w:sz w:val="22"/>
                <w:szCs w:val="22"/>
              </w:rPr>
              <w:t xml:space="preserve">. </w:t>
            </w:r>
            <w:r w:rsidR="007F3886" w:rsidRPr="0015239F">
              <w:rPr>
                <w:rFonts w:cs="Arial"/>
                <w:sz w:val="22"/>
                <w:szCs w:val="22"/>
              </w:rPr>
              <w:t xml:space="preserve">As at March 2016, 2,900 active volunteers work </w:t>
            </w:r>
            <w:r w:rsidRPr="0015239F">
              <w:rPr>
                <w:rFonts w:cs="Arial"/>
                <w:sz w:val="22"/>
                <w:szCs w:val="22"/>
              </w:rPr>
              <w:t xml:space="preserve">in </w:t>
            </w:r>
            <w:r w:rsidR="007F3886" w:rsidRPr="0015239F">
              <w:rPr>
                <w:rFonts w:cs="Arial"/>
                <w:sz w:val="22"/>
                <w:szCs w:val="22"/>
              </w:rPr>
              <w:t>114 civil defence teams, serv</w:t>
            </w:r>
            <w:r w:rsidRPr="0015239F">
              <w:rPr>
                <w:rFonts w:cs="Arial"/>
                <w:sz w:val="22"/>
                <w:szCs w:val="22"/>
              </w:rPr>
              <w:t>e</w:t>
            </w:r>
            <w:r w:rsidR="007F3886" w:rsidRPr="0015239F">
              <w:rPr>
                <w:rFonts w:cs="Arial"/>
                <w:sz w:val="22"/>
                <w:szCs w:val="22"/>
              </w:rPr>
              <w:t xml:space="preserve"> a population of over 6 million</w:t>
            </w:r>
            <w:r w:rsidRPr="0015239F">
              <w:rPr>
                <w:rFonts w:cs="Arial"/>
                <w:sz w:val="22"/>
                <w:szCs w:val="22"/>
              </w:rPr>
              <w:t xml:space="preserve"> and have saved over 14,840 lives</w:t>
            </w:r>
            <w:r w:rsidR="007F3886" w:rsidRPr="0015239F">
              <w:rPr>
                <w:rFonts w:cs="Arial"/>
                <w:sz w:val="22"/>
                <w:szCs w:val="22"/>
              </w:rPr>
              <w:t xml:space="preserve">. </w:t>
            </w:r>
            <w:r w:rsidRPr="0015239F">
              <w:rPr>
                <w:rFonts w:cs="Arial"/>
                <w:sz w:val="22"/>
                <w:szCs w:val="22"/>
              </w:rPr>
              <w:t>T</w:t>
            </w:r>
            <w:r w:rsidR="007F3886" w:rsidRPr="0015239F">
              <w:rPr>
                <w:rFonts w:cs="Arial"/>
                <w:sz w:val="22"/>
                <w:szCs w:val="22"/>
              </w:rPr>
              <w:t>eams respond daily to urgent civilian needs by delivering essential services such as rescue, fire</w:t>
            </w:r>
            <w:r w:rsidR="00BA69C1" w:rsidRPr="0015239F">
              <w:rPr>
                <w:rFonts w:cs="Arial"/>
                <w:sz w:val="22"/>
                <w:szCs w:val="22"/>
              </w:rPr>
              <w:t>-</w:t>
            </w:r>
            <w:r w:rsidR="007F3886" w:rsidRPr="0015239F">
              <w:rPr>
                <w:rFonts w:cs="Arial"/>
                <w:sz w:val="22"/>
                <w:szCs w:val="22"/>
              </w:rPr>
              <w:t xml:space="preserve">fighting, utility restoration and ambulance services. In March 2016, SCD started </w:t>
            </w:r>
            <w:r w:rsidR="007F3886" w:rsidRPr="0015239F">
              <w:rPr>
                <w:rFonts w:cs="Arial"/>
                <w:sz w:val="22"/>
                <w:szCs w:val="22"/>
              </w:rPr>
              <w:lastRenderedPageBreak/>
              <w:t xml:space="preserve">deploying unexploded ordnance (UXO) teams and, with </w:t>
            </w:r>
            <w:r w:rsidR="002845A5" w:rsidRPr="0015239F">
              <w:rPr>
                <w:rFonts w:cs="Arial"/>
                <w:sz w:val="22"/>
                <w:szCs w:val="22"/>
              </w:rPr>
              <w:t xml:space="preserve">previous </w:t>
            </w:r>
            <w:r w:rsidR="007F3886" w:rsidRPr="0015239F">
              <w:rPr>
                <w:rFonts w:cs="Arial"/>
                <w:sz w:val="22"/>
                <w:szCs w:val="22"/>
              </w:rPr>
              <w:t xml:space="preserve">Danish funds, </w:t>
            </w:r>
            <w:r w:rsidRPr="0015239F">
              <w:rPr>
                <w:rFonts w:cs="Arial"/>
                <w:sz w:val="22"/>
                <w:szCs w:val="22"/>
              </w:rPr>
              <w:t xml:space="preserve">it developed </w:t>
            </w:r>
            <w:r w:rsidR="007F3886" w:rsidRPr="0015239F">
              <w:rPr>
                <w:rFonts w:cs="Arial"/>
                <w:sz w:val="22"/>
                <w:szCs w:val="22"/>
              </w:rPr>
              <w:t xml:space="preserve">a Chemical Survey capability. </w:t>
            </w:r>
            <w:r w:rsidR="007F3886" w:rsidRPr="0015239F">
              <w:rPr>
                <w:sz w:val="22"/>
                <w:szCs w:val="22"/>
              </w:rPr>
              <w:t>At the operational level, increased challenges during 2015 with crossing the border into Syria from Turkey led Mayday and SCD to adopt a Training of Trainers approach through which SCD personnel are now trained through five training centres inside Syria</w:t>
            </w:r>
            <w:r w:rsidRPr="0015239F">
              <w:rPr>
                <w:sz w:val="22"/>
                <w:szCs w:val="22"/>
              </w:rPr>
              <w:t xml:space="preserve">, </w:t>
            </w:r>
            <w:r w:rsidR="007F3886" w:rsidRPr="0015239F">
              <w:rPr>
                <w:sz w:val="22"/>
                <w:szCs w:val="22"/>
              </w:rPr>
              <w:t>contribut</w:t>
            </w:r>
            <w:r w:rsidRPr="0015239F">
              <w:rPr>
                <w:sz w:val="22"/>
                <w:szCs w:val="22"/>
              </w:rPr>
              <w:t>ing</w:t>
            </w:r>
            <w:r w:rsidR="007F3886" w:rsidRPr="0015239F">
              <w:rPr>
                <w:sz w:val="22"/>
                <w:szCs w:val="22"/>
              </w:rPr>
              <w:t xml:space="preserve"> to SCD sustainability.</w:t>
            </w:r>
          </w:p>
          <w:p w:rsidR="00B9556D" w:rsidRPr="0015239F" w:rsidRDefault="002825E2" w:rsidP="00E006B8">
            <w:pPr>
              <w:rPr>
                <w:sz w:val="22"/>
                <w:szCs w:val="22"/>
              </w:rPr>
            </w:pPr>
            <w:r w:rsidRPr="0015239F">
              <w:rPr>
                <w:sz w:val="22"/>
                <w:szCs w:val="22"/>
              </w:rPr>
              <w:t xml:space="preserve">The rationale for supporting SCD is to strengthen moderate Syrian institutions that are recognised as credible, effective, and legitimate so that they are able to deliver services that increase the resilience of Syrian communities resisting regime and </w:t>
            </w:r>
            <w:r w:rsidR="00E006B8" w:rsidRPr="0015239F">
              <w:rPr>
                <w:sz w:val="22"/>
                <w:szCs w:val="22"/>
              </w:rPr>
              <w:t xml:space="preserve">Da’esh </w:t>
            </w:r>
            <w:r w:rsidRPr="0015239F">
              <w:rPr>
                <w:sz w:val="22"/>
                <w:szCs w:val="22"/>
              </w:rPr>
              <w:t>abuses and demonstrate alternative</w:t>
            </w:r>
            <w:r w:rsidR="00E006B8" w:rsidRPr="0015239F">
              <w:rPr>
                <w:sz w:val="22"/>
                <w:szCs w:val="22"/>
              </w:rPr>
              <w:t xml:space="preserve"> modalities than those advocated by Da’esh and the </w:t>
            </w:r>
            <w:r w:rsidR="00451CCC">
              <w:rPr>
                <w:sz w:val="22"/>
                <w:szCs w:val="22"/>
              </w:rPr>
              <w:t>r</w:t>
            </w:r>
            <w:r w:rsidR="00E006B8" w:rsidRPr="0015239F">
              <w:rPr>
                <w:sz w:val="22"/>
                <w:szCs w:val="22"/>
              </w:rPr>
              <w:t>egime</w:t>
            </w:r>
            <w:r w:rsidRPr="0015239F">
              <w:rPr>
                <w:sz w:val="22"/>
                <w:szCs w:val="22"/>
              </w:rPr>
              <w:t xml:space="preserve">. </w:t>
            </w:r>
          </w:p>
          <w:p w:rsidR="007F3886" w:rsidRPr="0015239F" w:rsidRDefault="003C40DE" w:rsidP="00E006B8">
            <w:pPr>
              <w:rPr>
                <w:sz w:val="22"/>
                <w:szCs w:val="22"/>
              </w:rPr>
            </w:pPr>
            <w:r w:rsidRPr="0015239F">
              <w:rPr>
                <w:sz w:val="22"/>
                <w:szCs w:val="22"/>
              </w:rPr>
              <w:t xml:space="preserve">The new Danish contribution will join other donor </w:t>
            </w:r>
            <w:r w:rsidR="002825E2" w:rsidRPr="0015239F">
              <w:rPr>
                <w:sz w:val="22"/>
                <w:szCs w:val="22"/>
              </w:rPr>
              <w:t xml:space="preserve">support channelled through Mayday Rescue, a not for profit organisation based in Istanbul with teams in Adana </w:t>
            </w:r>
            <w:r w:rsidR="00E006B8" w:rsidRPr="0015239F">
              <w:rPr>
                <w:sz w:val="22"/>
                <w:szCs w:val="22"/>
              </w:rPr>
              <w:t>(</w:t>
            </w:r>
            <w:r w:rsidR="002825E2" w:rsidRPr="0015239F">
              <w:rPr>
                <w:sz w:val="22"/>
                <w:szCs w:val="22"/>
              </w:rPr>
              <w:t>Southern Turkey</w:t>
            </w:r>
            <w:r w:rsidR="00E006B8" w:rsidRPr="0015239F">
              <w:rPr>
                <w:sz w:val="22"/>
                <w:szCs w:val="22"/>
              </w:rPr>
              <w:t xml:space="preserve">) </w:t>
            </w:r>
            <w:r w:rsidR="002825E2" w:rsidRPr="0015239F">
              <w:rPr>
                <w:sz w:val="22"/>
                <w:szCs w:val="22"/>
              </w:rPr>
              <w:t>and Amman</w:t>
            </w:r>
            <w:r w:rsidR="00E006B8" w:rsidRPr="0015239F">
              <w:rPr>
                <w:sz w:val="22"/>
                <w:szCs w:val="22"/>
              </w:rPr>
              <w:t xml:space="preserve"> (</w:t>
            </w:r>
            <w:r w:rsidR="002825E2" w:rsidRPr="0015239F">
              <w:rPr>
                <w:sz w:val="22"/>
                <w:szCs w:val="22"/>
              </w:rPr>
              <w:t>Jordan</w:t>
            </w:r>
            <w:r w:rsidR="00E006B8" w:rsidRPr="0015239F">
              <w:rPr>
                <w:sz w:val="22"/>
                <w:szCs w:val="22"/>
              </w:rPr>
              <w:t>)</w:t>
            </w:r>
            <w:r w:rsidR="002825E2" w:rsidRPr="0015239F">
              <w:rPr>
                <w:sz w:val="22"/>
                <w:szCs w:val="22"/>
              </w:rPr>
              <w:t xml:space="preserve">. Mayday has been instrumental in developing SCD from its beginnings as a single local rescue team of 25 volunteers in March 2013 to the nationwide organisation that it is today.  The approach taken is one of building the capacity of local communities, providing training and monitoring, partnering, and organising and channelling external support (including equipment and stipends) from international donors. </w:t>
            </w:r>
          </w:p>
        </w:tc>
      </w:tr>
      <w:tr w:rsidR="001E6DE3" w:rsidRPr="0015239F" w:rsidTr="002D4065">
        <w:tc>
          <w:tcPr>
            <w:tcW w:w="9639" w:type="dxa"/>
            <w:gridSpan w:val="2"/>
            <w:shd w:val="clear" w:color="auto" w:fill="EBD9E2"/>
          </w:tcPr>
          <w:p w:rsidR="001E6DE3" w:rsidRPr="0015239F" w:rsidRDefault="001E6DE3" w:rsidP="0080400C">
            <w:pPr>
              <w:rPr>
                <w:sz w:val="22"/>
                <w:szCs w:val="22"/>
              </w:rPr>
            </w:pPr>
            <w:r w:rsidRPr="0015239F">
              <w:rPr>
                <w:sz w:val="22"/>
                <w:szCs w:val="22"/>
              </w:rPr>
              <w:lastRenderedPageBreak/>
              <w:t>Previous support</w:t>
            </w:r>
          </w:p>
        </w:tc>
      </w:tr>
      <w:tr w:rsidR="001E6DE3" w:rsidRPr="0015239F" w:rsidTr="00EB5A86">
        <w:tc>
          <w:tcPr>
            <w:tcW w:w="9639" w:type="dxa"/>
            <w:gridSpan w:val="2"/>
            <w:shd w:val="clear" w:color="auto" w:fill="auto"/>
          </w:tcPr>
          <w:p w:rsidR="001E6DE3" w:rsidRPr="0015239F" w:rsidRDefault="00FB7AB6" w:rsidP="00FB7AB6">
            <w:pPr>
              <w:rPr>
                <w:sz w:val="22"/>
                <w:szCs w:val="22"/>
              </w:rPr>
            </w:pPr>
            <w:r w:rsidRPr="0015239F">
              <w:rPr>
                <w:sz w:val="22"/>
                <w:szCs w:val="22"/>
              </w:rPr>
              <w:t xml:space="preserve">DKK 30 million in 2015-16, </w:t>
            </w:r>
            <w:r w:rsidR="001E6DE3" w:rsidRPr="0015239F">
              <w:rPr>
                <w:sz w:val="22"/>
                <w:szCs w:val="22"/>
              </w:rPr>
              <w:t xml:space="preserve">DKK 15 million 2014-15 </w:t>
            </w:r>
          </w:p>
        </w:tc>
      </w:tr>
    </w:tbl>
    <w:p w:rsidR="00F94F9B" w:rsidRPr="00816FC2" w:rsidRDefault="00F94F9B" w:rsidP="007B2E4E">
      <w:pPr>
        <w:pStyle w:val="Overskrift1"/>
      </w:pPr>
      <w:bookmarkStart w:id="52" w:name="_Toc323741000"/>
      <w:bookmarkStart w:id="53" w:name="_Toc332370521"/>
      <w:r w:rsidRPr="00816FC2">
        <w:lastRenderedPageBreak/>
        <w:t>Overview of management set up</w:t>
      </w:r>
      <w:bookmarkEnd w:id="52"/>
      <w:bookmarkEnd w:id="53"/>
      <w:r w:rsidRPr="00816FC2">
        <w:t xml:space="preserve"> </w:t>
      </w:r>
    </w:p>
    <w:p w:rsidR="00795EE5" w:rsidRPr="00816FC2" w:rsidRDefault="00680529" w:rsidP="00680529">
      <w:pPr>
        <w:rPr>
          <w:i/>
        </w:rPr>
      </w:pPr>
      <w:r>
        <w:t>P</w:t>
      </w:r>
      <w:r w:rsidR="006A33C8" w:rsidRPr="00816FC2">
        <w:t xml:space="preserve">rogramme design takes account of the need to </w:t>
      </w:r>
      <w:r w:rsidR="004B02BA">
        <w:t xml:space="preserve">minimise </w:t>
      </w:r>
      <w:r w:rsidR="006A33C8" w:rsidRPr="00816FC2">
        <w:t xml:space="preserve"> overall transaction costs to the MFA. A</w:t>
      </w:r>
      <w:r w:rsidR="00294458" w:rsidRPr="00816FC2">
        <w:t xml:space="preserve">s a result, </w:t>
      </w:r>
      <w:r w:rsidR="006D2FF9">
        <w:t xml:space="preserve">almost </w:t>
      </w:r>
      <w:r w:rsidR="00294458" w:rsidRPr="00816FC2">
        <w:t>a</w:t>
      </w:r>
      <w:r w:rsidR="006A33C8" w:rsidRPr="00816FC2">
        <w:t>ll p</w:t>
      </w:r>
      <w:r w:rsidR="00CD44AB" w:rsidRPr="00816FC2">
        <w:t xml:space="preserve">roposed engagements </w:t>
      </w:r>
      <w:r w:rsidR="006A33C8" w:rsidRPr="00816FC2">
        <w:t>utilise either joint (pooled) and</w:t>
      </w:r>
      <w:r>
        <w:t xml:space="preserve"> </w:t>
      </w:r>
      <w:r w:rsidR="006A33C8" w:rsidRPr="00816FC2">
        <w:t>/</w:t>
      </w:r>
      <w:r>
        <w:t xml:space="preserve"> </w:t>
      </w:r>
      <w:r w:rsidR="006A33C8" w:rsidRPr="00816FC2">
        <w:t xml:space="preserve">or delegated cooperation arrangements with well-established partners (mostly </w:t>
      </w:r>
      <w:r>
        <w:t xml:space="preserve">the </w:t>
      </w:r>
      <w:r w:rsidR="006A33C8" w:rsidRPr="00816FC2">
        <w:t xml:space="preserve">UK and UN agencies). These arrangements have worked well </w:t>
      </w:r>
      <w:r>
        <w:t xml:space="preserve">under </w:t>
      </w:r>
      <w:r w:rsidR="00294458" w:rsidRPr="00816FC2">
        <w:t xml:space="preserve">previous </w:t>
      </w:r>
      <w:r w:rsidR="006A33C8" w:rsidRPr="00816FC2">
        <w:t>programmes</w:t>
      </w:r>
      <w:r w:rsidR="00294458" w:rsidRPr="00816FC2">
        <w:t xml:space="preserve"> and have permitted a certain degree of choice relating where to prioritise the management effort</w:t>
      </w:r>
      <w:r w:rsidR="006A33C8" w:rsidRPr="00816FC2">
        <w:t xml:space="preserve">. </w:t>
      </w:r>
      <w:r>
        <w:t xml:space="preserve">Engagement </w:t>
      </w:r>
      <w:r w:rsidR="00DD0617" w:rsidRPr="00816FC2">
        <w:t xml:space="preserve">modalities </w:t>
      </w:r>
      <w:r>
        <w:t xml:space="preserve">are </w:t>
      </w:r>
      <w:r w:rsidR="00DD0617" w:rsidRPr="00816FC2">
        <w:t>set out below:</w:t>
      </w:r>
      <w:r w:rsidR="006C13F5" w:rsidRPr="00816FC2">
        <w:t xml:space="preserve"> </w:t>
      </w:r>
    </w:p>
    <w:tbl>
      <w:tblPr>
        <w:tblStyle w:val="Lysliste-fremhvningsfarve4"/>
        <w:tblW w:w="9747" w:type="dxa"/>
        <w:tblBorders>
          <w:top w:val="single" w:sz="4" w:space="0" w:color="3E2C42"/>
          <w:left w:val="single" w:sz="4" w:space="0" w:color="3E2C42"/>
          <w:bottom w:val="single" w:sz="4" w:space="0" w:color="3E2C42"/>
          <w:right w:val="single" w:sz="4" w:space="0" w:color="3E2C42"/>
          <w:insideH w:val="single" w:sz="4" w:space="0" w:color="3E2C42"/>
          <w:insideV w:val="single" w:sz="4" w:space="0" w:color="3E2C42"/>
        </w:tblBorders>
        <w:tblLook w:val="04A0" w:firstRow="1" w:lastRow="0" w:firstColumn="1" w:lastColumn="0" w:noHBand="0" w:noVBand="1"/>
      </w:tblPr>
      <w:tblGrid>
        <w:gridCol w:w="1668"/>
        <w:gridCol w:w="3402"/>
        <w:gridCol w:w="4677"/>
      </w:tblGrid>
      <w:tr w:rsidR="00543993" w:rsidRPr="00816FC2" w:rsidTr="00B9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3E2C42"/>
            <w:vAlign w:val="center"/>
          </w:tcPr>
          <w:p w:rsidR="00543993" w:rsidRPr="00816FC2" w:rsidRDefault="00543993" w:rsidP="00B97F68">
            <w:pPr>
              <w:spacing w:after="0"/>
              <w:jc w:val="center"/>
              <w:rPr>
                <w:bCs w:val="0"/>
                <w:i/>
                <w:iCs/>
                <w:color w:val="FFFFFF" w:themeColor="background1"/>
                <w:sz w:val="22"/>
                <w:szCs w:val="22"/>
              </w:rPr>
            </w:pPr>
            <w:r w:rsidRPr="00816FC2">
              <w:rPr>
                <w:color w:val="FFFFFF" w:themeColor="background1"/>
                <w:sz w:val="22"/>
                <w:szCs w:val="22"/>
              </w:rPr>
              <w:t>Engagement</w:t>
            </w:r>
          </w:p>
        </w:tc>
        <w:tc>
          <w:tcPr>
            <w:tcW w:w="3402" w:type="dxa"/>
            <w:shd w:val="clear" w:color="auto" w:fill="3E2C42"/>
            <w:vAlign w:val="center"/>
          </w:tcPr>
          <w:p w:rsidR="00543993" w:rsidRPr="00816FC2" w:rsidRDefault="00543993" w:rsidP="004B02BA">
            <w:pPr>
              <w:spacing w:after="0"/>
              <w:jc w:val="center"/>
              <w:cnfStyle w:val="100000000000" w:firstRow="1" w:lastRow="0" w:firstColumn="0" w:lastColumn="0" w:oddVBand="0" w:evenVBand="0" w:oddHBand="0" w:evenHBand="0" w:firstRowFirstColumn="0" w:firstRowLastColumn="0" w:lastRowFirstColumn="0" w:lastRowLastColumn="0"/>
              <w:rPr>
                <w:bCs w:val="0"/>
                <w:i/>
                <w:iCs/>
                <w:color w:val="FFFFFF" w:themeColor="background1"/>
                <w:sz w:val="22"/>
                <w:szCs w:val="22"/>
              </w:rPr>
            </w:pPr>
            <w:r w:rsidRPr="00816FC2">
              <w:rPr>
                <w:color w:val="FFFFFF" w:themeColor="background1"/>
                <w:sz w:val="22"/>
                <w:szCs w:val="22"/>
              </w:rPr>
              <w:t xml:space="preserve">Modality to be used </w:t>
            </w:r>
          </w:p>
        </w:tc>
        <w:tc>
          <w:tcPr>
            <w:tcW w:w="4677" w:type="dxa"/>
            <w:shd w:val="clear" w:color="auto" w:fill="3E2C42"/>
            <w:vAlign w:val="center"/>
          </w:tcPr>
          <w:p w:rsidR="00543993" w:rsidRPr="00816FC2" w:rsidRDefault="00543993" w:rsidP="00B97F68">
            <w:pPr>
              <w:spacing w:after="0"/>
              <w:jc w:val="center"/>
              <w:cnfStyle w:val="100000000000" w:firstRow="1" w:lastRow="0" w:firstColumn="0" w:lastColumn="0" w:oddVBand="0" w:evenVBand="0" w:oddHBand="0" w:evenHBand="0" w:firstRowFirstColumn="0" w:firstRowLastColumn="0" w:lastRowFirstColumn="0" w:lastRowLastColumn="0"/>
              <w:rPr>
                <w:bCs w:val="0"/>
                <w:i/>
                <w:iCs/>
                <w:color w:val="FFFFFF" w:themeColor="background1"/>
                <w:sz w:val="22"/>
                <w:szCs w:val="22"/>
              </w:rPr>
            </w:pPr>
            <w:r w:rsidRPr="00816FC2">
              <w:rPr>
                <w:color w:val="FFFFFF" w:themeColor="background1"/>
                <w:sz w:val="22"/>
                <w:szCs w:val="22"/>
              </w:rPr>
              <w:t>Role of engagement partner &amp; donor interface</w:t>
            </w:r>
          </w:p>
        </w:tc>
      </w:tr>
      <w:tr w:rsidR="00543993" w:rsidRPr="00816FC2" w:rsidTr="00B9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EBD9E2"/>
          </w:tcPr>
          <w:p w:rsidR="00543993" w:rsidRPr="00816FC2" w:rsidRDefault="00543993" w:rsidP="00B97F68">
            <w:pPr>
              <w:spacing w:after="0"/>
              <w:rPr>
                <w:bCs w:val="0"/>
                <w:i/>
                <w:iCs/>
                <w:sz w:val="22"/>
                <w:szCs w:val="22"/>
              </w:rPr>
            </w:pPr>
            <w:r w:rsidRPr="00816FC2">
              <w:rPr>
                <w:sz w:val="22"/>
                <w:szCs w:val="22"/>
              </w:rPr>
              <w:t>UNDPA-led peace process</w:t>
            </w:r>
          </w:p>
        </w:tc>
        <w:tc>
          <w:tcPr>
            <w:tcW w:w="3402" w:type="dxa"/>
            <w:tcBorders>
              <w:top w:val="none" w:sz="0" w:space="0" w:color="auto"/>
              <w:bottom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UN Pooled funding (non-earmarked)</w:t>
            </w:r>
          </w:p>
        </w:tc>
        <w:tc>
          <w:tcPr>
            <w:tcW w:w="4677" w:type="dxa"/>
            <w:tcBorders>
              <w:top w:val="none" w:sz="0" w:space="0" w:color="auto"/>
              <w:bottom w:val="none" w:sz="0" w:space="0" w:color="auto"/>
              <w:right w:val="none" w:sz="0" w:space="0" w:color="auto"/>
            </w:tcBorders>
          </w:tcPr>
          <w:p w:rsidR="00543993" w:rsidRPr="00816FC2" w:rsidRDefault="00543993" w:rsidP="006D2FF9">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UN direct implementation (</w:t>
            </w:r>
            <w:r w:rsidR="00680529">
              <w:rPr>
                <w:sz w:val="22"/>
                <w:szCs w:val="22"/>
              </w:rPr>
              <w:t>T</w:t>
            </w:r>
            <w:r w:rsidR="006D2FF9">
              <w:rPr>
                <w:sz w:val="22"/>
                <w:szCs w:val="22"/>
              </w:rPr>
              <w:t>rack 1).</w:t>
            </w:r>
            <w:r w:rsidRPr="00816FC2">
              <w:rPr>
                <w:sz w:val="22"/>
                <w:szCs w:val="22"/>
              </w:rPr>
              <w:t xml:space="preserve"> </w:t>
            </w:r>
          </w:p>
        </w:tc>
      </w:tr>
      <w:tr w:rsidR="00543993" w:rsidRPr="00816FC2" w:rsidTr="00B97F68">
        <w:tc>
          <w:tcPr>
            <w:cnfStyle w:val="001000000000" w:firstRow="0" w:lastRow="0" w:firstColumn="1" w:lastColumn="0" w:oddVBand="0" w:evenVBand="0" w:oddHBand="0" w:evenHBand="0" w:firstRowFirstColumn="0" w:firstRowLastColumn="0" w:lastRowFirstColumn="0" w:lastRowLastColumn="0"/>
            <w:tcW w:w="1668" w:type="dxa"/>
            <w:shd w:val="clear" w:color="auto" w:fill="EBD9E2"/>
          </w:tcPr>
          <w:p w:rsidR="00543993" w:rsidRPr="00816FC2" w:rsidRDefault="00543993" w:rsidP="00B97F68">
            <w:pPr>
              <w:spacing w:after="0"/>
              <w:rPr>
                <w:bCs w:val="0"/>
                <w:i/>
                <w:iCs/>
                <w:sz w:val="22"/>
                <w:szCs w:val="22"/>
              </w:rPr>
            </w:pPr>
            <w:r w:rsidRPr="00816FC2">
              <w:rPr>
                <w:sz w:val="22"/>
                <w:szCs w:val="22"/>
              </w:rPr>
              <w:t>Baytna</w:t>
            </w:r>
          </w:p>
        </w:tc>
        <w:tc>
          <w:tcPr>
            <w:tcW w:w="3402"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Bilateral. Possibilities for pooled funding will be explored.</w:t>
            </w:r>
          </w:p>
        </w:tc>
        <w:tc>
          <w:tcPr>
            <w:tcW w:w="4677" w:type="dxa"/>
          </w:tcPr>
          <w:p w:rsidR="00543993" w:rsidRPr="00816FC2" w:rsidRDefault="00680529" w:rsidP="007F2463">
            <w:pPr>
              <w:spacing w:after="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543993" w:rsidRPr="00816FC2">
              <w:rPr>
                <w:sz w:val="22"/>
                <w:szCs w:val="22"/>
              </w:rPr>
              <w:t>irect implementation and through CSO grants. Management Board.</w:t>
            </w:r>
          </w:p>
        </w:tc>
      </w:tr>
      <w:tr w:rsidR="00543993" w:rsidRPr="00816FC2" w:rsidTr="00B9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EBD9E2"/>
          </w:tcPr>
          <w:p w:rsidR="00543993" w:rsidRPr="00816FC2" w:rsidRDefault="00543993" w:rsidP="00B97F68">
            <w:pPr>
              <w:spacing w:after="0"/>
              <w:rPr>
                <w:bCs w:val="0"/>
                <w:i/>
                <w:iCs/>
                <w:sz w:val="22"/>
                <w:szCs w:val="22"/>
              </w:rPr>
            </w:pPr>
            <w:r w:rsidRPr="00816FC2">
              <w:rPr>
                <w:sz w:val="22"/>
                <w:szCs w:val="22"/>
              </w:rPr>
              <w:t>The Day After</w:t>
            </w:r>
          </w:p>
        </w:tc>
        <w:tc>
          <w:tcPr>
            <w:tcW w:w="3402" w:type="dxa"/>
            <w:tcBorders>
              <w:top w:val="none" w:sz="0" w:space="0" w:color="auto"/>
              <w:bottom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Joint</w:t>
            </w:r>
          </w:p>
        </w:tc>
        <w:tc>
          <w:tcPr>
            <w:tcW w:w="4677" w:type="dxa"/>
            <w:tcBorders>
              <w:top w:val="none" w:sz="0" w:space="0" w:color="auto"/>
              <w:bottom w:val="none" w:sz="0" w:space="0" w:color="auto"/>
              <w:right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highlight w:val="yellow"/>
              </w:rPr>
            </w:pPr>
            <w:r w:rsidRPr="00816FC2">
              <w:rPr>
                <w:sz w:val="22"/>
                <w:szCs w:val="22"/>
              </w:rPr>
              <w:t>CSO direct implementation. Management Board.</w:t>
            </w:r>
          </w:p>
        </w:tc>
      </w:tr>
      <w:tr w:rsidR="00543993" w:rsidRPr="00816FC2" w:rsidTr="00B97F68">
        <w:tc>
          <w:tcPr>
            <w:cnfStyle w:val="001000000000" w:firstRow="0" w:lastRow="0" w:firstColumn="1" w:lastColumn="0" w:oddVBand="0" w:evenVBand="0" w:oddHBand="0" w:evenHBand="0" w:firstRowFirstColumn="0" w:firstRowLastColumn="0" w:lastRowFirstColumn="0" w:lastRowLastColumn="0"/>
            <w:tcW w:w="1668" w:type="dxa"/>
            <w:shd w:val="clear" w:color="auto" w:fill="EBD9E2"/>
          </w:tcPr>
          <w:p w:rsidR="00543993" w:rsidRPr="00816FC2" w:rsidRDefault="00543993" w:rsidP="00B97F68">
            <w:pPr>
              <w:spacing w:after="0"/>
              <w:rPr>
                <w:bCs w:val="0"/>
                <w:i/>
                <w:iCs/>
                <w:sz w:val="22"/>
                <w:szCs w:val="22"/>
              </w:rPr>
            </w:pPr>
            <w:r w:rsidRPr="00816FC2">
              <w:rPr>
                <w:sz w:val="22"/>
                <w:szCs w:val="22"/>
              </w:rPr>
              <w:t>SRTF</w:t>
            </w:r>
          </w:p>
        </w:tc>
        <w:tc>
          <w:tcPr>
            <w:tcW w:w="3402"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Pooled funding (non-earmarked)</w:t>
            </w:r>
          </w:p>
        </w:tc>
        <w:tc>
          <w:tcPr>
            <w:tcW w:w="4677"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SRTF direct implementation via letting of contracts. Management Committee (key donors only – currently not DK).</w:t>
            </w:r>
          </w:p>
        </w:tc>
      </w:tr>
      <w:tr w:rsidR="00543993" w:rsidRPr="00816FC2" w:rsidTr="00B9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EBD9E2"/>
          </w:tcPr>
          <w:p w:rsidR="00543993" w:rsidRPr="00816FC2" w:rsidRDefault="00543993" w:rsidP="00B97F68">
            <w:pPr>
              <w:spacing w:after="0"/>
              <w:rPr>
                <w:bCs w:val="0"/>
                <w:i/>
                <w:iCs/>
                <w:sz w:val="22"/>
                <w:szCs w:val="22"/>
              </w:rPr>
            </w:pPr>
            <w:r w:rsidRPr="00816FC2">
              <w:rPr>
                <w:sz w:val="22"/>
                <w:szCs w:val="22"/>
              </w:rPr>
              <w:t>FFIS</w:t>
            </w:r>
          </w:p>
        </w:tc>
        <w:tc>
          <w:tcPr>
            <w:tcW w:w="3402" w:type="dxa"/>
            <w:tcBorders>
              <w:top w:val="none" w:sz="0" w:space="0" w:color="auto"/>
              <w:bottom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UN Pooled funding (non-earmarked)</w:t>
            </w:r>
          </w:p>
        </w:tc>
        <w:tc>
          <w:tcPr>
            <w:tcW w:w="4677" w:type="dxa"/>
            <w:tcBorders>
              <w:top w:val="none" w:sz="0" w:space="0" w:color="auto"/>
              <w:bottom w:val="none" w:sz="0" w:space="0" w:color="auto"/>
              <w:right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UNDP direct implementation, coordination role, supply contracts. Steering Committee with donor reps</w:t>
            </w:r>
            <w:r w:rsidR="004B02BA">
              <w:rPr>
                <w:sz w:val="22"/>
                <w:szCs w:val="22"/>
              </w:rPr>
              <w:t xml:space="preserve"> (incl. Denmark)</w:t>
            </w:r>
            <w:r w:rsidRPr="00816FC2">
              <w:rPr>
                <w:sz w:val="22"/>
                <w:szCs w:val="22"/>
              </w:rPr>
              <w:t>.</w:t>
            </w:r>
          </w:p>
        </w:tc>
      </w:tr>
      <w:tr w:rsidR="00543993" w:rsidRPr="00816FC2" w:rsidTr="00B97F68">
        <w:tc>
          <w:tcPr>
            <w:cnfStyle w:val="001000000000" w:firstRow="0" w:lastRow="0" w:firstColumn="1" w:lastColumn="0" w:oddVBand="0" w:evenVBand="0" w:oddHBand="0" w:evenHBand="0" w:firstRowFirstColumn="0" w:firstRowLastColumn="0" w:lastRowFirstColumn="0" w:lastRowLastColumn="0"/>
            <w:tcW w:w="1668" w:type="dxa"/>
            <w:shd w:val="clear" w:color="auto" w:fill="EBD9E2"/>
          </w:tcPr>
          <w:p w:rsidR="00543993" w:rsidRPr="00816FC2" w:rsidRDefault="00543993" w:rsidP="00B97F68">
            <w:pPr>
              <w:spacing w:after="0"/>
              <w:rPr>
                <w:bCs w:val="0"/>
                <w:i/>
                <w:iCs/>
                <w:sz w:val="22"/>
                <w:szCs w:val="22"/>
              </w:rPr>
            </w:pPr>
            <w:r w:rsidRPr="00816FC2">
              <w:rPr>
                <w:sz w:val="22"/>
                <w:szCs w:val="22"/>
              </w:rPr>
              <w:t>UNMAS</w:t>
            </w:r>
          </w:p>
        </w:tc>
        <w:tc>
          <w:tcPr>
            <w:tcW w:w="3402"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UN Pooled (UN VTF for Mine Action)</w:t>
            </w:r>
          </w:p>
        </w:tc>
        <w:tc>
          <w:tcPr>
            <w:tcW w:w="4677"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sz w:val="22"/>
                <w:szCs w:val="22"/>
              </w:rPr>
            </w:pPr>
            <w:r w:rsidRPr="00816FC2">
              <w:rPr>
                <w:sz w:val="22"/>
                <w:szCs w:val="22"/>
              </w:rPr>
              <w:t>UNMAS direct implementation, coordination, supply contracts</w:t>
            </w:r>
          </w:p>
        </w:tc>
      </w:tr>
      <w:tr w:rsidR="00543993" w:rsidRPr="00816FC2" w:rsidTr="00B9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EBD9E2"/>
          </w:tcPr>
          <w:p w:rsidR="00543993" w:rsidRPr="00816FC2" w:rsidRDefault="00543993" w:rsidP="00B97F68">
            <w:pPr>
              <w:spacing w:after="0"/>
              <w:rPr>
                <w:bCs w:val="0"/>
                <w:i/>
                <w:iCs/>
                <w:sz w:val="22"/>
                <w:szCs w:val="22"/>
              </w:rPr>
            </w:pPr>
            <w:r w:rsidRPr="00816FC2">
              <w:rPr>
                <w:sz w:val="22"/>
                <w:szCs w:val="22"/>
              </w:rPr>
              <w:t>Sterling</w:t>
            </w:r>
          </w:p>
        </w:tc>
        <w:tc>
          <w:tcPr>
            <w:tcW w:w="3402" w:type="dxa"/>
            <w:tcBorders>
              <w:top w:val="none" w:sz="0" w:space="0" w:color="auto"/>
              <w:bottom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Delegated Cooperation (with US)</w:t>
            </w:r>
          </w:p>
        </w:tc>
        <w:tc>
          <w:tcPr>
            <w:tcW w:w="4677" w:type="dxa"/>
            <w:tcBorders>
              <w:top w:val="none" w:sz="0" w:space="0" w:color="auto"/>
              <w:bottom w:val="none" w:sz="0" w:space="0" w:color="auto"/>
              <w:right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Direct implementation (contractor)</w:t>
            </w:r>
          </w:p>
        </w:tc>
      </w:tr>
      <w:tr w:rsidR="00543993" w:rsidRPr="00816FC2" w:rsidTr="00B97F68">
        <w:tc>
          <w:tcPr>
            <w:cnfStyle w:val="001000000000" w:firstRow="0" w:lastRow="0" w:firstColumn="1" w:lastColumn="0" w:oddVBand="0" w:evenVBand="0" w:oddHBand="0" w:evenHBand="0" w:firstRowFirstColumn="0" w:firstRowLastColumn="0" w:lastRowFirstColumn="0" w:lastRowLastColumn="0"/>
            <w:tcW w:w="1668" w:type="dxa"/>
            <w:shd w:val="clear" w:color="auto" w:fill="EBD9E2"/>
          </w:tcPr>
          <w:p w:rsidR="00543993" w:rsidRPr="00816FC2" w:rsidRDefault="00543993" w:rsidP="00B97F68">
            <w:pPr>
              <w:spacing w:after="0"/>
              <w:rPr>
                <w:bCs w:val="0"/>
                <w:i/>
                <w:iCs/>
                <w:sz w:val="22"/>
                <w:szCs w:val="22"/>
              </w:rPr>
            </w:pPr>
            <w:r w:rsidRPr="00816FC2">
              <w:rPr>
                <w:sz w:val="22"/>
                <w:szCs w:val="22"/>
              </w:rPr>
              <w:t>Mayday/SCD</w:t>
            </w:r>
          </w:p>
        </w:tc>
        <w:tc>
          <w:tcPr>
            <w:tcW w:w="3402"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Delegated Cooperation (with UK)</w:t>
            </w:r>
          </w:p>
        </w:tc>
        <w:tc>
          <w:tcPr>
            <w:tcW w:w="4677"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NGO coordination/management role. Management Board</w:t>
            </w:r>
          </w:p>
        </w:tc>
      </w:tr>
      <w:tr w:rsidR="00543993" w:rsidRPr="00816FC2" w:rsidTr="00B9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EBD9E2"/>
          </w:tcPr>
          <w:p w:rsidR="00543993" w:rsidRPr="00816FC2" w:rsidRDefault="00543993" w:rsidP="00B97F68">
            <w:pPr>
              <w:spacing w:after="0"/>
              <w:rPr>
                <w:bCs w:val="0"/>
                <w:i/>
                <w:iCs/>
                <w:sz w:val="22"/>
                <w:szCs w:val="22"/>
              </w:rPr>
            </w:pPr>
            <w:r w:rsidRPr="00816FC2">
              <w:rPr>
                <w:sz w:val="22"/>
                <w:szCs w:val="22"/>
              </w:rPr>
              <w:t>AJACS</w:t>
            </w:r>
          </w:p>
        </w:tc>
        <w:tc>
          <w:tcPr>
            <w:tcW w:w="3402" w:type="dxa"/>
            <w:tcBorders>
              <w:top w:val="none" w:sz="0" w:space="0" w:color="auto"/>
              <w:bottom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Delegated Cooperation (with UK)</w:t>
            </w:r>
          </w:p>
        </w:tc>
        <w:tc>
          <w:tcPr>
            <w:tcW w:w="4677" w:type="dxa"/>
            <w:tcBorders>
              <w:top w:val="none" w:sz="0" w:space="0" w:color="auto"/>
              <w:bottom w:val="none" w:sz="0" w:space="0" w:color="auto"/>
              <w:right w:val="none" w:sz="0" w:space="0" w:color="auto"/>
            </w:tcBorders>
          </w:tcPr>
          <w:p w:rsidR="00543993" w:rsidRPr="00816FC2" w:rsidRDefault="00543993" w:rsidP="00B97F68">
            <w:pPr>
              <w:spacing w:after="0"/>
              <w:cnfStyle w:val="000000100000" w:firstRow="0" w:lastRow="0" w:firstColumn="0" w:lastColumn="0" w:oddVBand="0" w:evenVBand="0" w:oddHBand="1" w:evenHBand="0" w:firstRowFirstColumn="0" w:firstRowLastColumn="0" w:lastRowFirstColumn="0" w:lastRowLastColumn="0"/>
              <w:rPr>
                <w:b/>
                <w:bCs/>
                <w:i/>
                <w:iCs/>
                <w:sz w:val="22"/>
                <w:szCs w:val="22"/>
              </w:rPr>
            </w:pPr>
            <w:r w:rsidRPr="00816FC2">
              <w:rPr>
                <w:sz w:val="22"/>
                <w:szCs w:val="22"/>
              </w:rPr>
              <w:t>Contracted coordination/management role. Management Board.</w:t>
            </w:r>
          </w:p>
        </w:tc>
      </w:tr>
      <w:tr w:rsidR="00543993" w:rsidRPr="00816FC2" w:rsidTr="00B97F68">
        <w:tc>
          <w:tcPr>
            <w:cnfStyle w:val="001000000000" w:firstRow="0" w:lastRow="0" w:firstColumn="1" w:lastColumn="0" w:oddVBand="0" w:evenVBand="0" w:oddHBand="0" w:evenHBand="0" w:firstRowFirstColumn="0" w:firstRowLastColumn="0" w:lastRowFirstColumn="0" w:lastRowLastColumn="0"/>
            <w:tcW w:w="1668" w:type="dxa"/>
            <w:shd w:val="clear" w:color="auto" w:fill="EBD9E2"/>
          </w:tcPr>
          <w:p w:rsidR="00543993" w:rsidRPr="00816FC2" w:rsidRDefault="00543993" w:rsidP="00B97F68">
            <w:pPr>
              <w:spacing w:after="0"/>
              <w:rPr>
                <w:b w:val="0"/>
                <w:bCs w:val="0"/>
                <w:sz w:val="22"/>
                <w:szCs w:val="22"/>
              </w:rPr>
            </w:pPr>
            <w:r w:rsidRPr="00816FC2">
              <w:rPr>
                <w:sz w:val="22"/>
                <w:szCs w:val="22"/>
              </w:rPr>
              <w:t>SSR</w:t>
            </w:r>
          </w:p>
        </w:tc>
        <w:tc>
          <w:tcPr>
            <w:tcW w:w="3402"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UN Pooled funding (earmarked)</w:t>
            </w:r>
          </w:p>
        </w:tc>
        <w:tc>
          <w:tcPr>
            <w:tcW w:w="4677" w:type="dxa"/>
          </w:tcPr>
          <w:p w:rsidR="00543993" w:rsidRPr="00816FC2" w:rsidRDefault="00543993" w:rsidP="00B97F68">
            <w:pPr>
              <w:spacing w:after="0"/>
              <w:cnfStyle w:val="000000000000" w:firstRow="0" w:lastRow="0" w:firstColumn="0" w:lastColumn="0" w:oddVBand="0" w:evenVBand="0" w:oddHBand="0" w:evenHBand="0" w:firstRowFirstColumn="0" w:firstRowLastColumn="0" w:lastRowFirstColumn="0" w:lastRowLastColumn="0"/>
              <w:rPr>
                <w:b/>
                <w:bCs/>
                <w:i/>
                <w:iCs/>
                <w:sz w:val="22"/>
                <w:szCs w:val="22"/>
              </w:rPr>
            </w:pPr>
            <w:r w:rsidRPr="00816FC2">
              <w:rPr>
                <w:sz w:val="22"/>
                <w:szCs w:val="22"/>
              </w:rPr>
              <w:t>UNDP direct implementation. Steering Committee with donor reps.</w:t>
            </w:r>
          </w:p>
        </w:tc>
      </w:tr>
    </w:tbl>
    <w:p w:rsidR="00F94F9B" w:rsidRPr="00816FC2" w:rsidRDefault="0096728A" w:rsidP="0080400C">
      <w:pPr>
        <w:pStyle w:val="Overskrift2"/>
      </w:pPr>
      <w:bookmarkStart w:id="54" w:name="_Toc332370522"/>
      <w:bookmarkStart w:id="55" w:name="_Toc323741002"/>
      <w:r w:rsidRPr="00816FC2">
        <w:t>Programme oversight</w:t>
      </w:r>
      <w:bookmarkEnd w:id="54"/>
      <w:r w:rsidRPr="00816FC2">
        <w:t xml:space="preserve"> </w:t>
      </w:r>
      <w:bookmarkEnd w:id="55"/>
    </w:p>
    <w:p w:rsidR="00680529" w:rsidRDefault="0096728A" w:rsidP="00680529">
      <w:r w:rsidRPr="00816FC2">
        <w:t xml:space="preserve">The programme will be managed by a combination of </w:t>
      </w:r>
      <w:r w:rsidR="00EE796B">
        <w:t xml:space="preserve">the MENA department in </w:t>
      </w:r>
      <w:r w:rsidRPr="00816FC2">
        <w:t>Copenhagen</w:t>
      </w:r>
      <w:r w:rsidR="00680529">
        <w:t xml:space="preserve"> </w:t>
      </w:r>
      <w:r w:rsidRPr="00816FC2">
        <w:t>and regional</w:t>
      </w:r>
      <w:r w:rsidR="00680529">
        <w:t xml:space="preserve"> </w:t>
      </w:r>
      <w:r w:rsidR="00B74598" w:rsidRPr="00816FC2">
        <w:t>advisory team</w:t>
      </w:r>
      <w:r w:rsidRPr="00816FC2">
        <w:t xml:space="preserve">, where the former sets overall policy direction (including interaction with the PSF Steering Committee) and the latter provides a closer and more continuous monitoring and interaction with </w:t>
      </w:r>
      <w:r w:rsidR="00680529">
        <w:t xml:space="preserve">regional </w:t>
      </w:r>
      <w:r w:rsidRPr="00816FC2">
        <w:t xml:space="preserve">stakeholders. </w:t>
      </w:r>
      <w:r w:rsidR="007473DC" w:rsidRPr="00816FC2">
        <w:t xml:space="preserve">This local set-up is particularly relevant as there is no Danish representation in either country with thematic or programmatic capacity in the areas supported by this programme. </w:t>
      </w:r>
    </w:p>
    <w:p w:rsidR="00F82341" w:rsidRPr="00816FC2" w:rsidRDefault="00F82341" w:rsidP="001A1A71">
      <w:r w:rsidRPr="00816FC2">
        <w:t>At the regional level, the programme will utilise an advisory team consisting of two Stabilisation Advisors and one local staff member co-located in Istanbul. The advisory team will operate in accordance with the Danida guidelines for technical assistance. One of the Stabilisation Advisors will mainly c</w:t>
      </w:r>
      <w:r w:rsidR="001A1A71">
        <w:t>over programmes located in Iraq, including</w:t>
      </w:r>
      <w:r w:rsidRPr="00816FC2">
        <w:t xml:space="preserve"> regular travel to Iraq (chiefly Baghdad and Erbil) to participate in donor coordination mechanisms and follow up on programme implementation. The other Advisor (carried over from the previous Syria stabilisation programme) will focus on Syria related issues. Both Advisors will have technical backgrounds in one or more of the thematic areas covered by the programme and will thus be able to interact with stakeholders on issues of substance relating to this. This is expected to particularly be relevant in relation to UNMAS and UNDP SSR (in Iraq) and AJACS, TDA and Baytna in Syria. </w:t>
      </w:r>
      <w:r>
        <w:t xml:space="preserve">A </w:t>
      </w:r>
      <w:r w:rsidRPr="00816FC2">
        <w:t xml:space="preserve">local staff member will add to this set up through </w:t>
      </w:r>
      <w:r>
        <w:t xml:space="preserve">their </w:t>
      </w:r>
      <w:r w:rsidRPr="00816FC2">
        <w:t xml:space="preserve">regional knowledge and (Arabic) language abilities. </w:t>
      </w:r>
      <w:r>
        <w:t xml:space="preserve">  </w:t>
      </w:r>
    </w:p>
    <w:p w:rsidR="00C937B9" w:rsidRPr="00816FC2" w:rsidRDefault="001A1A71" w:rsidP="001A1A71">
      <w:r>
        <w:t>T</w:t>
      </w:r>
      <w:r w:rsidR="00680529">
        <w:t xml:space="preserve">he </w:t>
      </w:r>
      <w:r w:rsidR="00680529" w:rsidRPr="00816FC2">
        <w:t>MENA Department of the MFA</w:t>
      </w:r>
      <w:r>
        <w:t xml:space="preserve"> will be responsible for setting overall policy direction and form the primary point of contact, through which </w:t>
      </w:r>
      <w:r w:rsidR="00680529">
        <w:t xml:space="preserve">other ministries and departments, such as the MoD and MoJ, will plug into the </w:t>
      </w:r>
      <w:r>
        <w:t>programme</w:t>
      </w:r>
      <w:r w:rsidR="0096728A" w:rsidRPr="00816FC2">
        <w:t>.</w:t>
      </w:r>
      <w:r w:rsidR="00C849C3" w:rsidRPr="00816FC2">
        <w:t xml:space="preserve"> </w:t>
      </w:r>
      <w:r w:rsidR="00680529">
        <w:t>T</w:t>
      </w:r>
      <w:r w:rsidR="00C849C3" w:rsidRPr="00816FC2">
        <w:t>he Danish Ambassador to Iraq</w:t>
      </w:r>
      <w:r w:rsidR="00EE796B">
        <w:t xml:space="preserve">, </w:t>
      </w:r>
      <w:r w:rsidR="00C849C3" w:rsidRPr="00816FC2">
        <w:t>based in Copenhagen</w:t>
      </w:r>
      <w:r w:rsidR="00EE796B">
        <w:t>,</w:t>
      </w:r>
      <w:r w:rsidR="00C849C3" w:rsidRPr="00816FC2">
        <w:t xml:space="preserve"> will ensure participation in steering committees of the UNDP programmes. This will be done to the extent possible as part of his regular visits to Baghdad. </w:t>
      </w:r>
      <w:r>
        <w:t xml:space="preserve">Where </w:t>
      </w:r>
      <w:r w:rsidR="00C849C3" w:rsidRPr="00816FC2">
        <w:t xml:space="preserve">this is not possible, participation will be via </w:t>
      </w:r>
      <w:r w:rsidR="00C849C3" w:rsidRPr="00816FC2">
        <w:lastRenderedPageBreak/>
        <w:t xml:space="preserve">video-link or </w:t>
      </w:r>
      <w:r>
        <w:t xml:space="preserve">through the </w:t>
      </w:r>
      <w:r w:rsidR="00680529">
        <w:t xml:space="preserve">Iraq </w:t>
      </w:r>
      <w:r w:rsidR="00C937B9" w:rsidRPr="00816FC2">
        <w:t>stabilisation adviser</w:t>
      </w:r>
      <w:r w:rsidR="00C849C3" w:rsidRPr="00816FC2">
        <w:t>.</w:t>
      </w:r>
      <w:r w:rsidR="00680529">
        <w:t xml:space="preserve"> </w:t>
      </w:r>
      <w:r w:rsidRPr="00816FC2">
        <w:t xml:space="preserve">The programme will also benefit from the activities of the Danish Special Envoy to the Syrian Opposition (funded separately) </w:t>
      </w:r>
      <w:r>
        <w:t xml:space="preserve">who is expected to </w:t>
      </w:r>
      <w:r w:rsidRPr="00816FC2">
        <w:t xml:space="preserve">maintain regular contact with the </w:t>
      </w:r>
      <w:r>
        <w:t xml:space="preserve">Syria </w:t>
      </w:r>
      <w:r w:rsidRPr="00816FC2">
        <w:t xml:space="preserve">Stabilisation Advisor </w:t>
      </w:r>
      <w:r>
        <w:t xml:space="preserve">and the </w:t>
      </w:r>
      <w:r w:rsidRPr="00816FC2">
        <w:t>Danish MFA.</w:t>
      </w:r>
    </w:p>
    <w:p w:rsidR="005A0884" w:rsidRPr="00816FC2" w:rsidRDefault="005A0884" w:rsidP="001A1A71">
      <w:r w:rsidRPr="00816FC2">
        <w:t xml:space="preserve">The advisory team will be located in Istanbul and office accommodation will take account of security and transport </w:t>
      </w:r>
      <w:r w:rsidR="00323DBF" w:rsidRPr="00816FC2">
        <w:t>issues (</w:t>
      </w:r>
      <w:r w:rsidR="001A1A71">
        <w:t>with an</w:t>
      </w:r>
      <w:r w:rsidR="001A1A71" w:rsidRPr="00816FC2">
        <w:t xml:space="preserve"> </w:t>
      </w:r>
      <w:r w:rsidR="00323DBF" w:rsidRPr="00816FC2">
        <w:t xml:space="preserve">option </w:t>
      </w:r>
      <w:r w:rsidR="001A1A71">
        <w:t xml:space="preserve">being </w:t>
      </w:r>
      <w:r w:rsidR="00323DBF" w:rsidRPr="00816FC2">
        <w:t>co-location at the Danish Consulate).</w:t>
      </w:r>
      <w:r w:rsidR="00AC2FB0">
        <w:t xml:space="preserve"> </w:t>
      </w:r>
      <w:r w:rsidR="001A1A71">
        <w:t xml:space="preserve">The team’s daily safety and </w:t>
      </w:r>
      <w:r w:rsidR="00AC2FB0">
        <w:t xml:space="preserve">security </w:t>
      </w:r>
      <w:r w:rsidR="001A1A71">
        <w:t xml:space="preserve">profile </w:t>
      </w:r>
      <w:r w:rsidR="00AC2FB0">
        <w:t>will be governed by a new security plan</w:t>
      </w:r>
      <w:r w:rsidR="005D5F7E">
        <w:t xml:space="preserve"> that will be developed</w:t>
      </w:r>
      <w:r w:rsidR="00EE796B">
        <w:t xml:space="preserve"> in partnership with S</w:t>
      </w:r>
      <w:r w:rsidR="00FD768A">
        <w:t>I</w:t>
      </w:r>
      <w:r w:rsidR="00EE796B">
        <w:t>K.</w:t>
      </w:r>
      <w:r w:rsidR="00AC2FB0">
        <w:t xml:space="preserve"> </w:t>
      </w:r>
      <w:r w:rsidR="00323DBF" w:rsidRPr="00816FC2">
        <w:t xml:space="preserve"> In </w:t>
      </w:r>
      <w:r w:rsidR="006F286D">
        <w:t>Baghdad</w:t>
      </w:r>
      <w:r w:rsidR="00323DBF" w:rsidRPr="00816FC2">
        <w:t xml:space="preserve">, the Advisor will draw upon existing arrangements with the UK Embassy. Although the financial costs involved are relatively high, </w:t>
      </w:r>
      <w:r w:rsidR="005E1386" w:rsidRPr="00816FC2">
        <w:t>th</w:t>
      </w:r>
      <w:r w:rsidR="005D5F7E">
        <w:t>e UK</w:t>
      </w:r>
      <w:r w:rsidR="005E1386" w:rsidRPr="00816FC2">
        <w:t xml:space="preserve"> compound </w:t>
      </w:r>
      <w:r w:rsidR="001A1A71">
        <w:t xml:space="preserve">is highly </w:t>
      </w:r>
      <w:r w:rsidR="005D5F7E">
        <w:t xml:space="preserve">secure and </w:t>
      </w:r>
      <w:r w:rsidR="005E1386" w:rsidRPr="00816FC2">
        <w:t xml:space="preserve">offers contacts with other co-located </w:t>
      </w:r>
      <w:r w:rsidR="001A1A71">
        <w:t xml:space="preserve">and nearby </w:t>
      </w:r>
      <w:r w:rsidR="001A1A71" w:rsidRPr="00816FC2">
        <w:t xml:space="preserve">missions </w:t>
      </w:r>
      <w:r w:rsidR="005E1386" w:rsidRPr="00816FC2">
        <w:t>within the International Zone.</w:t>
      </w:r>
      <w:r w:rsidR="006F286D">
        <w:t xml:space="preserve"> Mobility beyond Baghdad and the International Zone will be extremel</w:t>
      </w:r>
      <w:r w:rsidR="005D5F7E">
        <w:t xml:space="preserve">y limited. However, </w:t>
      </w:r>
      <w:r w:rsidR="006F286D">
        <w:t xml:space="preserve">travel to Erbil, in the Kurdish region, is possible, with due consideration of </w:t>
      </w:r>
      <w:r w:rsidR="00400094">
        <w:t>basic security precautions</w:t>
      </w:r>
      <w:r w:rsidR="006F286D">
        <w:t>.</w:t>
      </w:r>
      <w:r w:rsidR="00400094">
        <w:t xml:space="preserve"> The MENA department as well as the Advisors will </w:t>
      </w:r>
      <w:r w:rsidR="001A1A71">
        <w:t xml:space="preserve">continue to </w:t>
      </w:r>
      <w:r w:rsidR="00400094">
        <w:t xml:space="preserve">dialogue with the MFA Security department to ensure that </w:t>
      </w:r>
      <w:r w:rsidR="001A1A71">
        <w:t xml:space="preserve">SoPs </w:t>
      </w:r>
      <w:r w:rsidR="00400094">
        <w:t>are updated and reflect the developing security environment in Turkey, Iraq and beyond.</w:t>
      </w:r>
    </w:p>
    <w:p w:rsidR="00F94F9B" w:rsidRPr="00816FC2" w:rsidRDefault="00F94F9B" w:rsidP="0080400C">
      <w:pPr>
        <w:pStyle w:val="Overskrift2"/>
      </w:pPr>
      <w:bookmarkStart w:id="56" w:name="_Toc323741004"/>
      <w:bookmarkStart w:id="57" w:name="_Toc332370523"/>
      <w:r w:rsidRPr="00816FC2">
        <w:t xml:space="preserve">Implementation </w:t>
      </w:r>
      <w:bookmarkEnd w:id="56"/>
      <w:r w:rsidR="00914D0B" w:rsidRPr="00816FC2">
        <w:t>arrangements</w:t>
      </w:r>
      <w:bookmarkEnd w:id="57"/>
    </w:p>
    <w:p w:rsidR="009744B9" w:rsidRPr="00816FC2" w:rsidRDefault="00717C8E" w:rsidP="001A1A71">
      <w:r w:rsidRPr="00816FC2">
        <w:t xml:space="preserve">The programme </w:t>
      </w:r>
      <w:r w:rsidR="001A1A71">
        <w:t xml:space="preserve">will </w:t>
      </w:r>
      <w:r w:rsidRPr="00816FC2">
        <w:t xml:space="preserve">commence in </w:t>
      </w:r>
      <w:r w:rsidR="00AC2FB0">
        <w:t>September</w:t>
      </w:r>
      <w:r w:rsidR="00AC2FB0" w:rsidRPr="00816FC2">
        <w:t xml:space="preserve"> </w:t>
      </w:r>
      <w:r w:rsidR="004A2038" w:rsidRPr="00816FC2">
        <w:t xml:space="preserve">2016 and </w:t>
      </w:r>
      <w:r w:rsidR="001A1A71">
        <w:t xml:space="preserve">is due to </w:t>
      </w:r>
      <w:r w:rsidR="004A2038" w:rsidRPr="00816FC2">
        <w:t>run until December 2018 (approximately 28 months)</w:t>
      </w:r>
      <w:r w:rsidR="001A1A71">
        <w:t xml:space="preserve">. The programme is </w:t>
      </w:r>
      <w:r w:rsidR="009744B9" w:rsidRPr="00816FC2">
        <w:t>based on a range of documentation</w:t>
      </w:r>
      <w:r w:rsidR="001A1A71">
        <w:t>,</w:t>
      </w:r>
      <w:r w:rsidR="009744B9" w:rsidRPr="00816FC2">
        <w:t xml:space="preserve"> </w:t>
      </w:r>
      <w:r w:rsidR="001A1A71">
        <w:t>including</w:t>
      </w:r>
      <w:r w:rsidR="009744B9" w:rsidRPr="00816FC2">
        <w:t>:</w:t>
      </w:r>
    </w:p>
    <w:p w:rsidR="009744B9" w:rsidRPr="00816FC2" w:rsidRDefault="009744B9" w:rsidP="00B97F68">
      <w:pPr>
        <w:pStyle w:val="Listeafsnit"/>
        <w:numPr>
          <w:ilvl w:val="1"/>
          <w:numId w:val="43"/>
        </w:numPr>
        <w:ind w:left="567"/>
      </w:pPr>
      <w:r w:rsidRPr="00816FC2">
        <w:t>This overall programme document, providing its rationale</w:t>
      </w:r>
      <w:r w:rsidR="00116C09" w:rsidRPr="00816FC2">
        <w:t>, budget,</w:t>
      </w:r>
      <w:r w:rsidRPr="00816FC2">
        <w:t xml:space="preserve"> management framework</w:t>
      </w:r>
      <w:r w:rsidR="00116C09" w:rsidRPr="00816FC2">
        <w:t xml:space="preserve"> etc.</w:t>
      </w:r>
      <w:r w:rsidRPr="00816FC2">
        <w:t xml:space="preserve"> </w:t>
      </w:r>
    </w:p>
    <w:p w:rsidR="001B04F4" w:rsidRPr="00816FC2" w:rsidRDefault="009744B9" w:rsidP="00B97F68">
      <w:pPr>
        <w:pStyle w:val="Listeafsnit"/>
        <w:numPr>
          <w:ilvl w:val="1"/>
          <w:numId w:val="43"/>
        </w:numPr>
        <w:ind w:left="567"/>
      </w:pPr>
      <w:r w:rsidRPr="00816FC2">
        <w:t>A number of Peace and Stabilisation Engagement Documents (PSEDs)</w:t>
      </w:r>
      <w:r w:rsidR="00116C09" w:rsidRPr="00816FC2">
        <w:t xml:space="preserve">, one for each engagement. </w:t>
      </w:r>
      <w:r w:rsidR="00914D0B" w:rsidRPr="00816FC2">
        <w:t xml:space="preserve">Each PSED will have only one partner; in most cases this will be the implementing partner (e.g. UNDP) but in </w:t>
      </w:r>
      <w:r w:rsidR="00F862BB" w:rsidRPr="00816FC2">
        <w:t>cases where delegated cooperation is being used (e.g. AJACS), the partner will be the donor that will be managing the engagement on behalf of Denmark.</w:t>
      </w:r>
      <w:r w:rsidR="00914D0B" w:rsidRPr="00816FC2">
        <w:t xml:space="preserve"> </w:t>
      </w:r>
      <w:r w:rsidR="00AA6DEB" w:rsidRPr="00816FC2">
        <w:t>In each case, the PSED will set out the main purpose, expected results, monitoring and reporting arrangements, and financial commitment expected.</w:t>
      </w:r>
    </w:p>
    <w:p w:rsidR="00116C09" w:rsidRPr="00816FC2" w:rsidRDefault="00116C09" w:rsidP="00B97F68">
      <w:pPr>
        <w:pStyle w:val="Listeafsnit"/>
        <w:numPr>
          <w:ilvl w:val="1"/>
          <w:numId w:val="43"/>
        </w:numPr>
        <w:ind w:left="567"/>
      </w:pPr>
      <w:r w:rsidRPr="00816FC2">
        <w:t>A funding agreement (or MOU or Delegated Cooperation Agreement) with the implementing partner concerned</w:t>
      </w:r>
      <w:r w:rsidR="008023BB" w:rsidRPr="00816FC2">
        <w:t>.</w:t>
      </w:r>
    </w:p>
    <w:p w:rsidR="008023BB" w:rsidRPr="00816FC2" w:rsidRDefault="008023BB" w:rsidP="00B97F68">
      <w:pPr>
        <w:pStyle w:val="Listeafsnit"/>
        <w:numPr>
          <w:ilvl w:val="1"/>
          <w:numId w:val="43"/>
        </w:numPr>
        <w:ind w:left="567"/>
      </w:pPr>
      <w:r w:rsidRPr="00816FC2">
        <w:t>Project documentation, being the project document and any other material that relates to actual implementation from the implementing partner.</w:t>
      </w:r>
    </w:p>
    <w:p w:rsidR="00717C8E" w:rsidRPr="00816FC2" w:rsidRDefault="001B04F4" w:rsidP="001A1A71">
      <w:r w:rsidRPr="00816FC2">
        <w:t>G</w:t>
      </w:r>
      <w:r w:rsidR="005B1AE8" w:rsidRPr="00816FC2">
        <w:t xml:space="preserve">iven that the majority of the engagements are extensions of previous support, the effect should be one of a seamless Danish contribution through which the new resources made available come on-stream </w:t>
      </w:r>
      <w:r w:rsidR="00CC6B0D" w:rsidRPr="00816FC2">
        <w:t xml:space="preserve">when there is a need for further contributions to the relevant budgets. </w:t>
      </w:r>
      <w:r w:rsidR="001A1A71">
        <w:t>D</w:t>
      </w:r>
      <w:r w:rsidR="00CC6B0D" w:rsidRPr="00816FC2">
        <w:t>isb</w:t>
      </w:r>
      <w:r w:rsidR="0045711A" w:rsidRPr="00816FC2">
        <w:t xml:space="preserve">ursement patterns </w:t>
      </w:r>
      <w:r w:rsidRPr="00816FC2">
        <w:t>take</w:t>
      </w:r>
      <w:r w:rsidR="001A1A71">
        <w:t xml:space="preserve"> into</w:t>
      </w:r>
      <w:r w:rsidRPr="00816FC2">
        <w:t xml:space="preserve"> account the relative size and disbursement of the most recent Danish contributions.</w:t>
      </w:r>
    </w:p>
    <w:p w:rsidR="00F23170" w:rsidRPr="00816FC2" w:rsidRDefault="001A1A71" w:rsidP="000F1685">
      <w:r>
        <w:t>At</w:t>
      </w:r>
      <w:r w:rsidR="002759B7" w:rsidRPr="00816FC2">
        <w:t xml:space="preserve"> the time of programme </w:t>
      </w:r>
      <w:r w:rsidR="00EE796B">
        <w:t>finalisation</w:t>
      </w:r>
      <w:r w:rsidR="002759B7" w:rsidRPr="00816FC2">
        <w:t xml:space="preserve"> </w:t>
      </w:r>
      <w:r w:rsidR="00EE796B">
        <w:t>(August</w:t>
      </w:r>
      <w:r w:rsidR="002759B7" w:rsidRPr="00816FC2">
        <w:t xml:space="preserve"> 2016), </w:t>
      </w:r>
      <w:r w:rsidR="003531A6" w:rsidRPr="00816FC2">
        <w:t>a number of the engagements are in a state of</w:t>
      </w:r>
      <w:r w:rsidR="001609A7" w:rsidRPr="00816FC2">
        <w:t xml:space="preserve"> flux; </w:t>
      </w:r>
      <w:r>
        <w:t xml:space="preserve">AJACS is </w:t>
      </w:r>
      <w:r w:rsidR="00E82B30" w:rsidRPr="00816FC2">
        <w:t xml:space="preserve">currently being reformulated </w:t>
      </w:r>
      <w:r w:rsidR="003531A6" w:rsidRPr="00816FC2">
        <w:t>and retendered</w:t>
      </w:r>
      <w:r>
        <w:t xml:space="preserve">, UNMAS’s Iraq engagement is </w:t>
      </w:r>
      <w:r w:rsidR="003531A6" w:rsidRPr="00816FC2">
        <w:t xml:space="preserve">are still being developed, </w:t>
      </w:r>
      <w:r>
        <w:t xml:space="preserve">and TDA and Mayday/SCD’s engagements are </w:t>
      </w:r>
      <w:r w:rsidR="003531A6" w:rsidRPr="00816FC2">
        <w:t xml:space="preserve">being re-developed </w:t>
      </w:r>
      <w:r w:rsidR="00756A68" w:rsidRPr="00816FC2">
        <w:t>and extended. In some other cases (</w:t>
      </w:r>
      <w:r>
        <w:t xml:space="preserve">such as </w:t>
      </w:r>
      <w:r w:rsidR="00756A68" w:rsidRPr="00816FC2">
        <w:t>UNDP SSR in Iraq and the Stabilisation Res</w:t>
      </w:r>
      <w:r w:rsidR="009B0394" w:rsidRPr="00816FC2">
        <w:t>ponse Mechanism</w:t>
      </w:r>
      <w:r>
        <w:t xml:space="preserve">, </w:t>
      </w:r>
      <w:r w:rsidR="009B0394" w:rsidRPr="00816FC2">
        <w:t>SRM</w:t>
      </w:r>
      <w:r>
        <w:t>,</w:t>
      </w:r>
      <w:r w:rsidR="009B0394" w:rsidRPr="00816FC2">
        <w:t xml:space="preserve"> in Syria), a decision </w:t>
      </w:r>
      <w:r>
        <w:t xml:space="preserve">on </w:t>
      </w:r>
      <w:r w:rsidR="009B0394" w:rsidRPr="00816FC2">
        <w:t xml:space="preserve">whether to engage </w:t>
      </w:r>
      <w:r w:rsidR="000F1685">
        <w:t>will be made following the 2017 M</w:t>
      </w:r>
      <w:r w:rsidR="00EE796B">
        <w:t xml:space="preserve">id-term </w:t>
      </w:r>
      <w:r w:rsidR="000F1685">
        <w:t>R</w:t>
      </w:r>
      <w:r w:rsidR="00EE796B">
        <w:t>eview</w:t>
      </w:r>
      <w:r w:rsidR="009B0394" w:rsidRPr="00816FC2">
        <w:t>.</w:t>
      </w:r>
      <w:r w:rsidR="003531A6" w:rsidRPr="00816FC2">
        <w:t xml:space="preserve"> </w:t>
      </w:r>
      <w:r w:rsidR="000F1685">
        <w:t>In addition, a</w:t>
      </w:r>
      <w:r w:rsidR="001609A7" w:rsidRPr="00816FC2">
        <w:t xml:space="preserve">ll the engagements draw </w:t>
      </w:r>
      <w:r w:rsidR="000F1685">
        <w:t xml:space="preserve">on </w:t>
      </w:r>
      <w:r w:rsidR="001609A7" w:rsidRPr="00816FC2">
        <w:t>project documentation that is reviewed and renewed annually</w:t>
      </w:r>
      <w:r w:rsidR="00F23170" w:rsidRPr="00816FC2">
        <w:t xml:space="preserve"> </w:t>
      </w:r>
      <w:r w:rsidR="000F1685">
        <w:t xml:space="preserve">to ensure relevance with </w:t>
      </w:r>
      <w:r w:rsidR="00F23170" w:rsidRPr="00816FC2">
        <w:t>developments on the ground</w:t>
      </w:r>
      <w:r w:rsidR="001609A7" w:rsidRPr="00816FC2">
        <w:t xml:space="preserve">. </w:t>
      </w:r>
      <w:r w:rsidR="000F1685">
        <w:t xml:space="preserve">The programme is therefore </w:t>
      </w:r>
      <w:r w:rsidR="000F1685" w:rsidRPr="00816FC2">
        <w:t xml:space="preserve">expected </w:t>
      </w:r>
      <w:r w:rsidR="000F1685">
        <w:t xml:space="preserve">to </w:t>
      </w:r>
      <w:r w:rsidR="000F1685" w:rsidRPr="00816FC2">
        <w:t>adjus</w:t>
      </w:r>
      <w:r w:rsidR="000F1685">
        <w:t>t</w:t>
      </w:r>
      <w:r w:rsidR="000F1685" w:rsidRPr="00816FC2">
        <w:t xml:space="preserve"> accordingly.</w:t>
      </w:r>
    </w:p>
    <w:p w:rsidR="001609A7" w:rsidRPr="00816FC2" w:rsidRDefault="001609A7" w:rsidP="00717C8E">
      <w:r w:rsidRPr="00816FC2">
        <w:t>T</w:t>
      </w:r>
      <w:r w:rsidR="00F23170" w:rsidRPr="00816FC2">
        <w:t>o accommodate the above</w:t>
      </w:r>
      <w:r w:rsidR="00E43C21" w:rsidRPr="00816FC2">
        <w:t xml:space="preserve"> factors, </w:t>
      </w:r>
      <w:r w:rsidRPr="00816FC2">
        <w:t xml:space="preserve">the programme will </w:t>
      </w:r>
      <w:r w:rsidR="00665904">
        <w:t xml:space="preserve">have </w:t>
      </w:r>
      <w:r w:rsidR="00E43C21" w:rsidRPr="00816FC2">
        <w:t>an internal mechanism to monitor and review possible developments and provide feedback to the MFA/PSF Steering Committee</w:t>
      </w:r>
      <w:r w:rsidR="00F23170" w:rsidRPr="00816FC2">
        <w:t>. This mechanism will revolve around the following elements:</w:t>
      </w:r>
    </w:p>
    <w:p w:rsidR="000123FD" w:rsidRPr="00816FC2" w:rsidRDefault="009A17DA" w:rsidP="00B97F68">
      <w:pPr>
        <w:pStyle w:val="Listeafsnit"/>
        <w:numPr>
          <w:ilvl w:val="1"/>
          <w:numId w:val="43"/>
        </w:numPr>
        <w:ind w:left="567"/>
      </w:pPr>
      <w:r w:rsidRPr="00816FC2">
        <w:t>The regional stabilisation advisors are in touch with partners and other donors</w:t>
      </w:r>
      <w:r w:rsidR="005E2F3F" w:rsidRPr="00816FC2">
        <w:t xml:space="preserve">, </w:t>
      </w:r>
      <w:r w:rsidRPr="00816FC2">
        <w:t>regularly review progress and keep the MFA (MENA) informed. This is supplemented by regular reporting from partners</w:t>
      </w:r>
      <w:r w:rsidR="005E2F3F" w:rsidRPr="00816FC2">
        <w:t>, the third party monitoring mechanisms that exist,</w:t>
      </w:r>
      <w:r w:rsidRPr="00816FC2">
        <w:t xml:space="preserve"> and by discussion/decisions taken in the various management boards.</w:t>
      </w:r>
    </w:p>
    <w:p w:rsidR="009A17DA" w:rsidRPr="00816FC2" w:rsidRDefault="009A17DA" w:rsidP="00B97F68">
      <w:pPr>
        <w:pStyle w:val="Listeafsnit"/>
        <w:numPr>
          <w:ilvl w:val="1"/>
          <w:numId w:val="43"/>
        </w:numPr>
        <w:ind w:left="567"/>
      </w:pPr>
      <w:r w:rsidRPr="00816FC2">
        <w:t xml:space="preserve">The MENA Department (consulting the MoD and MoJ) as necessary provide policy guidance and keep the PSF Steering Committee </w:t>
      </w:r>
      <w:r w:rsidR="005E2F3F" w:rsidRPr="00816FC2">
        <w:t>informed. Decisions are taken in the PSF as required.</w:t>
      </w:r>
      <w:r w:rsidRPr="00816FC2">
        <w:t xml:space="preserve"> </w:t>
      </w:r>
    </w:p>
    <w:p w:rsidR="005E2F3F" w:rsidRPr="00816FC2" w:rsidRDefault="005E2F3F" w:rsidP="00B97F68">
      <w:pPr>
        <w:pStyle w:val="Listeafsnit"/>
        <w:numPr>
          <w:ilvl w:val="1"/>
          <w:numId w:val="43"/>
        </w:numPr>
        <w:ind w:left="567"/>
      </w:pPr>
      <w:r w:rsidRPr="00816FC2">
        <w:lastRenderedPageBreak/>
        <w:t>External advice/input is sought as necessary</w:t>
      </w:r>
      <w:r w:rsidR="0022535B" w:rsidRPr="00816FC2">
        <w:t xml:space="preserve"> (short</w:t>
      </w:r>
      <w:r w:rsidR="00AC2FB0">
        <w:t>-</w:t>
      </w:r>
      <w:r w:rsidR="0022535B" w:rsidRPr="00816FC2">
        <w:t>term consultancy)</w:t>
      </w:r>
      <w:r w:rsidR="000F1685">
        <w:t>.</w:t>
      </w:r>
    </w:p>
    <w:p w:rsidR="0022535B" w:rsidRDefault="0022535B" w:rsidP="00B97F68">
      <w:pPr>
        <w:pStyle w:val="Listeafsnit"/>
        <w:numPr>
          <w:ilvl w:val="1"/>
          <w:numId w:val="43"/>
        </w:numPr>
        <w:ind w:left="567"/>
      </w:pPr>
      <w:r w:rsidRPr="00816FC2">
        <w:t>The MTR is utilised as a mechanism for a strategic review of the programme at</w:t>
      </w:r>
      <w:r w:rsidR="000F1685">
        <w:t xml:space="preserve"> the</w:t>
      </w:r>
      <w:r w:rsidRPr="00816FC2">
        <w:t xml:space="preserve"> approximate mid-point.</w:t>
      </w:r>
      <w:r w:rsidR="000F1685">
        <w:t xml:space="preserve"> </w:t>
      </w:r>
    </w:p>
    <w:p w:rsidR="00665904" w:rsidRPr="00816FC2" w:rsidRDefault="00665904" w:rsidP="00B97F68">
      <w:pPr>
        <w:pStyle w:val="Listeafsnit"/>
        <w:numPr>
          <w:ilvl w:val="1"/>
          <w:numId w:val="43"/>
        </w:numPr>
        <w:ind w:left="567"/>
      </w:pPr>
      <w:r>
        <w:t xml:space="preserve">Technical reviews </w:t>
      </w:r>
      <w:r w:rsidR="00292B0C">
        <w:t xml:space="preserve">at engagement level </w:t>
      </w:r>
      <w:r>
        <w:t xml:space="preserve">(bilaterally or together with other donors) will be utilised </w:t>
      </w:r>
      <w:r w:rsidR="00292B0C">
        <w:t>where necessary to ensure that engagements remain on track.</w:t>
      </w:r>
    </w:p>
    <w:p w:rsidR="00F94F9B" w:rsidRPr="00816FC2" w:rsidRDefault="00F94F9B" w:rsidP="0080400C">
      <w:pPr>
        <w:pStyle w:val="Overskrift2"/>
      </w:pPr>
      <w:bookmarkStart w:id="58" w:name="_Toc323741005"/>
      <w:bookmarkStart w:id="59" w:name="_Toc332370524"/>
      <w:r w:rsidRPr="00816FC2">
        <w:t>Monitoring mechanisms</w:t>
      </w:r>
      <w:bookmarkEnd w:id="58"/>
      <w:bookmarkEnd w:id="59"/>
    </w:p>
    <w:p w:rsidR="00E329CC" w:rsidRPr="00816FC2" w:rsidRDefault="004F51FF" w:rsidP="00315986">
      <w:r w:rsidRPr="00816FC2">
        <w:t xml:space="preserve">All implementing partners will provide constant monitoring of the programme implementation and will be in regular contact with actors on the ground in the two countries. </w:t>
      </w:r>
      <w:r w:rsidR="0097285D" w:rsidRPr="00816FC2">
        <w:t>The partners will provide Denmark (either directly or via the delegated cooperation partners) with written narrative and financial reporting, normally on a quarterly basis</w:t>
      </w:r>
      <w:r w:rsidR="00FD7218" w:rsidRPr="00816FC2">
        <w:t>.</w:t>
      </w:r>
      <w:r w:rsidR="0097285D" w:rsidRPr="00816FC2">
        <w:t xml:space="preserve"> </w:t>
      </w:r>
      <w:r w:rsidR="00274B9C" w:rsidRPr="00816FC2">
        <w:t>Narrative reporting will include reporting against the results frameworks set out in the</w:t>
      </w:r>
      <w:r w:rsidR="00E329CC" w:rsidRPr="00816FC2">
        <w:t xml:space="preserve"> PSEDs and their project documents. </w:t>
      </w:r>
      <w:r w:rsidR="001F3ABE" w:rsidRPr="00816FC2">
        <w:t>These results frameworks seek to disaggregate data by gender and age to the extent possible.</w:t>
      </w:r>
    </w:p>
    <w:p w:rsidR="00B84D9E" w:rsidRPr="00816FC2" w:rsidRDefault="00315986" w:rsidP="00315986">
      <w:r>
        <w:t xml:space="preserve">Several </w:t>
      </w:r>
      <w:r w:rsidR="00DC73D9" w:rsidRPr="00816FC2">
        <w:t>Syria engagements</w:t>
      </w:r>
      <w:r>
        <w:t xml:space="preserve">, such as </w:t>
      </w:r>
      <w:r w:rsidRPr="00816FC2">
        <w:t>AJACS and Mayday/SCD</w:t>
      </w:r>
      <w:r>
        <w:t>,</w:t>
      </w:r>
      <w:r w:rsidR="00DC73D9" w:rsidRPr="00816FC2">
        <w:t xml:space="preserve"> </w:t>
      </w:r>
      <w:r>
        <w:t>d</w:t>
      </w:r>
      <w:r w:rsidR="00DC73D9" w:rsidRPr="00816FC2">
        <w:t xml:space="preserve">raw </w:t>
      </w:r>
      <w:r>
        <w:t xml:space="preserve">on </w:t>
      </w:r>
      <w:r w:rsidR="00DC73D9" w:rsidRPr="00816FC2">
        <w:rPr>
          <w:b/>
        </w:rPr>
        <w:t>Third Party Monitoring</w:t>
      </w:r>
      <w:r w:rsidR="00DC73D9" w:rsidRPr="00816FC2">
        <w:t xml:space="preserve"> arrangements supported by donors individually or col</w:t>
      </w:r>
      <w:r w:rsidR="001440DF" w:rsidRPr="00816FC2">
        <w:t>lectively</w:t>
      </w:r>
      <w:r>
        <w:t xml:space="preserve">, to which Denmark has and is expected to continue having access. </w:t>
      </w:r>
      <w:r w:rsidR="00DC73D9" w:rsidRPr="00816FC2">
        <w:t xml:space="preserve">Denmark has </w:t>
      </w:r>
      <w:r>
        <w:t xml:space="preserve">also </w:t>
      </w:r>
      <w:r w:rsidR="00DC73D9" w:rsidRPr="00816FC2">
        <w:t xml:space="preserve">provided external mentoring to Baytna </w:t>
      </w:r>
      <w:r w:rsidR="007F7486" w:rsidRPr="00816FC2">
        <w:t xml:space="preserve">and has sponsored reviews </w:t>
      </w:r>
      <w:r w:rsidR="0017265E" w:rsidRPr="00816FC2">
        <w:t>of both Baytna and TDA</w:t>
      </w:r>
      <w:r w:rsidR="007F7486" w:rsidRPr="00816FC2">
        <w:t xml:space="preserve">.  </w:t>
      </w:r>
      <w:r w:rsidR="0017265E" w:rsidRPr="00816FC2">
        <w:t xml:space="preserve">In the case of Baytna and TDA, a new </w:t>
      </w:r>
      <w:r w:rsidR="00273A0E" w:rsidRPr="00816FC2">
        <w:t>mentoring contract will be let under this programme covering both organisations.</w:t>
      </w:r>
      <w:r w:rsidR="001440DF" w:rsidRPr="00816FC2">
        <w:t xml:space="preserve"> Provision for this is included in the budget under the budget line for Technical Assistance and Review.</w:t>
      </w:r>
    </w:p>
    <w:p w:rsidR="0097285D" w:rsidRPr="00816FC2" w:rsidRDefault="00315986" w:rsidP="00315986">
      <w:r>
        <w:t>T</w:t>
      </w:r>
      <w:r w:rsidR="00B554B3" w:rsidRPr="00816FC2">
        <w:t xml:space="preserve">he programme will utilise the </w:t>
      </w:r>
      <w:r w:rsidR="00B554B3" w:rsidRPr="00816FC2">
        <w:rPr>
          <w:b/>
        </w:rPr>
        <w:t>new PSE reporting formats</w:t>
      </w:r>
      <w:r w:rsidR="00B554B3" w:rsidRPr="00816FC2">
        <w:t xml:space="preserve"> and procedures. These provide management information </w:t>
      </w:r>
      <w:r w:rsidR="00E067F1" w:rsidRPr="00816FC2">
        <w:t xml:space="preserve">for the PSF Steering Group </w:t>
      </w:r>
      <w:r>
        <w:t xml:space="preserve">on </w:t>
      </w:r>
      <w:r w:rsidR="00B554B3" w:rsidRPr="00816FC2">
        <w:t xml:space="preserve">overall programme progress, progress at outcome level for individual engagements, and facilitate a regular assessment of the validity of assumptions and monitoring of risks. </w:t>
      </w:r>
      <w:r>
        <w:t xml:space="preserve">This reporting will be led by the </w:t>
      </w:r>
      <w:r w:rsidR="00E067F1" w:rsidRPr="00816FC2">
        <w:t>two stabilisation advisors</w:t>
      </w:r>
      <w:r w:rsidR="00B554B3" w:rsidRPr="00816FC2">
        <w:t xml:space="preserve"> draw</w:t>
      </w:r>
      <w:r w:rsidR="00E067F1" w:rsidRPr="00816FC2">
        <w:t>ing</w:t>
      </w:r>
      <w:r w:rsidR="00B554B3" w:rsidRPr="00816FC2">
        <w:t xml:space="preserve"> from the results frameworks developed by partners</w:t>
      </w:r>
      <w:r>
        <w:t>,</w:t>
      </w:r>
      <w:r w:rsidR="00B554B3" w:rsidRPr="00816FC2">
        <w:t xml:space="preserve"> ensur</w:t>
      </w:r>
      <w:r>
        <w:t>ing</w:t>
      </w:r>
      <w:r w:rsidR="00B554B3" w:rsidRPr="00816FC2">
        <w:t xml:space="preserve"> a streamlined reporting system and reduc</w:t>
      </w:r>
      <w:r>
        <w:t>ing</w:t>
      </w:r>
      <w:r w:rsidR="00B554B3" w:rsidRPr="00816FC2">
        <w:t xml:space="preserve"> overall transaction costs.</w:t>
      </w:r>
      <w:r>
        <w:t xml:space="preserve"> </w:t>
      </w:r>
      <w:r w:rsidR="00FD7218" w:rsidRPr="00816FC2">
        <w:t xml:space="preserve">The inputs available from such reporting will </w:t>
      </w:r>
      <w:r w:rsidR="00E067F1" w:rsidRPr="00816FC2">
        <w:t xml:space="preserve">also </w:t>
      </w:r>
      <w:r w:rsidR="00FD7218" w:rsidRPr="00816FC2">
        <w:t xml:space="preserve">be augmented from other sources, including participation in coordination fora </w:t>
      </w:r>
      <w:r w:rsidR="00052096" w:rsidRPr="00816FC2">
        <w:t>in which MFA and</w:t>
      </w:r>
      <w:r>
        <w:t xml:space="preserve"> </w:t>
      </w:r>
      <w:r w:rsidR="00052096" w:rsidRPr="00816FC2">
        <w:t>/</w:t>
      </w:r>
      <w:r>
        <w:t xml:space="preserve"> </w:t>
      </w:r>
      <w:r w:rsidR="00052096" w:rsidRPr="00816FC2">
        <w:t>or the stabilisation advisors participate.</w:t>
      </w:r>
      <w:r w:rsidR="00FD7218" w:rsidRPr="00816FC2">
        <w:t xml:space="preserve"> </w:t>
      </w:r>
    </w:p>
    <w:p w:rsidR="00FD7218" w:rsidRPr="00816FC2" w:rsidRDefault="00FD7218" w:rsidP="00315986">
      <w:r w:rsidRPr="00816FC2">
        <w:t xml:space="preserve">Denmark will also recommend to its donor partners working on Syria that joint research, joint M&amp;E and joint coordination mechanisms such as </w:t>
      </w:r>
      <w:r w:rsidR="00315986">
        <w:t xml:space="preserve">CSO </w:t>
      </w:r>
      <w:r w:rsidRPr="00816FC2">
        <w:t>and intervention mapping is conducted and shared across projects funded by separate donors as well as multi-donor initiatives wherever there is the potential for overlap or duplication.</w:t>
      </w:r>
      <w:r w:rsidR="00E2473A" w:rsidRPr="00816FC2">
        <w:t xml:space="preserve"> </w:t>
      </w:r>
      <w:r w:rsidR="00315986">
        <w:t>G</w:t>
      </w:r>
      <w:r w:rsidR="00E2473A" w:rsidRPr="00816FC2">
        <w:t xml:space="preserve">iven the costs of </w:t>
      </w:r>
      <w:r w:rsidR="009B076D" w:rsidRPr="00816FC2">
        <w:t xml:space="preserve">support arrangements, possibilities will be explored to undertaking value for money </w:t>
      </w:r>
      <w:r w:rsidR="00315986">
        <w:t xml:space="preserve">organisational </w:t>
      </w:r>
      <w:r w:rsidR="009B076D" w:rsidRPr="00816FC2">
        <w:t>assessments to help ensure that costs do not escalate.</w:t>
      </w:r>
    </w:p>
    <w:p w:rsidR="00471B69" w:rsidRPr="00816FC2" w:rsidRDefault="00EE796B" w:rsidP="007F2463">
      <w:r w:rsidRPr="00816FC2">
        <w:t>Finally</w:t>
      </w:r>
      <w:r>
        <w:t xml:space="preserve">, </w:t>
      </w:r>
      <w:r w:rsidR="008A593D" w:rsidRPr="00816FC2">
        <w:t xml:space="preserve">the programme will be subject to a </w:t>
      </w:r>
      <w:r w:rsidR="00315986" w:rsidRPr="007F2463">
        <w:rPr>
          <w:b/>
          <w:bCs/>
        </w:rPr>
        <w:t xml:space="preserve">2017 </w:t>
      </w:r>
      <w:r w:rsidR="00315986" w:rsidRPr="00CD5F62">
        <w:rPr>
          <w:b/>
          <w:bCs/>
        </w:rPr>
        <w:t>M</w:t>
      </w:r>
      <w:r>
        <w:rPr>
          <w:b/>
          <w:bCs/>
        </w:rPr>
        <w:t>id-</w:t>
      </w:r>
      <w:r w:rsidR="00315986" w:rsidRPr="00CD5F62">
        <w:rPr>
          <w:b/>
          <w:bCs/>
        </w:rPr>
        <w:t>T</w:t>
      </w:r>
      <w:r>
        <w:rPr>
          <w:b/>
          <w:bCs/>
        </w:rPr>
        <w:t xml:space="preserve">erm </w:t>
      </w:r>
      <w:r w:rsidR="00315986" w:rsidRPr="00CD5F62">
        <w:rPr>
          <w:b/>
          <w:bCs/>
        </w:rPr>
        <w:t>R</w:t>
      </w:r>
      <w:r>
        <w:rPr>
          <w:b/>
          <w:bCs/>
        </w:rPr>
        <w:t>eview</w:t>
      </w:r>
      <w:r w:rsidR="008A593D" w:rsidRPr="00816FC2">
        <w:t>. This is regarded as strategic and as a risk reduction exercise. Amongst the tasks of the MTR will be</w:t>
      </w:r>
      <w:r w:rsidR="00315986">
        <w:t xml:space="preserve"> to</w:t>
      </w:r>
      <w:r w:rsidR="008A593D" w:rsidRPr="00816FC2">
        <w:t xml:space="preserve"> review overall progress being made</w:t>
      </w:r>
      <w:r w:rsidR="00315986">
        <w:t xml:space="preserve">; </w:t>
      </w:r>
      <w:r w:rsidR="00E341F5" w:rsidRPr="00816FC2">
        <w:t>assess changes in the context and any changes that need to be made to the programme’s planning assumptions, including scenarios and risks</w:t>
      </w:r>
      <w:r w:rsidR="00315986">
        <w:t xml:space="preserve">; </w:t>
      </w:r>
      <w:r w:rsidR="00E341F5" w:rsidRPr="00816FC2">
        <w:t>assess the usefulness of existing third party monitoring and mentoring arrangements</w:t>
      </w:r>
      <w:r w:rsidR="00315986">
        <w:t xml:space="preserve">; </w:t>
      </w:r>
      <w:r w:rsidR="00E341F5" w:rsidRPr="00816FC2">
        <w:t>assess the utility of the programme management set up</w:t>
      </w:r>
      <w:r w:rsidR="00315986">
        <w:t xml:space="preserve">; </w:t>
      </w:r>
      <w:r w:rsidR="00E341F5" w:rsidRPr="00816FC2">
        <w:t>review and recommend a way ahead on security sector reform (Iraq)</w:t>
      </w:r>
      <w:r w:rsidR="00315986">
        <w:t xml:space="preserve">; </w:t>
      </w:r>
      <w:r w:rsidR="00916F12">
        <w:t xml:space="preserve">assess the need for further support to UNDPA in Syria based on the contextual and political situation at the time; </w:t>
      </w:r>
      <w:r w:rsidR="00E341F5" w:rsidRPr="00816FC2">
        <w:t xml:space="preserve">assess the needs and scope for </w:t>
      </w:r>
      <w:r w:rsidR="00471B69" w:rsidRPr="00816FC2">
        <w:t>further support to mine action in Syria through UNMAS</w:t>
      </w:r>
      <w:r w:rsidR="00315986">
        <w:t xml:space="preserve">; </w:t>
      </w:r>
      <w:r w:rsidR="00471B69" w:rsidRPr="00816FC2">
        <w:t>assess the performance of the SRTF and consider whether joining the SRM would be appropriate</w:t>
      </w:r>
      <w:r w:rsidR="0093426F">
        <w:t>; assess the continued relevance of support to UNDPA</w:t>
      </w:r>
      <w:r w:rsidR="00315986">
        <w:t xml:space="preserve">, and </w:t>
      </w:r>
      <w:r w:rsidR="00471B69" w:rsidRPr="00816FC2">
        <w:t>recommend adjustments to the budget.</w:t>
      </w:r>
    </w:p>
    <w:p w:rsidR="00FB7159" w:rsidRPr="00816FC2" w:rsidRDefault="00FB7159" w:rsidP="007B2E4E">
      <w:pPr>
        <w:pStyle w:val="Overskrift1"/>
      </w:pPr>
      <w:bookmarkStart w:id="60" w:name="_Toc332370525"/>
      <w:r w:rsidRPr="00816FC2">
        <w:lastRenderedPageBreak/>
        <w:t>Budget</w:t>
      </w:r>
      <w:bookmarkEnd w:id="60"/>
    </w:p>
    <w:p w:rsidR="00D32045" w:rsidRPr="00816FC2" w:rsidRDefault="00D32045" w:rsidP="00D32045">
      <w:pPr>
        <w:rPr>
          <w:i/>
        </w:rPr>
      </w:pPr>
      <w:r w:rsidRPr="00816FC2">
        <w:rPr>
          <w:i/>
        </w:rPr>
        <w:t>Overall programme budget (DKK M)</w:t>
      </w:r>
    </w:p>
    <w:tbl>
      <w:tblPr>
        <w:tblW w:w="9579" w:type="dxa"/>
        <w:tblInd w:w="55" w:type="dxa"/>
        <w:tblCellMar>
          <w:left w:w="70" w:type="dxa"/>
          <w:right w:w="70" w:type="dxa"/>
        </w:tblCellMar>
        <w:tblLook w:val="04A0" w:firstRow="1" w:lastRow="0" w:firstColumn="1" w:lastColumn="0" w:noHBand="0" w:noVBand="1"/>
      </w:tblPr>
      <w:tblGrid>
        <w:gridCol w:w="4476"/>
        <w:gridCol w:w="1275"/>
        <w:gridCol w:w="1276"/>
        <w:gridCol w:w="1276"/>
        <w:gridCol w:w="1276"/>
      </w:tblGrid>
      <w:tr w:rsidR="00EB5A86" w:rsidRPr="00816FC2" w:rsidTr="00EB5A86">
        <w:trPr>
          <w:trHeight w:val="330"/>
        </w:trPr>
        <w:tc>
          <w:tcPr>
            <w:tcW w:w="4476" w:type="dxa"/>
            <w:shd w:val="clear" w:color="auto" w:fill="3E2C42"/>
            <w:vAlign w:val="center"/>
          </w:tcPr>
          <w:p w:rsidR="00FB7159" w:rsidRPr="00816FC2" w:rsidRDefault="00FB7159" w:rsidP="00744245">
            <w:pPr>
              <w:rPr>
                <w:b/>
                <w:color w:val="FFFFFF" w:themeColor="background1"/>
                <w:sz w:val="22"/>
                <w:szCs w:val="22"/>
                <w:lang w:eastAsia="da-DK"/>
              </w:rPr>
            </w:pPr>
          </w:p>
        </w:tc>
        <w:tc>
          <w:tcPr>
            <w:tcW w:w="1275" w:type="dxa"/>
            <w:shd w:val="clear" w:color="auto" w:fill="3E2C42"/>
            <w:vAlign w:val="center"/>
          </w:tcPr>
          <w:p w:rsidR="00FB7159" w:rsidRPr="00816FC2" w:rsidRDefault="00EB5A86" w:rsidP="00744245">
            <w:pPr>
              <w:jc w:val="center"/>
              <w:rPr>
                <w:b/>
                <w:color w:val="FFFFFF" w:themeColor="background1"/>
                <w:sz w:val="22"/>
                <w:szCs w:val="22"/>
                <w:lang w:eastAsia="da-DK"/>
              </w:rPr>
            </w:pPr>
            <w:r w:rsidRPr="00816FC2">
              <w:rPr>
                <w:b/>
                <w:color w:val="FFFFFF" w:themeColor="background1"/>
                <w:sz w:val="22"/>
                <w:szCs w:val="22"/>
                <w:lang w:eastAsia="da-DK"/>
              </w:rPr>
              <w:t xml:space="preserve">Funding in </w:t>
            </w:r>
            <w:r w:rsidR="00FB7159" w:rsidRPr="00816FC2">
              <w:rPr>
                <w:b/>
                <w:color w:val="FFFFFF" w:themeColor="background1"/>
                <w:sz w:val="22"/>
                <w:szCs w:val="22"/>
                <w:lang w:eastAsia="da-DK"/>
              </w:rPr>
              <w:t>2016</w:t>
            </w:r>
          </w:p>
        </w:tc>
        <w:tc>
          <w:tcPr>
            <w:tcW w:w="1276" w:type="dxa"/>
            <w:shd w:val="clear" w:color="auto" w:fill="3E2C42"/>
            <w:vAlign w:val="center"/>
          </w:tcPr>
          <w:p w:rsidR="00FB7159" w:rsidRPr="00816FC2" w:rsidRDefault="00EB5A86" w:rsidP="00744245">
            <w:pPr>
              <w:jc w:val="center"/>
              <w:rPr>
                <w:b/>
                <w:color w:val="FFFFFF" w:themeColor="background1"/>
                <w:sz w:val="22"/>
                <w:szCs w:val="22"/>
                <w:lang w:eastAsia="da-DK"/>
              </w:rPr>
            </w:pPr>
            <w:r w:rsidRPr="00816FC2">
              <w:rPr>
                <w:b/>
                <w:color w:val="FFFFFF" w:themeColor="background1"/>
                <w:sz w:val="22"/>
                <w:szCs w:val="22"/>
                <w:lang w:eastAsia="da-DK"/>
              </w:rPr>
              <w:t xml:space="preserve">Funding in </w:t>
            </w:r>
            <w:r w:rsidR="00FB7159" w:rsidRPr="00816FC2">
              <w:rPr>
                <w:b/>
                <w:color w:val="FFFFFF" w:themeColor="background1"/>
                <w:sz w:val="22"/>
                <w:szCs w:val="22"/>
                <w:lang w:eastAsia="da-DK"/>
              </w:rPr>
              <w:t>2017</w:t>
            </w:r>
          </w:p>
        </w:tc>
        <w:tc>
          <w:tcPr>
            <w:tcW w:w="1276" w:type="dxa"/>
            <w:shd w:val="clear" w:color="auto" w:fill="3E2C42"/>
            <w:vAlign w:val="center"/>
          </w:tcPr>
          <w:p w:rsidR="00FB7159" w:rsidRPr="00816FC2" w:rsidRDefault="00EB5A86" w:rsidP="00744245">
            <w:pPr>
              <w:jc w:val="center"/>
              <w:rPr>
                <w:b/>
                <w:color w:val="FFFFFF" w:themeColor="background1"/>
                <w:sz w:val="22"/>
                <w:szCs w:val="22"/>
                <w:lang w:eastAsia="da-DK"/>
              </w:rPr>
            </w:pPr>
            <w:r w:rsidRPr="00816FC2">
              <w:rPr>
                <w:b/>
                <w:color w:val="FFFFFF" w:themeColor="background1"/>
                <w:sz w:val="22"/>
                <w:szCs w:val="22"/>
                <w:lang w:eastAsia="da-DK"/>
              </w:rPr>
              <w:t>Funding in 2018</w:t>
            </w:r>
          </w:p>
        </w:tc>
        <w:tc>
          <w:tcPr>
            <w:tcW w:w="1276" w:type="dxa"/>
            <w:shd w:val="clear" w:color="auto" w:fill="3E2C42"/>
            <w:vAlign w:val="center"/>
          </w:tcPr>
          <w:p w:rsidR="00FB7159" w:rsidRPr="00816FC2" w:rsidRDefault="002C6D65" w:rsidP="00744245">
            <w:pPr>
              <w:jc w:val="center"/>
              <w:rPr>
                <w:b/>
                <w:color w:val="FFFFFF" w:themeColor="background1"/>
                <w:sz w:val="22"/>
                <w:szCs w:val="22"/>
                <w:lang w:eastAsia="da-DK"/>
              </w:rPr>
            </w:pPr>
            <w:r w:rsidRPr="00816FC2">
              <w:rPr>
                <w:b/>
                <w:color w:val="FFFFFF" w:themeColor="background1"/>
                <w:sz w:val="22"/>
                <w:szCs w:val="22"/>
                <w:lang w:eastAsia="da-DK"/>
              </w:rPr>
              <w:t xml:space="preserve">Funding </w:t>
            </w:r>
            <w:r w:rsidR="00EB5A86" w:rsidRPr="00816FC2">
              <w:rPr>
                <w:b/>
                <w:color w:val="FFFFFF" w:themeColor="background1"/>
                <w:sz w:val="22"/>
                <w:szCs w:val="22"/>
                <w:lang w:eastAsia="da-DK"/>
              </w:rPr>
              <w:t>Source</w:t>
            </w:r>
          </w:p>
        </w:tc>
      </w:tr>
      <w:tr w:rsidR="00EB5A86" w:rsidRPr="00816FC2" w:rsidTr="00EB5A86">
        <w:trPr>
          <w:trHeight w:val="330"/>
        </w:trPr>
        <w:tc>
          <w:tcPr>
            <w:tcW w:w="4476" w:type="dxa"/>
            <w:shd w:val="clear" w:color="auto" w:fill="EBD9E2"/>
            <w:vAlign w:val="center"/>
          </w:tcPr>
          <w:p w:rsidR="00543993" w:rsidRPr="00816FC2" w:rsidRDefault="00543993" w:rsidP="00744245">
            <w:pPr>
              <w:rPr>
                <w:b/>
                <w:color w:val="FFFFFF" w:themeColor="background1"/>
                <w:sz w:val="22"/>
                <w:szCs w:val="22"/>
                <w:lang w:eastAsia="da-DK"/>
              </w:rPr>
            </w:pPr>
            <w:r w:rsidRPr="00816FC2">
              <w:rPr>
                <w:b/>
                <w:color w:val="3E2C42"/>
                <w:sz w:val="22"/>
                <w:szCs w:val="22"/>
                <w:lang w:eastAsia="da-DK"/>
              </w:rPr>
              <w:t xml:space="preserve">Thematic programme 1: Political dialogue and peace building </w:t>
            </w:r>
          </w:p>
        </w:tc>
        <w:tc>
          <w:tcPr>
            <w:tcW w:w="1275" w:type="dxa"/>
            <w:shd w:val="clear" w:color="auto" w:fill="EBD9E2"/>
            <w:vAlign w:val="center"/>
          </w:tcPr>
          <w:p w:rsidR="00543993" w:rsidRPr="00816FC2" w:rsidRDefault="00543993" w:rsidP="00744245">
            <w:pPr>
              <w:jc w:val="center"/>
              <w:rPr>
                <w:b/>
                <w:color w:val="FFFFFF" w:themeColor="background1"/>
                <w:sz w:val="22"/>
                <w:szCs w:val="22"/>
                <w:lang w:eastAsia="da-DK"/>
              </w:rPr>
            </w:pPr>
          </w:p>
        </w:tc>
        <w:tc>
          <w:tcPr>
            <w:tcW w:w="1276" w:type="dxa"/>
            <w:shd w:val="clear" w:color="auto" w:fill="EBD9E2"/>
            <w:vAlign w:val="center"/>
          </w:tcPr>
          <w:p w:rsidR="00543993" w:rsidRPr="00816FC2" w:rsidRDefault="00543993" w:rsidP="00744245">
            <w:pPr>
              <w:jc w:val="center"/>
              <w:rPr>
                <w:b/>
                <w:color w:val="FFFFFF" w:themeColor="background1"/>
                <w:sz w:val="22"/>
                <w:szCs w:val="22"/>
                <w:lang w:eastAsia="da-DK"/>
              </w:rPr>
            </w:pPr>
          </w:p>
        </w:tc>
        <w:tc>
          <w:tcPr>
            <w:tcW w:w="1276" w:type="dxa"/>
            <w:shd w:val="clear" w:color="auto" w:fill="EBD9E2"/>
            <w:vAlign w:val="center"/>
          </w:tcPr>
          <w:p w:rsidR="00543993" w:rsidRPr="00816FC2" w:rsidRDefault="00543993" w:rsidP="00744245">
            <w:pPr>
              <w:jc w:val="center"/>
              <w:rPr>
                <w:b/>
                <w:color w:val="FFFFFF" w:themeColor="background1"/>
                <w:sz w:val="22"/>
                <w:szCs w:val="22"/>
                <w:lang w:eastAsia="da-DK"/>
              </w:rPr>
            </w:pPr>
          </w:p>
        </w:tc>
        <w:tc>
          <w:tcPr>
            <w:tcW w:w="1276" w:type="dxa"/>
            <w:shd w:val="clear" w:color="auto" w:fill="EBD9E2"/>
            <w:vAlign w:val="center"/>
          </w:tcPr>
          <w:p w:rsidR="00543993" w:rsidRPr="00816FC2" w:rsidRDefault="00543993" w:rsidP="00744245">
            <w:pPr>
              <w:jc w:val="center"/>
              <w:rPr>
                <w:b/>
                <w:color w:val="FFFFFF" w:themeColor="background1"/>
                <w:sz w:val="22"/>
                <w:szCs w:val="22"/>
                <w:lang w:eastAsia="da-DK"/>
              </w:rPr>
            </w:pPr>
          </w:p>
        </w:tc>
      </w:tr>
      <w:tr w:rsidR="00EB5A86" w:rsidRPr="00816FC2" w:rsidTr="00EB5A86">
        <w:trPr>
          <w:trHeight w:val="315"/>
        </w:trPr>
        <w:tc>
          <w:tcPr>
            <w:tcW w:w="4476" w:type="dxa"/>
            <w:shd w:val="clear" w:color="auto" w:fill="auto"/>
            <w:vAlign w:val="center"/>
            <w:hideMark/>
          </w:tcPr>
          <w:p w:rsidR="00543993" w:rsidRPr="00816FC2" w:rsidRDefault="00543993" w:rsidP="00744245">
            <w:pPr>
              <w:rPr>
                <w:sz w:val="22"/>
                <w:szCs w:val="22"/>
                <w:lang w:eastAsia="da-DK"/>
              </w:rPr>
            </w:pPr>
            <w:r w:rsidRPr="00816FC2">
              <w:rPr>
                <w:sz w:val="22"/>
                <w:szCs w:val="22"/>
                <w:lang w:eastAsia="da-DK"/>
              </w:rPr>
              <w:t>1.1 Track-I: support to United Nations (UNDPA)</w:t>
            </w:r>
          </w:p>
        </w:tc>
        <w:tc>
          <w:tcPr>
            <w:tcW w:w="1275" w:type="dxa"/>
            <w:shd w:val="clear" w:color="auto" w:fill="auto"/>
            <w:vAlign w:val="center"/>
            <w:hideMark/>
          </w:tcPr>
          <w:p w:rsidR="00543993" w:rsidRPr="00816FC2" w:rsidRDefault="00543993" w:rsidP="00744245">
            <w:pPr>
              <w:jc w:val="center"/>
              <w:rPr>
                <w:sz w:val="22"/>
                <w:szCs w:val="22"/>
                <w:lang w:eastAsia="da-DK"/>
              </w:rPr>
            </w:pPr>
            <w:r w:rsidRPr="00816FC2">
              <w:rPr>
                <w:sz w:val="22"/>
                <w:szCs w:val="22"/>
                <w:lang w:eastAsia="da-DK"/>
              </w:rPr>
              <w:t>0</w:t>
            </w:r>
          </w:p>
        </w:tc>
        <w:tc>
          <w:tcPr>
            <w:tcW w:w="1276" w:type="dxa"/>
            <w:shd w:val="clear" w:color="auto" w:fill="auto"/>
            <w:vAlign w:val="center"/>
            <w:hideMark/>
          </w:tcPr>
          <w:p w:rsidR="00543993" w:rsidRPr="00816FC2" w:rsidRDefault="004151C8" w:rsidP="00744245">
            <w:pPr>
              <w:jc w:val="center"/>
              <w:rPr>
                <w:sz w:val="22"/>
                <w:szCs w:val="22"/>
                <w:lang w:eastAsia="da-DK"/>
              </w:rPr>
            </w:pPr>
            <w:r w:rsidRPr="00816FC2">
              <w:rPr>
                <w:sz w:val="22"/>
                <w:szCs w:val="22"/>
                <w:lang w:eastAsia="da-DK"/>
              </w:rPr>
              <w:t>4</w:t>
            </w:r>
          </w:p>
        </w:tc>
        <w:tc>
          <w:tcPr>
            <w:tcW w:w="1276" w:type="dxa"/>
            <w:vAlign w:val="center"/>
          </w:tcPr>
          <w:p w:rsidR="00543993"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543993" w:rsidRPr="00816FC2" w:rsidRDefault="004151C8" w:rsidP="004151C8">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hideMark/>
          </w:tcPr>
          <w:p w:rsidR="00C23BAC" w:rsidRPr="00816FC2" w:rsidRDefault="00C23BAC" w:rsidP="00744245">
            <w:pPr>
              <w:rPr>
                <w:rFonts w:eastAsia="Times New Roman" w:cs="Times New Roman"/>
                <w:color w:val="auto"/>
                <w:sz w:val="22"/>
                <w:szCs w:val="22"/>
                <w:lang w:eastAsia="da-DK"/>
              </w:rPr>
            </w:pPr>
            <w:r w:rsidRPr="00816FC2">
              <w:rPr>
                <w:sz w:val="22"/>
                <w:szCs w:val="22"/>
              </w:rPr>
              <w:t xml:space="preserve">1.2 Baytna </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10</w:t>
            </w:r>
          </w:p>
        </w:tc>
        <w:tc>
          <w:tcPr>
            <w:tcW w:w="1276" w:type="dxa"/>
            <w:shd w:val="clear" w:color="auto" w:fill="auto"/>
            <w:vAlign w:val="center"/>
            <w:hideMark/>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DAI</w:t>
            </w:r>
          </w:p>
        </w:tc>
      </w:tr>
      <w:tr w:rsidR="00C23BAC" w:rsidRPr="00816FC2" w:rsidTr="00EB5A86">
        <w:trPr>
          <w:trHeight w:val="315"/>
        </w:trPr>
        <w:tc>
          <w:tcPr>
            <w:tcW w:w="4476" w:type="dxa"/>
            <w:shd w:val="clear" w:color="auto" w:fill="auto"/>
          </w:tcPr>
          <w:p w:rsidR="00C23BAC" w:rsidRPr="00816FC2" w:rsidRDefault="00C23BAC" w:rsidP="00744245">
            <w:pPr>
              <w:rPr>
                <w:rFonts w:eastAsia="Times New Roman" w:cs="Times New Roman"/>
                <w:color w:val="auto"/>
                <w:sz w:val="22"/>
                <w:szCs w:val="22"/>
                <w:lang w:eastAsia="da-DK"/>
              </w:rPr>
            </w:pPr>
            <w:r w:rsidRPr="00816FC2">
              <w:rPr>
                <w:sz w:val="22"/>
                <w:szCs w:val="22"/>
              </w:rPr>
              <w:t>1.3 The Day After</w:t>
            </w:r>
          </w:p>
        </w:tc>
        <w:tc>
          <w:tcPr>
            <w:tcW w:w="1275" w:type="dxa"/>
            <w:shd w:val="clear" w:color="auto" w:fill="auto"/>
            <w:vAlign w:val="center"/>
          </w:tcPr>
          <w:p w:rsidR="00C23BAC" w:rsidRPr="00816FC2" w:rsidRDefault="00C23BAC" w:rsidP="00744245">
            <w:pPr>
              <w:jc w:val="center"/>
              <w:rPr>
                <w:sz w:val="22"/>
                <w:szCs w:val="22"/>
                <w:lang w:eastAsia="da-DK"/>
              </w:rPr>
            </w:pPr>
            <w:r w:rsidRPr="00816FC2">
              <w:rPr>
                <w:sz w:val="22"/>
                <w:szCs w:val="22"/>
                <w:lang w:eastAsia="da-DK"/>
              </w:rPr>
              <w:t>10</w:t>
            </w:r>
          </w:p>
        </w:tc>
        <w:tc>
          <w:tcPr>
            <w:tcW w:w="1276" w:type="dxa"/>
            <w:shd w:val="clear" w:color="auto" w:fill="auto"/>
            <w:vAlign w:val="center"/>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DAI</w:t>
            </w:r>
          </w:p>
        </w:tc>
      </w:tr>
      <w:tr w:rsidR="00C23BAC" w:rsidRPr="00816FC2" w:rsidTr="00EB5A86">
        <w:trPr>
          <w:trHeight w:val="315"/>
        </w:trPr>
        <w:tc>
          <w:tcPr>
            <w:tcW w:w="4476" w:type="dxa"/>
            <w:shd w:val="clear" w:color="auto" w:fill="EBD9E2"/>
            <w:vAlign w:val="center"/>
            <w:hideMark/>
          </w:tcPr>
          <w:p w:rsidR="00C23BAC" w:rsidRPr="00816FC2" w:rsidRDefault="00C23BAC" w:rsidP="00744245">
            <w:pPr>
              <w:rPr>
                <w:sz w:val="22"/>
                <w:szCs w:val="22"/>
                <w:lang w:eastAsia="da-DK"/>
              </w:rPr>
            </w:pPr>
            <w:r w:rsidRPr="00816FC2">
              <w:rPr>
                <w:sz w:val="22"/>
                <w:szCs w:val="22"/>
                <w:lang w:eastAsia="da-DK"/>
              </w:rPr>
              <w:t>Subtotal</w:t>
            </w:r>
          </w:p>
        </w:tc>
        <w:tc>
          <w:tcPr>
            <w:tcW w:w="1275" w:type="dxa"/>
            <w:shd w:val="clear" w:color="auto" w:fill="EBD9E2"/>
            <w:vAlign w:val="center"/>
            <w:hideMark/>
          </w:tcPr>
          <w:p w:rsidR="00C23BAC" w:rsidRPr="00816FC2" w:rsidRDefault="00D11664" w:rsidP="00744245">
            <w:pPr>
              <w:jc w:val="center"/>
              <w:rPr>
                <w:sz w:val="22"/>
                <w:szCs w:val="22"/>
                <w:lang w:eastAsia="da-DK"/>
              </w:rPr>
            </w:pPr>
            <w:r w:rsidRPr="00816FC2">
              <w:rPr>
                <w:sz w:val="22"/>
                <w:szCs w:val="22"/>
                <w:lang w:eastAsia="da-DK"/>
              </w:rPr>
              <w:t>20</w:t>
            </w:r>
          </w:p>
        </w:tc>
        <w:tc>
          <w:tcPr>
            <w:tcW w:w="1276" w:type="dxa"/>
            <w:shd w:val="clear" w:color="auto" w:fill="EBD9E2"/>
            <w:vAlign w:val="center"/>
            <w:hideMark/>
          </w:tcPr>
          <w:p w:rsidR="00C23BAC" w:rsidRPr="00816FC2" w:rsidRDefault="00D11664" w:rsidP="00744245">
            <w:pPr>
              <w:jc w:val="center"/>
              <w:rPr>
                <w:sz w:val="22"/>
                <w:szCs w:val="22"/>
                <w:lang w:eastAsia="da-DK"/>
              </w:rPr>
            </w:pPr>
            <w:r w:rsidRPr="00816FC2">
              <w:rPr>
                <w:sz w:val="22"/>
                <w:szCs w:val="22"/>
                <w:lang w:eastAsia="da-DK"/>
              </w:rPr>
              <w:t>4</w:t>
            </w:r>
          </w:p>
        </w:tc>
        <w:tc>
          <w:tcPr>
            <w:tcW w:w="1276" w:type="dxa"/>
            <w:shd w:val="clear" w:color="auto" w:fill="EBD9E2"/>
            <w:vAlign w:val="center"/>
          </w:tcPr>
          <w:p w:rsidR="00C23BAC" w:rsidRPr="00816FC2" w:rsidRDefault="00D11664" w:rsidP="00744245">
            <w:pPr>
              <w:jc w:val="center"/>
              <w:rPr>
                <w:sz w:val="22"/>
                <w:szCs w:val="22"/>
                <w:lang w:eastAsia="da-DK"/>
              </w:rPr>
            </w:pPr>
            <w:r w:rsidRPr="00816FC2">
              <w:rPr>
                <w:sz w:val="22"/>
                <w:szCs w:val="22"/>
                <w:lang w:eastAsia="da-DK"/>
              </w:rPr>
              <w:t>0</w:t>
            </w:r>
          </w:p>
        </w:tc>
        <w:tc>
          <w:tcPr>
            <w:tcW w:w="1276" w:type="dxa"/>
            <w:shd w:val="clear" w:color="auto" w:fill="EBD9E2"/>
            <w:vAlign w:val="center"/>
          </w:tcPr>
          <w:p w:rsidR="00C23BAC" w:rsidRPr="00816FC2" w:rsidRDefault="00C23BAC" w:rsidP="00744245">
            <w:pPr>
              <w:jc w:val="center"/>
              <w:rPr>
                <w:sz w:val="22"/>
                <w:szCs w:val="22"/>
                <w:lang w:eastAsia="da-DK"/>
              </w:rPr>
            </w:pPr>
          </w:p>
        </w:tc>
      </w:tr>
      <w:tr w:rsidR="00C23BAC" w:rsidRPr="00816FC2" w:rsidTr="00EB5A86">
        <w:trPr>
          <w:trHeight w:val="315"/>
        </w:trPr>
        <w:tc>
          <w:tcPr>
            <w:tcW w:w="4476" w:type="dxa"/>
            <w:shd w:val="clear" w:color="auto" w:fill="EBD9E2"/>
            <w:vAlign w:val="center"/>
            <w:hideMark/>
          </w:tcPr>
          <w:p w:rsidR="00C23BAC" w:rsidRPr="00816FC2" w:rsidRDefault="00C23BAC" w:rsidP="00A63554">
            <w:pPr>
              <w:rPr>
                <w:b/>
                <w:color w:val="3E2C42"/>
                <w:sz w:val="22"/>
                <w:szCs w:val="22"/>
                <w:lang w:eastAsia="da-DK"/>
              </w:rPr>
            </w:pPr>
            <w:r w:rsidRPr="00816FC2">
              <w:rPr>
                <w:b/>
                <w:color w:val="3E2C42"/>
                <w:sz w:val="22"/>
                <w:szCs w:val="22"/>
                <w:lang w:eastAsia="da-DK"/>
              </w:rPr>
              <w:t xml:space="preserve">Thematic programme 2: </w:t>
            </w:r>
            <w:r w:rsidR="00B00919">
              <w:rPr>
                <w:b/>
                <w:color w:val="3E2C42"/>
                <w:sz w:val="22"/>
                <w:szCs w:val="22"/>
                <w:lang w:eastAsia="da-DK"/>
              </w:rPr>
              <w:t>resilience and r</w:t>
            </w:r>
            <w:r w:rsidR="00A63554">
              <w:rPr>
                <w:b/>
                <w:color w:val="3E2C42"/>
                <w:sz w:val="22"/>
                <w:szCs w:val="22"/>
                <w:lang w:eastAsia="da-DK"/>
              </w:rPr>
              <w:t>apid response</w:t>
            </w:r>
            <w:r w:rsidRPr="00816FC2">
              <w:rPr>
                <w:b/>
                <w:color w:val="3E2C42"/>
                <w:sz w:val="22"/>
                <w:szCs w:val="22"/>
                <w:lang w:eastAsia="da-DK"/>
              </w:rPr>
              <w:t xml:space="preserve"> </w:t>
            </w:r>
          </w:p>
        </w:tc>
        <w:tc>
          <w:tcPr>
            <w:tcW w:w="1275"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r>
      <w:tr w:rsidR="00C23BAC" w:rsidRPr="00816FC2" w:rsidTr="00EB5A86">
        <w:trPr>
          <w:trHeight w:val="315"/>
        </w:trPr>
        <w:tc>
          <w:tcPr>
            <w:tcW w:w="4476" w:type="dxa"/>
            <w:shd w:val="clear" w:color="auto" w:fill="auto"/>
            <w:hideMark/>
          </w:tcPr>
          <w:p w:rsidR="00C23BAC" w:rsidRPr="00816FC2" w:rsidRDefault="00C23BAC" w:rsidP="00744245">
            <w:pPr>
              <w:rPr>
                <w:rFonts w:eastAsia="Times New Roman" w:cs="Times New Roman"/>
                <w:color w:val="auto"/>
                <w:sz w:val="22"/>
                <w:szCs w:val="22"/>
                <w:lang w:eastAsia="da-DK"/>
              </w:rPr>
            </w:pPr>
            <w:r w:rsidRPr="00816FC2">
              <w:rPr>
                <w:sz w:val="22"/>
                <w:szCs w:val="22"/>
              </w:rPr>
              <w:t>2.1 SRTF</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0</w:t>
            </w:r>
          </w:p>
        </w:tc>
        <w:tc>
          <w:tcPr>
            <w:tcW w:w="1276" w:type="dxa"/>
            <w:shd w:val="clear" w:color="auto" w:fill="auto"/>
            <w:vAlign w:val="center"/>
            <w:hideMark/>
          </w:tcPr>
          <w:p w:rsidR="00C23BAC" w:rsidRPr="00816FC2" w:rsidRDefault="0039396A" w:rsidP="00744245">
            <w:pPr>
              <w:jc w:val="center"/>
              <w:rPr>
                <w:sz w:val="22"/>
                <w:szCs w:val="22"/>
                <w:lang w:eastAsia="da-DK"/>
              </w:rPr>
            </w:pPr>
            <w:r w:rsidRPr="00816FC2">
              <w:rPr>
                <w:sz w:val="22"/>
                <w:szCs w:val="22"/>
                <w:lang w:eastAsia="da-DK"/>
              </w:rPr>
              <w:t>20</w:t>
            </w:r>
          </w:p>
        </w:tc>
        <w:tc>
          <w:tcPr>
            <w:tcW w:w="1276" w:type="dxa"/>
            <w:vAlign w:val="center"/>
          </w:tcPr>
          <w:p w:rsidR="00C23BAC" w:rsidRPr="00816FC2" w:rsidRDefault="006A0D86" w:rsidP="00744245">
            <w:pPr>
              <w:jc w:val="center"/>
              <w:rPr>
                <w:sz w:val="22"/>
                <w:szCs w:val="22"/>
                <w:lang w:eastAsia="da-DK"/>
              </w:rPr>
            </w:pPr>
            <w:r>
              <w:rPr>
                <w:sz w:val="22"/>
                <w:szCs w:val="22"/>
                <w:lang w:eastAsia="da-DK"/>
              </w:rPr>
              <w:t>0</w:t>
            </w:r>
          </w:p>
        </w:tc>
        <w:tc>
          <w:tcPr>
            <w:tcW w:w="1276" w:type="dxa"/>
            <w:vAlign w:val="center"/>
          </w:tcPr>
          <w:p w:rsidR="00C23BAC" w:rsidRPr="00816FC2" w:rsidRDefault="004151C8" w:rsidP="004151C8">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hideMark/>
          </w:tcPr>
          <w:p w:rsidR="00C23BAC" w:rsidRPr="00816FC2" w:rsidRDefault="00C23BAC" w:rsidP="00744245">
            <w:pPr>
              <w:rPr>
                <w:rFonts w:eastAsia="Times New Roman" w:cs="Times New Roman"/>
                <w:color w:val="auto"/>
                <w:sz w:val="22"/>
                <w:szCs w:val="22"/>
                <w:lang w:eastAsia="da-DK"/>
              </w:rPr>
            </w:pPr>
            <w:r w:rsidRPr="00816FC2">
              <w:rPr>
                <w:sz w:val="22"/>
                <w:szCs w:val="22"/>
              </w:rPr>
              <w:t>2.2 UNDP FFIS</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40</w:t>
            </w:r>
          </w:p>
        </w:tc>
        <w:tc>
          <w:tcPr>
            <w:tcW w:w="1276" w:type="dxa"/>
            <w:shd w:val="clear" w:color="auto" w:fill="auto"/>
            <w:vAlign w:val="center"/>
            <w:hideMark/>
          </w:tcPr>
          <w:p w:rsidR="00C23BAC" w:rsidRPr="00816FC2" w:rsidRDefault="0039396A" w:rsidP="00744245">
            <w:pPr>
              <w:jc w:val="center"/>
              <w:rPr>
                <w:sz w:val="22"/>
                <w:szCs w:val="22"/>
                <w:lang w:eastAsia="da-DK"/>
              </w:rPr>
            </w:pPr>
            <w:r>
              <w:rPr>
                <w:sz w:val="22"/>
                <w:szCs w:val="22"/>
                <w:lang w:eastAsia="da-DK"/>
              </w:rPr>
              <w:t>2</w:t>
            </w:r>
            <w:r w:rsidR="004151C8" w:rsidRPr="00816FC2">
              <w:rPr>
                <w:sz w:val="22"/>
                <w:szCs w:val="22"/>
                <w:lang w:eastAsia="da-DK"/>
              </w:rPr>
              <w:t>0</w:t>
            </w:r>
          </w:p>
        </w:tc>
        <w:tc>
          <w:tcPr>
            <w:tcW w:w="1276" w:type="dxa"/>
            <w:vAlign w:val="center"/>
          </w:tcPr>
          <w:p w:rsidR="00C23BAC" w:rsidRPr="00816FC2" w:rsidRDefault="006A0D86" w:rsidP="006A0D86">
            <w:pPr>
              <w:jc w:val="center"/>
              <w:rPr>
                <w:sz w:val="22"/>
                <w:szCs w:val="22"/>
                <w:lang w:eastAsia="da-DK"/>
              </w:rPr>
            </w:pPr>
            <w:r>
              <w:rPr>
                <w:sz w:val="22"/>
                <w:szCs w:val="22"/>
                <w:lang w:eastAsia="da-DK"/>
              </w:rPr>
              <w:t>34</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tcPr>
          <w:p w:rsidR="00C23BAC" w:rsidRPr="00816FC2" w:rsidRDefault="00C23BAC" w:rsidP="00744245">
            <w:pPr>
              <w:rPr>
                <w:sz w:val="22"/>
                <w:szCs w:val="22"/>
              </w:rPr>
            </w:pPr>
            <w:r w:rsidRPr="00816FC2">
              <w:rPr>
                <w:sz w:val="22"/>
                <w:szCs w:val="22"/>
              </w:rPr>
              <w:t>2.3 UNMAS</w:t>
            </w:r>
          </w:p>
        </w:tc>
        <w:tc>
          <w:tcPr>
            <w:tcW w:w="1275" w:type="dxa"/>
            <w:shd w:val="clear" w:color="auto" w:fill="auto"/>
            <w:vAlign w:val="center"/>
          </w:tcPr>
          <w:p w:rsidR="00C23BAC" w:rsidRPr="00816FC2" w:rsidRDefault="00427656">
            <w:pPr>
              <w:jc w:val="center"/>
              <w:rPr>
                <w:sz w:val="22"/>
                <w:szCs w:val="22"/>
                <w:lang w:eastAsia="da-DK"/>
              </w:rPr>
            </w:pPr>
            <w:r w:rsidRPr="00816FC2">
              <w:rPr>
                <w:sz w:val="22"/>
                <w:szCs w:val="22"/>
                <w:lang w:eastAsia="da-DK"/>
              </w:rPr>
              <w:t>2</w:t>
            </w:r>
            <w:r>
              <w:rPr>
                <w:sz w:val="22"/>
                <w:szCs w:val="22"/>
                <w:lang w:eastAsia="da-DK"/>
              </w:rPr>
              <w:t>2</w:t>
            </w:r>
          </w:p>
        </w:tc>
        <w:tc>
          <w:tcPr>
            <w:tcW w:w="1276" w:type="dxa"/>
            <w:shd w:val="clear" w:color="auto" w:fill="auto"/>
            <w:vAlign w:val="center"/>
          </w:tcPr>
          <w:p w:rsidR="00C23BAC" w:rsidRPr="00816FC2" w:rsidRDefault="00427656">
            <w:pPr>
              <w:jc w:val="center"/>
              <w:rPr>
                <w:sz w:val="22"/>
                <w:szCs w:val="22"/>
                <w:lang w:eastAsia="da-DK"/>
              </w:rPr>
            </w:pPr>
            <w:r>
              <w:rPr>
                <w:sz w:val="22"/>
                <w:szCs w:val="22"/>
                <w:lang w:eastAsia="da-DK"/>
              </w:rPr>
              <w:t>19</w:t>
            </w:r>
          </w:p>
        </w:tc>
        <w:tc>
          <w:tcPr>
            <w:tcW w:w="1276" w:type="dxa"/>
            <w:vAlign w:val="center"/>
          </w:tcPr>
          <w:p w:rsidR="00C23BAC" w:rsidRPr="00816FC2" w:rsidRDefault="006A0D86" w:rsidP="006A0D86">
            <w:pPr>
              <w:jc w:val="center"/>
              <w:rPr>
                <w:sz w:val="22"/>
                <w:szCs w:val="22"/>
                <w:lang w:eastAsia="da-DK"/>
              </w:rPr>
            </w:pPr>
            <w:r>
              <w:rPr>
                <w:sz w:val="22"/>
                <w:szCs w:val="22"/>
                <w:lang w:eastAsia="da-DK"/>
              </w:rPr>
              <w:t>25</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tcPr>
          <w:p w:rsidR="00C23BAC" w:rsidRPr="00816FC2" w:rsidRDefault="00C23BAC" w:rsidP="00744245">
            <w:pPr>
              <w:rPr>
                <w:sz w:val="22"/>
                <w:szCs w:val="22"/>
              </w:rPr>
            </w:pPr>
            <w:r w:rsidRPr="00816FC2">
              <w:rPr>
                <w:sz w:val="22"/>
                <w:szCs w:val="22"/>
              </w:rPr>
              <w:t>2.4 Sterling</w:t>
            </w:r>
          </w:p>
        </w:tc>
        <w:tc>
          <w:tcPr>
            <w:tcW w:w="1275" w:type="dxa"/>
            <w:shd w:val="clear" w:color="auto" w:fill="auto"/>
            <w:vAlign w:val="center"/>
          </w:tcPr>
          <w:p w:rsidR="00C23BAC" w:rsidRPr="00816FC2" w:rsidRDefault="00C23BAC" w:rsidP="00744245">
            <w:pPr>
              <w:jc w:val="center"/>
              <w:rPr>
                <w:sz w:val="22"/>
                <w:szCs w:val="22"/>
                <w:lang w:eastAsia="da-DK"/>
              </w:rPr>
            </w:pPr>
            <w:r w:rsidRPr="00816FC2">
              <w:rPr>
                <w:sz w:val="22"/>
                <w:szCs w:val="22"/>
                <w:lang w:eastAsia="da-DK"/>
              </w:rPr>
              <w:t>6</w:t>
            </w:r>
            <w:r w:rsidR="00427656">
              <w:rPr>
                <w:sz w:val="22"/>
                <w:szCs w:val="22"/>
                <w:lang w:eastAsia="da-DK"/>
              </w:rPr>
              <w:t>.</w:t>
            </w:r>
            <w:r w:rsidRPr="00816FC2">
              <w:rPr>
                <w:sz w:val="22"/>
                <w:szCs w:val="22"/>
                <w:lang w:eastAsia="da-DK"/>
              </w:rPr>
              <w:t>5</w:t>
            </w:r>
          </w:p>
        </w:tc>
        <w:tc>
          <w:tcPr>
            <w:tcW w:w="1276" w:type="dxa"/>
            <w:shd w:val="clear" w:color="auto" w:fill="auto"/>
            <w:vAlign w:val="center"/>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EBD9E2"/>
            <w:vAlign w:val="center"/>
            <w:hideMark/>
          </w:tcPr>
          <w:p w:rsidR="00C23BAC" w:rsidRPr="00816FC2" w:rsidRDefault="00C23BAC" w:rsidP="00744245">
            <w:pPr>
              <w:rPr>
                <w:sz w:val="22"/>
                <w:szCs w:val="22"/>
                <w:lang w:eastAsia="da-DK"/>
              </w:rPr>
            </w:pPr>
            <w:r w:rsidRPr="00816FC2">
              <w:rPr>
                <w:sz w:val="22"/>
                <w:szCs w:val="22"/>
                <w:lang w:eastAsia="da-DK"/>
              </w:rPr>
              <w:t>Subtotal</w:t>
            </w:r>
          </w:p>
        </w:tc>
        <w:tc>
          <w:tcPr>
            <w:tcW w:w="1275" w:type="dxa"/>
            <w:shd w:val="clear" w:color="auto" w:fill="EBD9E2"/>
            <w:vAlign w:val="center"/>
            <w:hideMark/>
          </w:tcPr>
          <w:p w:rsidR="00C23BAC" w:rsidRPr="00816FC2" w:rsidRDefault="00427656" w:rsidP="00744245">
            <w:pPr>
              <w:jc w:val="center"/>
              <w:rPr>
                <w:sz w:val="22"/>
                <w:szCs w:val="22"/>
                <w:lang w:eastAsia="da-DK"/>
              </w:rPr>
            </w:pPr>
            <w:r>
              <w:rPr>
                <w:sz w:val="22"/>
                <w:szCs w:val="22"/>
                <w:lang w:eastAsia="da-DK"/>
              </w:rPr>
              <w:t>68.</w:t>
            </w:r>
            <w:r w:rsidR="00D11664" w:rsidRPr="00816FC2">
              <w:rPr>
                <w:sz w:val="22"/>
                <w:szCs w:val="22"/>
                <w:lang w:eastAsia="da-DK"/>
              </w:rPr>
              <w:t>5</w:t>
            </w:r>
          </w:p>
        </w:tc>
        <w:tc>
          <w:tcPr>
            <w:tcW w:w="1276" w:type="dxa"/>
            <w:shd w:val="clear" w:color="auto" w:fill="EBD9E2"/>
            <w:vAlign w:val="center"/>
            <w:hideMark/>
          </w:tcPr>
          <w:p w:rsidR="00C23BAC" w:rsidRPr="00816FC2" w:rsidRDefault="00427656">
            <w:pPr>
              <w:jc w:val="center"/>
              <w:rPr>
                <w:sz w:val="22"/>
                <w:szCs w:val="22"/>
                <w:lang w:eastAsia="da-DK"/>
              </w:rPr>
            </w:pPr>
            <w:r>
              <w:rPr>
                <w:sz w:val="22"/>
                <w:szCs w:val="22"/>
                <w:lang w:eastAsia="da-DK"/>
              </w:rPr>
              <w:t>59</w:t>
            </w:r>
          </w:p>
        </w:tc>
        <w:tc>
          <w:tcPr>
            <w:tcW w:w="1276" w:type="dxa"/>
            <w:shd w:val="clear" w:color="auto" w:fill="EBD9E2"/>
            <w:vAlign w:val="center"/>
          </w:tcPr>
          <w:p w:rsidR="00C23BAC" w:rsidRPr="00816FC2" w:rsidRDefault="006A0D86" w:rsidP="00744245">
            <w:pPr>
              <w:jc w:val="center"/>
              <w:rPr>
                <w:sz w:val="22"/>
                <w:szCs w:val="22"/>
                <w:lang w:eastAsia="da-DK"/>
              </w:rPr>
            </w:pPr>
            <w:r>
              <w:rPr>
                <w:sz w:val="22"/>
                <w:szCs w:val="22"/>
                <w:lang w:eastAsia="da-DK"/>
              </w:rPr>
              <w:t>59</w:t>
            </w:r>
          </w:p>
        </w:tc>
        <w:tc>
          <w:tcPr>
            <w:tcW w:w="1276" w:type="dxa"/>
            <w:shd w:val="clear" w:color="auto" w:fill="EBD9E2"/>
            <w:vAlign w:val="center"/>
          </w:tcPr>
          <w:p w:rsidR="00C23BAC" w:rsidRPr="00816FC2" w:rsidRDefault="00C23BAC" w:rsidP="00744245">
            <w:pPr>
              <w:jc w:val="center"/>
              <w:rPr>
                <w:sz w:val="22"/>
                <w:szCs w:val="22"/>
                <w:lang w:eastAsia="da-DK"/>
              </w:rPr>
            </w:pPr>
          </w:p>
        </w:tc>
      </w:tr>
      <w:tr w:rsidR="00C23BAC" w:rsidRPr="00816FC2" w:rsidTr="00EB5A86">
        <w:trPr>
          <w:trHeight w:val="315"/>
        </w:trPr>
        <w:tc>
          <w:tcPr>
            <w:tcW w:w="4476" w:type="dxa"/>
            <w:shd w:val="clear" w:color="auto" w:fill="EBD9E2"/>
            <w:vAlign w:val="center"/>
            <w:hideMark/>
          </w:tcPr>
          <w:p w:rsidR="00C23BAC" w:rsidRPr="00816FC2" w:rsidRDefault="00C23BAC" w:rsidP="00B00919">
            <w:pPr>
              <w:rPr>
                <w:b/>
                <w:color w:val="3E2C42"/>
                <w:sz w:val="22"/>
                <w:szCs w:val="22"/>
                <w:lang w:eastAsia="da-DK"/>
              </w:rPr>
            </w:pPr>
            <w:r w:rsidRPr="00816FC2">
              <w:rPr>
                <w:b/>
                <w:color w:val="3E2C42"/>
                <w:sz w:val="22"/>
                <w:szCs w:val="22"/>
                <w:lang w:eastAsia="da-DK"/>
              </w:rPr>
              <w:t xml:space="preserve">Thematic programme 3: Community </w:t>
            </w:r>
            <w:r w:rsidR="00B00919">
              <w:rPr>
                <w:b/>
                <w:color w:val="3E2C42"/>
                <w:sz w:val="22"/>
                <w:szCs w:val="22"/>
                <w:lang w:eastAsia="da-DK"/>
              </w:rPr>
              <w:t>security</w:t>
            </w:r>
            <w:r w:rsidR="00B00919" w:rsidRPr="00816FC2">
              <w:rPr>
                <w:b/>
                <w:color w:val="3E2C42"/>
                <w:sz w:val="22"/>
                <w:szCs w:val="22"/>
                <w:lang w:eastAsia="da-DK"/>
              </w:rPr>
              <w:t xml:space="preserve"> </w:t>
            </w:r>
            <w:r w:rsidRPr="00816FC2">
              <w:rPr>
                <w:b/>
                <w:color w:val="3E2C42"/>
                <w:sz w:val="22"/>
                <w:szCs w:val="22"/>
                <w:lang w:eastAsia="da-DK"/>
              </w:rPr>
              <w:t>and governance</w:t>
            </w:r>
          </w:p>
        </w:tc>
        <w:tc>
          <w:tcPr>
            <w:tcW w:w="1275"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r>
      <w:tr w:rsidR="00C23BAC" w:rsidRPr="00816FC2" w:rsidTr="00EB5A86">
        <w:trPr>
          <w:trHeight w:val="315"/>
        </w:trPr>
        <w:tc>
          <w:tcPr>
            <w:tcW w:w="4476" w:type="dxa"/>
            <w:shd w:val="clear" w:color="auto" w:fill="auto"/>
            <w:hideMark/>
          </w:tcPr>
          <w:p w:rsidR="00C23BAC" w:rsidRPr="00816FC2" w:rsidRDefault="00C23BAC" w:rsidP="00744245">
            <w:pPr>
              <w:rPr>
                <w:rFonts w:eastAsia="Times New Roman" w:cs="Times New Roman"/>
                <w:color w:val="auto"/>
                <w:sz w:val="22"/>
                <w:szCs w:val="22"/>
                <w:lang w:eastAsia="da-DK"/>
              </w:rPr>
            </w:pPr>
            <w:r w:rsidRPr="00816FC2">
              <w:rPr>
                <w:sz w:val="22"/>
                <w:szCs w:val="22"/>
              </w:rPr>
              <w:t>3.1 AJACS</w:t>
            </w:r>
          </w:p>
        </w:tc>
        <w:tc>
          <w:tcPr>
            <w:tcW w:w="1275" w:type="dxa"/>
            <w:shd w:val="clear" w:color="auto" w:fill="auto"/>
            <w:vAlign w:val="center"/>
            <w:hideMark/>
          </w:tcPr>
          <w:p w:rsidR="00C23BAC" w:rsidRPr="00816FC2" w:rsidRDefault="00C23BAC" w:rsidP="0039396A">
            <w:pPr>
              <w:jc w:val="center"/>
              <w:rPr>
                <w:sz w:val="22"/>
                <w:szCs w:val="22"/>
                <w:lang w:eastAsia="da-DK"/>
              </w:rPr>
            </w:pPr>
            <w:r w:rsidRPr="00816FC2">
              <w:rPr>
                <w:sz w:val="22"/>
                <w:szCs w:val="22"/>
                <w:lang w:eastAsia="da-DK"/>
              </w:rPr>
              <w:t>1</w:t>
            </w:r>
            <w:r w:rsidR="0039396A">
              <w:rPr>
                <w:sz w:val="22"/>
                <w:szCs w:val="22"/>
                <w:lang w:eastAsia="da-DK"/>
              </w:rPr>
              <w:t>9</w:t>
            </w:r>
          </w:p>
        </w:tc>
        <w:tc>
          <w:tcPr>
            <w:tcW w:w="1276" w:type="dxa"/>
            <w:shd w:val="clear" w:color="auto" w:fill="auto"/>
            <w:vAlign w:val="center"/>
            <w:hideMark/>
          </w:tcPr>
          <w:p w:rsidR="00C23BAC" w:rsidRPr="00816FC2" w:rsidRDefault="0039396A" w:rsidP="00744245">
            <w:pPr>
              <w:jc w:val="center"/>
              <w:rPr>
                <w:sz w:val="22"/>
                <w:szCs w:val="22"/>
                <w:lang w:eastAsia="da-DK"/>
              </w:rPr>
            </w:pPr>
            <w:r>
              <w:rPr>
                <w:sz w:val="22"/>
                <w:szCs w:val="22"/>
                <w:lang w:eastAsia="da-DK"/>
              </w:rPr>
              <w:t>15</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15</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hideMark/>
          </w:tcPr>
          <w:p w:rsidR="00C23BAC" w:rsidRPr="00816FC2" w:rsidRDefault="00C23BAC" w:rsidP="00744245">
            <w:pPr>
              <w:rPr>
                <w:rFonts w:eastAsia="Times New Roman" w:cs="Times New Roman"/>
                <w:color w:val="auto"/>
                <w:sz w:val="22"/>
                <w:szCs w:val="22"/>
                <w:lang w:eastAsia="da-DK"/>
              </w:rPr>
            </w:pPr>
            <w:r w:rsidRPr="00816FC2">
              <w:rPr>
                <w:sz w:val="22"/>
                <w:szCs w:val="22"/>
              </w:rPr>
              <w:t>3.2 Mayday/Syria Civil Defence</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20</w:t>
            </w:r>
          </w:p>
        </w:tc>
        <w:tc>
          <w:tcPr>
            <w:tcW w:w="1276" w:type="dxa"/>
            <w:shd w:val="clear" w:color="auto" w:fill="auto"/>
            <w:vAlign w:val="center"/>
            <w:hideMark/>
          </w:tcPr>
          <w:p w:rsidR="00C23BAC" w:rsidRPr="00816FC2" w:rsidRDefault="004151C8" w:rsidP="00744245">
            <w:pPr>
              <w:jc w:val="center"/>
              <w:rPr>
                <w:sz w:val="22"/>
                <w:szCs w:val="22"/>
                <w:lang w:eastAsia="da-DK"/>
              </w:rPr>
            </w:pPr>
            <w:r w:rsidRPr="00816FC2">
              <w:rPr>
                <w:sz w:val="22"/>
                <w:szCs w:val="22"/>
                <w:lang w:eastAsia="da-DK"/>
              </w:rPr>
              <w:t>20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20</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EBD9E2"/>
            <w:vAlign w:val="center"/>
            <w:hideMark/>
          </w:tcPr>
          <w:p w:rsidR="00C23BAC" w:rsidRPr="00816FC2" w:rsidRDefault="00C23BAC" w:rsidP="00744245">
            <w:pPr>
              <w:rPr>
                <w:sz w:val="22"/>
                <w:szCs w:val="22"/>
                <w:lang w:eastAsia="da-DK"/>
              </w:rPr>
            </w:pPr>
            <w:r w:rsidRPr="00816FC2">
              <w:rPr>
                <w:sz w:val="22"/>
                <w:szCs w:val="22"/>
                <w:lang w:eastAsia="da-DK"/>
              </w:rPr>
              <w:t>Subtotal</w:t>
            </w:r>
          </w:p>
        </w:tc>
        <w:tc>
          <w:tcPr>
            <w:tcW w:w="1275" w:type="dxa"/>
            <w:shd w:val="clear" w:color="auto" w:fill="EBD9E2"/>
            <w:vAlign w:val="center"/>
            <w:hideMark/>
          </w:tcPr>
          <w:p w:rsidR="00C23BAC" w:rsidRPr="00816FC2" w:rsidRDefault="00D11664" w:rsidP="0039396A">
            <w:pPr>
              <w:jc w:val="center"/>
              <w:rPr>
                <w:sz w:val="22"/>
                <w:szCs w:val="22"/>
                <w:lang w:eastAsia="da-DK"/>
              </w:rPr>
            </w:pPr>
            <w:r w:rsidRPr="00816FC2">
              <w:rPr>
                <w:sz w:val="22"/>
                <w:szCs w:val="22"/>
                <w:lang w:eastAsia="da-DK"/>
              </w:rPr>
              <w:t>3</w:t>
            </w:r>
            <w:r w:rsidR="0039396A">
              <w:rPr>
                <w:sz w:val="22"/>
                <w:szCs w:val="22"/>
                <w:lang w:eastAsia="da-DK"/>
              </w:rPr>
              <w:t>9</w:t>
            </w:r>
          </w:p>
        </w:tc>
        <w:tc>
          <w:tcPr>
            <w:tcW w:w="1276" w:type="dxa"/>
            <w:shd w:val="clear" w:color="auto" w:fill="EBD9E2"/>
            <w:vAlign w:val="center"/>
            <w:hideMark/>
          </w:tcPr>
          <w:p w:rsidR="00C23BAC" w:rsidRPr="00816FC2" w:rsidRDefault="0039396A" w:rsidP="00744245">
            <w:pPr>
              <w:jc w:val="center"/>
              <w:rPr>
                <w:sz w:val="22"/>
                <w:szCs w:val="22"/>
                <w:lang w:eastAsia="da-DK"/>
              </w:rPr>
            </w:pPr>
            <w:r>
              <w:rPr>
                <w:sz w:val="22"/>
                <w:szCs w:val="22"/>
                <w:lang w:eastAsia="da-DK"/>
              </w:rPr>
              <w:t>35</w:t>
            </w:r>
          </w:p>
        </w:tc>
        <w:tc>
          <w:tcPr>
            <w:tcW w:w="1276" w:type="dxa"/>
            <w:shd w:val="clear" w:color="auto" w:fill="EBD9E2"/>
            <w:vAlign w:val="center"/>
          </w:tcPr>
          <w:p w:rsidR="00C23BAC" w:rsidRPr="00816FC2" w:rsidRDefault="00D11664" w:rsidP="00744245">
            <w:pPr>
              <w:jc w:val="center"/>
              <w:rPr>
                <w:sz w:val="22"/>
                <w:szCs w:val="22"/>
                <w:lang w:eastAsia="da-DK"/>
              </w:rPr>
            </w:pPr>
            <w:r w:rsidRPr="00816FC2">
              <w:rPr>
                <w:sz w:val="22"/>
                <w:szCs w:val="22"/>
                <w:lang w:eastAsia="da-DK"/>
              </w:rPr>
              <w:t>35</w:t>
            </w:r>
          </w:p>
        </w:tc>
        <w:tc>
          <w:tcPr>
            <w:tcW w:w="1276" w:type="dxa"/>
            <w:shd w:val="clear" w:color="auto" w:fill="EBD9E2"/>
            <w:vAlign w:val="center"/>
          </w:tcPr>
          <w:p w:rsidR="00C23BAC" w:rsidRPr="00816FC2" w:rsidRDefault="00C23BAC" w:rsidP="00744245">
            <w:pPr>
              <w:jc w:val="center"/>
              <w:rPr>
                <w:sz w:val="22"/>
                <w:szCs w:val="22"/>
                <w:lang w:eastAsia="da-DK"/>
              </w:rPr>
            </w:pPr>
          </w:p>
        </w:tc>
      </w:tr>
      <w:tr w:rsidR="00C23BAC" w:rsidRPr="00816FC2" w:rsidTr="00EB5A86">
        <w:trPr>
          <w:trHeight w:val="315"/>
        </w:trPr>
        <w:tc>
          <w:tcPr>
            <w:tcW w:w="4476" w:type="dxa"/>
            <w:shd w:val="clear" w:color="auto" w:fill="EBD9E2"/>
            <w:vAlign w:val="center"/>
            <w:hideMark/>
          </w:tcPr>
          <w:p w:rsidR="00C23BAC" w:rsidRPr="00816FC2" w:rsidRDefault="00C23BAC" w:rsidP="00744245">
            <w:pPr>
              <w:rPr>
                <w:color w:val="3E2C42"/>
                <w:sz w:val="22"/>
                <w:szCs w:val="22"/>
                <w:lang w:eastAsia="da-DK"/>
              </w:rPr>
            </w:pPr>
            <w:r w:rsidRPr="00816FC2">
              <w:rPr>
                <w:color w:val="3E2C42"/>
                <w:sz w:val="22"/>
                <w:szCs w:val="22"/>
                <w:lang w:eastAsia="da-DK"/>
              </w:rPr>
              <w:t>Other activities</w:t>
            </w:r>
          </w:p>
        </w:tc>
        <w:tc>
          <w:tcPr>
            <w:tcW w:w="1275"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c>
          <w:tcPr>
            <w:tcW w:w="1276" w:type="dxa"/>
            <w:shd w:val="clear" w:color="auto" w:fill="EBD9E2"/>
            <w:vAlign w:val="center"/>
          </w:tcPr>
          <w:p w:rsidR="00C23BAC" w:rsidRPr="00816FC2" w:rsidRDefault="00C23BAC" w:rsidP="00744245">
            <w:pPr>
              <w:jc w:val="center"/>
              <w:rPr>
                <w:color w:val="3E2C42"/>
                <w:sz w:val="22"/>
                <w:szCs w:val="22"/>
                <w:lang w:eastAsia="da-DK"/>
              </w:rPr>
            </w:pPr>
          </w:p>
        </w:tc>
      </w:tr>
      <w:tr w:rsidR="00C23BAC" w:rsidRPr="00816FC2" w:rsidTr="00EB5A86">
        <w:trPr>
          <w:trHeight w:val="315"/>
        </w:trPr>
        <w:tc>
          <w:tcPr>
            <w:tcW w:w="4476" w:type="dxa"/>
            <w:shd w:val="clear" w:color="auto" w:fill="auto"/>
            <w:vAlign w:val="center"/>
            <w:hideMark/>
          </w:tcPr>
          <w:p w:rsidR="00C23BAC" w:rsidRPr="00816FC2" w:rsidRDefault="00C23BAC" w:rsidP="00744245">
            <w:pPr>
              <w:rPr>
                <w:sz w:val="22"/>
                <w:szCs w:val="22"/>
                <w:lang w:eastAsia="da-DK"/>
              </w:rPr>
            </w:pPr>
            <w:r w:rsidRPr="00816FC2">
              <w:rPr>
                <w:sz w:val="22"/>
                <w:szCs w:val="22"/>
                <w:lang w:eastAsia="da-DK"/>
              </w:rPr>
              <w:t>4.1 Stabilisation advisors</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0</w:t>
            </w:r>
          </w:p>
        </w:tc>
        <w:tc>
          <w:tcPr>
            <w:tcW w:w="1276"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5</w:t>
            </w:r>
          </w:p>
        </w:tc>
        <w:tc>
          <w:tcPr>
            <w:tcW w:w="1276" w:type="dxa"/>
            <w:vAlign w:val="center"/>
          </w:tcPr>
          <w:p w:rsidR="00C23BAC" w:rsidRPr="00816FC2" w:rsidRDefault="00C23BAC" w:rsidP="00744245">
            <w:pPr>
              <w:jc w:val="center"/>
              <w:rPr>
                <w:sz w:val="22"/>
                <w:szCs w:val="22"/>
                <w:lang w:eastAsia="da-DK"/>
              </w:rPr>
            </w:pPr>
            <w:r w:rsidRPr="00816FC2">
              <w:rPr>
                <w:sz w:val="22"/>
                <w:szCs w:val="22"/>
                <w:lang w:eastAsia="da-DK"/>
              </w:rPr>
              <w:t>5</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auto"/>
            <w:vAlign w:val="center"/>
            <w:hideMark/>
          </w:tcPr>
          <w:p w:rsidR="00C23BAC" w:rsidRPr="00816FC2" w:rsidRDefault="00C23BAC" w:rsidP="00744245">
            <w:pPr>
              <w:rPr>
                <w:sz w:val="22"/>
                <w:szCs w:val="22"/>
                <w:lang w:eastAsia="da-DK"/>
              </w:rPr>
            </w:pPr>
            <w:r w:rsidRPr="00816FC2">
              <w:rPr>
                <w:sz w:val="22"/>
                <w:szCs w:val="22"/>
                <w:lang w:eastAsia="da-DK"/>
              </w:rPr>
              <w:t xml:space="preserve">4.2 Technical assistance, M&amp;E, review </w:t>
            </w:r>
          </w:p>
        </w:tc>
        <w:tc>
          <w:tcPr>
            <w:tcW w:w="1275" w:type="dxa"/>
            <w:shd w:val="clear" w:color="auto" w:fill="auto"/>
            <w:vAlign w:val="center"/>
            <w:hideMark/>
          </w:tcPr>
          <w:p w:rsidR="00C23BAC" w:rsidRPr="00816FC2" w:rsidRDefault="00C23BAC" w:rsidP="00744245">
            <w:pPr>
              <w:jc w:val="center"/>
              <w:rPr>
                <w:sz w:val="22"/>
                <w:szCs w:val="22"/>
                <w:lang w:eastAsia="da-DK"/>
              </w:rPr>
            </w:pPr>
            <w:r w:rsidRPr="00816FC2">
              <w:rPr>
                <w:sz w:val="22"/>
                <w:szCs w:val="22"/>
                <w:lang w:eastAsia="da-DK"/>
              </w:rPr>
              <w:t>1</w:t>
            </w:r>
          </w:p>
        </w:tc>
        <w:tc>
          <w:tcPr>
            <w:tcW w:w="1276" w:type="dxa"/>
            <w:shd w:val="clear" w:color="auto" w:fill="auto"/>
            <w:vAlign w:val="center"/>
            <w:hideMark/>
          </w:tcPr>
          <w:p w:rsidR="00C23BAC" w:rsidRPr="00816FC2" w:rsidRDefault="004151C8" w:rsidP="00744245">
            <w:pPr>
              <w:jc w:val="center"/>
              <w:rPr>
                <w:sz w:val="22"/>
                <w:szCs w:val="22"/>
                <w:lang w:eastAsia="da-DK"/>
              </w:rPr>
            </w:pPr>
            <w:r w:rsidRPr="00816FC2">
              <w:rPr>
                <w:sz w:val="22"/>
                <w:szCs w:val="22"/>
                <w:lang w:eastAsia="da-DK"/>
              </w:rPr>
              <w:t>1</w:t>
            </w:r>
          </w:p>
        </w:tc>
        <w:tc>
          <w:tcPr>
            <w:tcW w:w="1276" w:type="dxa"/>
            <w:vAlign w:val="center"/>
          </w:tcPr>
          <w:p w:rsidR="00C23BAC" w:rsidRPr="00816FC2" w:rsidRDefault="006A0D86" w:rsidP="00744245">
            <w:pPr>
              <w:jc w:val="center"/>
              <w:rPr>
                <w:sz w:val="22"/>
                <w:szCs w:val="22"/>
                <w:lang w:eastAsia="da-DK"/>
              </w:rPr>
            </w:pPr>
            <w:r>
              <w:rPr>
                <w:sz w:val="22"/>
                <w:szCs w:val="22"/>
                <w:lang w:eastAsia="da-DK"/>
              </w:rPr>
              <w:t>1</w:t>
            </w:r>
          </w:p>
        </w:tc>
        <w:tc>
          <w:tcPr>
            <w:tcW w:w="1276" w:type="dxa"/>
            <w:vAlign w:val="center"/>
          </w:tcPr>
          <w:p w:rsidR="00C23BAC" w:rsidRPr="00816FC2" w:rsidRDefault="004151C8" w:rsidP="00744245">
            <w:pPr>
              <w:jc w:val="center"/>
              <w:rPr>
                <w:sz w:val="22"/>
                <w:szCs w:val="22"/>
                <w:lang w:eastAsia="da-DK"/>
              </w:rPr>
            </w:pPr>
            <w:r w:rsidRPr="00816FC2">
              <w:rPr>
                <w:sz w:val="22"/>
                <w:szCs w:val="22"/>
                <w:lang w:eastAsia="da-DK"/>
              </w:rPr>
              <w:t>PSF</w:t>
            </w:r>
          </w:p>
        </w:tc>
      </w:tr>
      <w:tr w:rsidR="00C23BAC" w:rsidRPr="00816FC2" w:rsidTr="00EB5A86">
        <w:trPr>
          <w:trHeight w:val="315"/>
        </w:trPr>
        <w:tc>
          <w:tcPr>
            <w:tcW w:w="4476" w:type="dxa"/>
            <w:shd w:val="clear" w:color="auto" w:fill="EBD9E2"/>
            <w:vAlign w:val="center"/>
            <w:hideMark/>
          </w:tcPr>
          <w:p w:rsidR="00C23BAC" w:rsidRPr="00816FC2" w:rsidRDefault="00C23BAC" w:rsidP="00744245">
            <w:pPr>
              <w:rPr>
                <w:sz w:val="22"/>
                <w:szCs w:val="22"/>
                <w:lang w:eastAsia="da-DK"/>
              </w:rPr>
            </w:pPr>
            <w:r w:rsidRPr="00816FC2">
              <w:rPr>
                <w:sz w:val="22"/>
                <w:szCs w:val="22"/>
                <w:lang w:eastAsia="da-DK"/>
              </w:rPr>
              <w:t>Subtotal</w:t>
            </w:r>
          </w:p>
        </w:tc>
        <w:tc>
          <w:tcPr>
            <w:tcW w:w="1275" w:type="dxa"/>
            <w:shd w:val="clear" w:color="auto" w:fill="EBD9E2"/>
            <w:vAlign w:val="center"/>
            <w:hideMark/>
          </w:tcPr>
          <w:p w:rsidR="00C23BAC" w:rsidRPr="00816FC2" w:rsidRDefault="00D11664" w:rsidP="00744245">
            <w:pPr>
              <w:jc w:val="center"/>
              <w:rPr>
                <w:sz w:val="22"/>
                <w:szCs w:val="22"/>
                <w:lang w:eastAsia="da-DK"/>
              </w:rPr>
            </w:pPr>
            <w:r w:rsidRPr="00816FC2">
              <w:rPr>
                <w:sz w:val="22"/>
                <w:szCs w:val="22"/>
                <w:lang w:eastAsia="da-DK"/>
              </w:rPr>
              <w:t>1</w:t>
            </w:r>
          </w:p>
        </w:tc>
        <w:tc>
          <w:tcPr>
            <w:tcW w:w="1276" w:type="dxa"/>
            <w:shd w:val="clear" w:color="auto" w:fill="EBD9E2"/>
            <w:vAlign w:val="center"/>
            <w:hideMark/>
          </w:tcPr>
          <w:p w:rsidR="00C23BAC" w:rsidRPr="00816FC2" w:rsidRDefault="00D11664" w:rsidP="00744245">
            <w:pPr>
              <w:jc w:val="center"/>
              <w:rPr>
                <w:sz w:val="22"/>
                <w:szCs w:val="22"/>
                <w:lang w:eastAsia="da-DK"/>
              </w:rPr>
            </w:pPr>
            <w:r w:rsidRPr="00816FC2">
              <w:rPr>
                <w:sz w:val="22"/>
                <w:szCs w:val="22"/>
                <w:lang w:eastAsia="da-DK"/>
              </w:rPr>
              <w:t>6</w:t>
            </w:r>
          </w:p>
        </w:tc>
        <w:tc>
          <w:tcPr>
            <w:tcW w:w="1276" w:type="dxa"/>
            <w:shd w:val="clear" w:color="auto" w:fill="EBD9E2"/>
            <w:vAlign w:val="center"/>
          </w:tcPr>
          <w:p w:rsidR="00C23BAC" w:rsidRPr="00816FC2" w:rsidRDefault="006A0D86" w:rsidP="00744245">
            <w:pPr>
              <w:jc w:val="center"/>
              <w:rPr>
                <w:sz w:val="22"/>
                <w:szCs w:val="22"/>
                <w:lang w:eastAsia="da-DK"/>
              </w:rPr>
            </w:pPr>
            <w:r>
              <w:rPr>
                <w:sz w:val="22"/>
                <w:szCs w:val="22"/>
                <w:lang w:eastAsia="da-DK"/>
              </w:rPr>
              <w:t>6</w:t>
            </w:r>
          </w:p>
        </w:tc>
        <w:tc>
          <w:tcPr>
            <w:tcW w:w="1276" w:type="dxa"/>
            <w:shd w:val="clear" w:color="auto" w:fill="EBD9E2"/>
            <w:vAlign w:val="center"/>
          </w:tcPr>
          <w:p w:rsidR="00C23BAC" w:rsidRPr="00816FC2" w:rsidRDefault="00C23BAC" w:rsidP="00744245">
            <w:pPr>
              <w:jc w:val="center"/>
              <w:rPr>
                <w:sz w:val="22"/>
                <w:szCs w:val="22"/>
                <w:lang w:eastAsia="da-DK"/>
              </w:rPr>
            </w:pPr>
          </w:p>
        </w:tc>
      </w:tr>
      <w:tr w:rsidR="001A04B5" w:rsidRPr="00816FC2" w:rsidTr="00EB5A86">
        <w:trPr>
          <w:trHeight w:val="315"/>
        </w:trPr>
        <w:tc>
          <w:tcPr>
            <w:tcW w:w="4476" w:type="dxa"/>
            <w:shd w:val="clear" w:color="auto" w:fill="3E2C42"/>
            <w:vAlign w:val="center"/>
            <w:hideMark/>
          </w:tcPr>
          <w:p w:rsidR="001A04B5" w:rsidRPr="00816FC2" w:rsidRDefault="001A04B5" w:rsidP="00744245">
            <w:pPr>
              <w:rPr>
                <w:color w:val="FFFFFF" w:themeColor="background1"/>
                <w:sz w:val="22"/>
                <w:szCs w:val="22"/>
                <w:lang w:eastAsia="da-DK"/>
              </w:rPr>
            </w:pPr>
            <w:r w:rsidRPr="00816FC2">
              <w:rPr>
                <w:color w:val="FFFFFF" w:themeColor="background1"/>
                <w:sz w:val="22"/>
                <w:szCs w:val="22"/>
                <w:lang w:eastAsia="da-DK"/>
              </w:rPr>
              <w:t>Total</w:t>
            </w:r>
          </w:p>
        </w:tc>
        <w:tc>
          <w:tcPr>
            <w:tcW w:w="1275" w:type="dxa"/>
            <w:shd w:val="clear" w:color="auto" w:fill="3E2C42"/>
            <w:vAlign w:val="center"/>
          </w:tcPr>
          <w:p w:rsidR="001A04B5" w:rsidRPr="00816FC2" w:rsidRDefault="0039396A" w:rsidP="0039396A">
            <w:pPr>
              <w:jc w:val="center"/>
              <w:rPr>
                <w:color w:val="FFFFFF" w:themeColor="background1"/>
                <w:sz w:val="22"/>
                <w:szCs w:val="22"/>
                <w:lang w:eastAsia="da-DK"/>
              </w:rPr>
            </w:pPr>
            <w:r w:rsidRPr="00816FC2">
              <w:rPr>
                <w:color w:val="FFFFFF" w:themeColor="background1"/>
                <w:sz w:val="22"/>
                <w:szCs w:val="22"/>
                <w:lang w:eastAsia="da-DK"/>
              </w:rPr>
              <w:t>12</w:t>
            </w:r>
            <w:r w:rsidR="00EE796B">
              <w:rPr>
                <w:color w:val="FFFFFF" w:themeColor="background1"/>
                <w:sz w:val="22"/>
                <w:szCs w:val="22"/>
                <w:lang w:eastAsia="da-DK"/>
              </w:rPr>
              <w:t>8</w:t>
            </w:r>
            <w:r w:rsidR="00427656">
              <w:rPr>
                <w:color w:val="FFFFFF" w:themeColor="background1"/>
                <w:sz w:val="22"/>
                <w:szCs w:val="22"/>
                <w:lang w:eastAsia="da-DK"/>
              </w:rPr>
              <w:t>.</w:t>
            </w:r>
            <w:r w:rsidR="001A04B5" w:rsidRPr="00816FC2">
              <w:rPr>
                <w:color w:val="FFFFFF" w:themeColor="background1"/>
                <w:sz w:val="22"/>
                <w:szCs w:val="22"/>
                <w:lang w:eastAsia="da-DK"/>
              </w:rPr>
              <w:t>5</w:t>
            </w:r>
          </w:p>
        </w:tc>
        <w:tc>
          <w:tcPr>
            <w:tcW w:w="1276" w:type="dxa"/>
            <w:shd w:val="clear" w:color="auto" w:fill="3E2C42"/>
            <w:vAlign w:val="center"/>
            <w:hideMark/>
          </w:tcPr>
          <w:p w:rsidR="001A04B5" w:rsidRPr="00816FC2" w:rsidRDefault="0039396A" w:rsidP="00744245">
            <w:pPr>
              <w:jc w:val="center"/>
              <w:rPr>
                <w:color w:val="FFFFFF" w:themeColor="background1"/>
                <w:sz w:val="22"/>
                <w:szCs w:val="22"/>
                <w:lang w:eastAsia="da-DK"/>
              </w:rPr>
            </w:pPr>
            <w:r>
              <w:rPr>
                <w:color w:val="FFFFFF" w:themeColor="background1"/>
                <w:sz w:val="22"/>
                <w:szCs w:val="22"/>
                <w:lang w:eastAsia="da-DK"/>
              </w:rPr>
              <w:t>104</w:t>
            </w:r>
          </w:p>
        </w:tc>
        <w:tc>
          <w:tcPr>
            <w:tcW w:w="1276" w:type="dxa"/>
            <w:shd w:val="clear" w:color="auto" w:fill="3E2C42"/>
            <w:vAlign w:val="center"/>
          </w:tcPr>
          <w:p w:rsidR="001A04B5" w:rsidRPr="00816FC2" w:rsidRDefault="001A04B5" w:rsidP="006A0D86">
            <w:pPr>
              <w:jc w:val="center"/>
              <w:rPr>
                <w:color w:val="FFFFFF" w:themeColor="background1"/>
                <w:sz w:val="22"/>
                <w:szCs w:val="22"/>
                <w:lang w:eastAsia="da-DK"/>
              </w:rPr>
            </w:pPr>
            <w:r w:rsidRPr="00816FC2">
              <w:rPr>
                <w:color w:val="FFFFFF" w:themeColor="background1"/>
                <w:sz w:val="22"/>
                <w:szCs w:val="22"/>
                <w:lang w:eastAsia="da-DK"/>
              </w:rPr>
              <w:t>1</w:t>
            </w:r>
            <w:r w:rsidR="006A0D86">
              <w:rPr>
                <w:color w:val="FFFFFF" w:themeColor="background1"/>
                <w:sz w:val="22"/>
                <w:szCs w:val="22"/>
                <w:lang w:eastAsia="da-DK"/>
              </w:rPr>
              <w:t>00</w:t>
            </w:r>
          </w:p>
        </w:tc>
        <w:tc>
          <w:tcPr>
            <w:tcW w:w="1276" w:type="dxa"/>
            <w:shd w:val="clear" w:color="auto" w:fill="3E2C42"/>
            <w:vAlign w:val="center"/>
          </w:tcPr>
          <w:p w:rsidR="001A04B5" w:rsidRPr="00816FC2" w:rsidRDefault="00A42C80" w:rsidP="0039396A">
            <w:pPr>
              <w:jc w:val="center"/>
              <w:rPr>
                <w:color w:val="FFFFFF" w:themeColor="background1"/>
                <w:sz w:val="22"/>
                <w:szCs w:val="22"/>
                <w:lang w:eastAsia="da-DK"/>
              </w:rPr>
            </w:pPr>
            <w:r>
              <w:rPr>
                <w:color w:val="FFFFFF" w:themeColor="background1"/>
                <w:sz w:val="22"/>
                <w:szCs w:val="22"/>
                <w:lang w:eastAsia="da-DK"/>
              </w:rPr>
              <w:t>3</w:t>
            </w:r>
            <w:r w:rsidR="0039396A">
              <w:rPr>
                <w:color w:val="FFFFFF" w:themeColor="background1"/>
                <w:sz w:val="22"/>
                <w:szCs w:val="22"/>
                <w:lang w:eastAsia="da-DK"/>
              </w:rPr>
              <w:t>3</w:t>
            </w:r>
            <w:r w:rsidR="00F14685">
              <w:rPr>
                <w:color w:val="FFFFFF" w:themeColor="background1"/>
                <w:sz w:val="22"/>
                <w:szCs w:val="22"/>
                <w:lang w:eastAsia="da-DK"/>
              </w:rPr>
              <w:t>2</w:t>
            </w:r>
            <w:r w:rsidR="00427656">
              <w:rPr>
                <w:color w:val="FFFFFF" w:themeColor="background1"/>
                <w:sz w:val="22"/>
                <w:szCs w:val="22"/>
                <w:lang w:eastAsia="da-DK"/>
              </w:rPr>
              <w:t>.</w:t>
            </w:r>
            <w:r>
              <w:rPr>
                <w:color w:val="FFFFFF" w:themeColor="background1"/>
                <w:sz w:val="22"/>
                <w:szCs w:val="22"/>
                <w:lang w:eastAsia="da-DK"/>
              </w:rPr>
              <w:t>5</w:t>
            </w:r>
          </w:p>
        </w:tc>
      </w:tr>
    </w:tbl>
    <w:p w:rsidR="00FF1136" w:rsidRPr="00816FC2" w:rsidRDefault="00FF1136" w:rsidP="0080400C"/>
    <w:p w:rsidR="009622E3" w:rsidRPr="00816FC2" w:rsidRDefault="007C10E8" w:rsidP="0080400C">
      <w:r w:rsidRPr="00816FC2">
        <w:t xml:space="preserve">This budget rests upon a number of assumptions regarding anticipated future funding and takes into account recent disbursements that in </w:t>
      </w:r>
      <w:r w:rsidR="00225024" w:rsidRPr="00816FC2">
        <w:t xml:space="preserve">a number of </w:t>
      </w:r>
      <w:r w:rsidRPr="00816FC2">
        <w:t>cases</w:t>
      </w:r>
      <w:r w:rsidR="00225024" w:rsidRPr="00816FC2">
        <w:t xml:space="preserve"> already include funding for 2016 </w:t>
      </w:r>
      <w:r w:rsidR="004F198E" w:rsidRPr="00816FC2">
        <w:t xml:space="preserve">(SRTF, UNDPA) </w:t>
      </w:r>
      <w:r w:rsidR="00225024" w:rsidRPr="00816FC2">
        <w:t>from the previous programmes</w:t>
      </w:r>
      <w:r w:rsidR="009622E3" w:rsidRPr="00816FC2">
        <w:t>. P</w:t>
      </w:r>
      <w:r w:rsidR="004F198E" w:rsidRPr="00816FC2">
        <w:t>rovision has been made separately for the stabilisation advisors for 2016</w:t>
      </w:r>
      <w:r w:rsidR="00225024" w:rsidRPr="00816FC2">
        <w:t xml:space="preserve"> </w:t>
      </w:r>
      <w:r w:rsidR="009622E3" w:rsidRPr="00816FC2">
        <w:t>but is included in the budget for 2017 and 2018.</w:t>
      </w:r>
    </w:p>
    <w:p w:rsidR="004868E0" w:rsidRPr="00816FC2" w:rsidRDefault="009622E3" w:rsidP="0080400C">
      <w:r w:rsidRPr="00816FC2">
        <w:t>A minor amount is included for short term technical assistance in relation to the residual issues from the current programming (possible assistance in relation to the future of the UNDP SSR programme is an example).</w:t>
      </w:r>
    </w:p>
    <w:p w:rsidR="00FF1136" w:rsidRPr="00816FC2" w:rsidRDefault="004868E0" w:rsidP="0080400C">
      <w:r w:rsidRPr="00816FC2">
        <w:t xml:space="preserve">The budget has also been constructed following the </w:t>
      </w:r>
      <w:r w:rsidR="0068420D">
        <w:t>P</w:t>
      </w:r>
      <w:r w:rsidRPr="00816FC2">
        <w:t xml:space="preserve">rogramme Committee’s recommendation to avoid unallocated funds. Thus all funds are allocated and possible re-allocation within the thematic programmes </w:t>
      </w:r>
      <w:r w:rsidR="00AC592C">
        <w:t xml:space="preserve">or inclusion of possible additional engagements </w:t>
      </w:r>
      <w:r w:rsidRPr="00816FC2">
        <w:t>will take place on the basis of the Mid Term Review findings (or earlier if necessary)</w:t>
      </w:r>
      <w:r w:rsidR="00BD4C3A" w:rsidRPr="00816FC2">
        <w:t>.</w:t>
      </w:r>
      <w:r w:rsidRPr="00816FC2">
        <w:t xml:space="preserve"> </w:t>
      </w:r>
      <w:r w:rsidR="007C10E8" w:rsidRPr="00816FC2">
        <w:t xml:space="preserve"> </w:t>
      </w:r>
      <w:r w:rsidR="0068420D">
        <w:t>Decisions on possible reallocations</w:t>
      </w:r>
      <w:r w:rsidR="00AC592C">
        <w:t>/new engagements</w:t>
      </w:r>
      <w:r w:rsidR="0068420D">
        <w:t xml:space="preserve"> will be taken in </w:t>
      </w:r>
      <w:r w:rsidR="00AC592C">
        <w:t xml:space="preserve">accordance with the PSF Guidelines and in </w:t>
      </w:r>
      <w:r w:rsidR="0068420D">
        <w:t>consultation with the PSF Steering Committee.</w:t>
      </w:r>
    </w:p>
    <w:p w:rsidR="00FF1136" w:rsidRPr="00816FC2" w:rsidRDefault="00FF1136" w:rsidP="007B2E4E">
      <w:pPr>
        <w:pStyle w:val="Overskrift1"/>
      </w:pPr>
      <w:bookmarkStart w:id="61" w:name="_Toc332370526"/>
      <w:r w:rsidRPr="00816FC2">
        <w:lastRenderedPageBreak/>
        <w:t>Risks and risk mitigation</w:t>
      </w:r>
      <w:bookmarkEnd w:id="61"/>
    </w:p>
    <w:p w:rsidR="001537AD" w:rsidRPr="00816FC2" w:rsidRDefault="001537AD" w:rsidP="001537AD">
      <w:r w:rsidRPr="00816FC2">
        <w:t xml:space="preserve">The broad nature of </w:t>
      </w:r>
      <w:r w:rsidR="00664165" w:rsidRPr="00816FC2">
        <w:t xml:space="preserve">the engagements </w:t>
      </w:r>
      <w:r w:rsidRPr="00816FC2">
        <w:t>being implemented</w:t>
      </w:r>
      <w:r w:rsidR="00744245" w:rsidRPr="00816FC2">
        <w:t xml:space="preserve"> through the p</w:t>
      </w:r>
      <w:r w:rsidRPr="00816FC2">
        <w:t>rogramme bring</w:t>
      </w:r>
      <w:r w:rsidR="00744245" w:rsidRPr="00816FC2">
        <w:t>s</w:t>
      </w:r>
      <w:r w:rsidRPr="00816FC2">
        <w:t xml:space="preserve"> a variety of attendant risks. Many of these risks are inherent to the complex and rapidly-evolving environments in Syria and Iraq, and can be offset by joint-project implementation</w:t>
      </w:r>
      <w:r w:rsidR="00664165" w:rsidRPr="00816FC2">
        <w:t>, careful implementation and monitoring, and flexible programming</w:t>
      </w:r>
      <w:r w:rsidR="00744245" w:rsidRPr="00816FC2">
        <w:t>. It is clear that the p</w:t>
      </w:r>
      <w:r w:rsidRPr="00816FC2">
        <w:t>rogramme’s duration, while enabling Denmark to commit resources strategically, poses significant delivery risks and the</w:t>
      </w:r>
      <w:r w:rsidR="00744245" w:rsidRPr="00816FC2">
        <w:t xml:space="preserve">re is the </w:t>
      </w:r>
      <w:r w:rsidRPr="00816FC2">
        <w:t xml:space="preserve">possibility that individual activities or entire thematic objectives of the programme may not be achieved or may </w:t>
      </w:r>
      <w:r w:rsidR="00D5243E" w:rsidRPr="00816FC2">
        <w:t xml:space="preserve">need to </w:t>
      </w:r>
      <w:r w:rsidRPr="00816FC2">
        <w:t>be redesigned over the course of th</w:t>
      </w:r>
      <w:r w:rsidR="00D5243E" w:rsidRPr="00816FC2">
        <w:t>e</w:t>
      </w:r>
      <w:r w:rsidRPr="00816FC2">
        <w:t xml:space="preserve"> </w:t>
      </w:r>
      <w:r w:rsidR="00D5243E" w:rsidRPr="00816FC2">
        <w:t>p</w:t>
      </w:r>
      <w:r w:rsidRPr="00816FC2">
        <w:t>rogramme.</w:t>
      </w:r>
    </w:p>
    <w:p w:rsidR="001537AD" w:rsidRPr="00816FC2" w:rsidRDefault="00671339" w:rsidP="001537AD">
      <w:r w:rsidRPr="00816FC2">
        <w:t xml:space="preserve">This </w:t>
      </w:r>
      <w:r w:rsidR="00770D7A">
        <w:t>Section</w:t>
      </w:r>
      <w:r w:rsidRPr="00816FC2">
        <w:t xml:space="preserve"> provides an overview of the main contextual, programmatic, and institutional risks facing the programme together with possible mitigation measures. It should be read in conjunction with the programme risk matrix </w:t>
      </w:r>
      <w:r w:rsidR="00AC2FB0">
        <w:t>in the Annex</w:t>
      </w:r>
      <w:r w:rsidRPr="00816FC2">
        <w:t xml:space="preserve"> and with the risks analysis that is included as part of the individual engagement documentation.</w:t>
      </w:r>
    </w:p>
    <w:p w:rsidR="00671339" w:rsidRPr="00816FC2" w:rsidRDefault="00671339" w:rsidP="00671339">
      <w:pPr>
        <w:pStyle w:val="Overskrift2"/>
      </w:pPr>
      <w:bookmarkStart w:id="62" w:name="_Toc326443074"/>
      <w:bookmarkStart w:id="63" w:name="_Toc332370527"/>
      <w:r w:rsidRPr="00816FC2">
        <w:t>Risk management methodology</w:t>
      </w:r>
      <w:bookmarkEnd w:id="62"/>
      <w:bookmarkEnd w:id="63"/>
    </w:p>
    <w:p w:rsidR="00385325" w:rsidRPr="00816FC2" w:rsidRDefault="00671339" w:rsidP="00F93317">
      <w:r w:rsidRPr="00816FC2">
        <w:t xml:space="preserve">The </w:t>
      </w:r>
      <w:r w:rsidR="0030189C" w:rsidRPr="00816FC2">
        <w:t>p</w:t>
      </w:r>
      <w:r w:rsidRPr="00816FC2">
        <w:t xml:space="preserve">rogramme has been designed on the assumption that Scenario 1 </w:t>
      </w:r>
      <w:r w:rsidR="0030189C" w:rsidRPr="00816FC2">
        <w:t>(</w:t>
      </w:r>
      <w:r w:rsidRPr="00816FC2">
        <w:t xml:space="preserve">set out in </w:t>
      </w:r>
      <w:r w:rsidR="00770D7A">
        <w:t>Section</w:t>
      </w:r>
      <w:r w:rsidRPr="00816FC2">
        <w:t xml:space="preserve"> 2 above</w:t>
      </w:r>
      <w:r w:rsidR="0030189C" w:rsidRPr="00816FC2">
        <w:t>)</w:t>
      </w:r>
      <w:r w:rsidRPr="00816FC2">
        <w:t xml:space="preserve"> describes the most-likely prevailing context </w:t>
      </w:r>
      <w:r w:rsidR="009747A8">
        <w:t xml:space="preserve">in Syria and Iraq </w:t>
      </w:r>
      <w:r w:rsidRPr="00816FC2">
        <w:t xml:space="preserve">for at least the first half of the programme’s duration. The programme has, however, also been designed to offer relevant programming </w:t>
      </w:r>
      <w:r w:rsidR="0030189C" w:rsidRPr="00816FC2">
        <w:t xml:space="preserve">options </w:t>
      </w:r>
      <w:r w:rsidRPr="00816FC2">
        <w:t>should scenario 2 or 3 occur. In these scenarios, the engagements will need to change in res</w:t>
      </w:r>
      <w:r w:rsidR="0030189C" w:rsidRPr="00816FC2">
        <w:t>ponse to changes in the context;</w:t>
      </w:r>
      <w:r w:rsidRPr="00816FC2">
        <w:t xml:space="preserve"> in broad terms</w:t>
      </w:r>
      <w:r w:rsidR="0030189C" w:rsidRPr="00816FC2">
        <w:t>, these being</w:t>
      </w:r>
      <w:r w:rsidRPr="00816FC2">
        <w:t xml:space="preserve"> either </w:t>
      </w:r>
      <w:r w:rsidR="0030189C" w:rsidRPr="00816FC2">
        <w:t xml:space="preserve">to </w:t>
      </w:r>
      <w:r w:rsidRPr="00816FC2">
        <w:t xml:space="preserve">a </w:t>
      </w:r>
      <w:r w:rsidRPr="00816FC2">
        <w:rPr>
          <w:i/>
        </w:rPr>
        <w:t>regressive</w:t>
      </w:r>
      <w:r w:rsidRPr="00816FC2">
        <w:t xml:space="preserve"> or </w:t>
      </w:r>
      <w:r w:rsidR="0030189C" w:rsidRPr="00816FC2">
        <w:t xml:space="preserve">to a </w:t>
      </w:r>
      <w:r w:rsidRPr="00816FC2">
        <w:rPr>
          <w:i/>
        </w:rPr>
        <w:t>progressive</w:t>
      </w:r>
      <w:r w:rsidRPr="00816FC2">
        <w:t xml:space="preserve"> scenario. </w:t>
      </w:r>
      <w:r w:rsidR="00F93317">
        <w:t>R</w:t>
      </w:r>
      <w:r w:rsidRPr="00816FC2">
        <w:t xml:space="preserve">isks are assessed </w:t>
      </w:r>
      <w:r w:rsidR="009747A8">
        <w:t xml:space="preserve">and set out at Annex </w:t>
      </w:r>
      <w:r w:rsidR="00623E87">
        <w:t>E</w:t>
      </w:r>
      <w:r w:rsidR="00B54E39">
        <w:t xml:space="preserve"> </w:t>
      </w:r>
      <w:r w:rsidRPr="00816FC2">
        <w:t xml:space="preserve">according to the three scenarios and using Danida’s categorisation of </w:t>
      </w:r>
      <w:r w:rsidR="00385325" w:rsidRPr="00816FC2">
        <w:t xml:space="preserve">contextual, programmatic and institutional </w:t>
      </w:r>
      <w:r w:rsidRPr="00816FC2">
        <w:t>risk</w:t>
      </w:r>
      <w:r w:rsidR="0079773E">
        <w:t>.</w:t>
      </w:r>
    </w:p>
    <w:p w:rsidR="00BF5AC3" w:rsidRPr="00D6004D" w:rsidRDefault="00BF5AC3" w:rsidP="00BF5AC3">
      <w:pPr>
        <w:pStyle w:val="Overskrift2"/>
      </w:pPr>
      <w:bookmarkStart w:id="64" w:name="_Toc332370528"/>
      <w:r w:rsidRPr="00D6004D">
        <w:t>P</w:t>
      </w:r>
      <w:r w:rsidR="0079773E">
        <w:t>rogramme s</w:t>
      </w:r>
      <w:r w:rsidRPr="00CE0A93">
        <w:t>ustainability</w:t>
      </w:r>
      <w:r w:rsidR="0000434B">
        <w:t xml:space="preserve">, </w:t>
      </w:r>
      <w:r w:rsidR="0079773E">
        <w:t>a</w:t>
      </w:r>
      <w:r w:rsidRPr="00D6004D">
        <w:t>dapt</w:t>
      </w:r>
      <w:r w:rsidR="00B54E39">
        <w:t>ability</w:t>
      </w:r>
      <w:r w:rsidR="0079773E">
        <w:t xml:space="preserve">, </w:t>
      </w:r>
      <w:r w:rsidR="0000434B">
        <w:t xml:space="preserve">and </w:t>
      </w:r>
      <w:r w:rsidR="0079773E">
        <w:t>e</w:t>
      </w:r>
      <w:r w:rsidR="0000434B">
        <w:t>xit</w:t>
      </w:r>
      <w:bookmarkEnd w:id="64"/>
    </w:p>
    <w:p w:rsidR="00BF5AC3" w:rsidRPr="00816FC2" w:rsidRDefault="00BF5AC3" w:rsidP="00BF5AC3">
      <w:r w:rsidRPr="00816FC2">
        <w:t xml:space="preserve">The following assessment highlights the </w:t>
      </w:r>
      <w:r>
        <w:t xml:space="preserve">impact of </w:t>
      </w:r>
      <w:r w:rsidRPr="00816FC2">
        <w:t xml:space="preserve">scenario </w:t>
      </w:r>
      <w:r>
        <w:t xml:space="preserve">developments on Denmark’s risk exposure, </w:t>
      </w:r>
      <w:r w:rsidRPr="00816FC2">
        <w:t xml:space="preserve">and </w:t>
      </w:r>
      <w:r w:rsidR="00B54E39">
        <w:t xml:space="preserve">sets out </w:t>
      </w:r>
      <w:r w:rsidRPr="00816FC2">
        <w:t xml:space="preserve">possible options for managing this risk. </w:t>
      </w:r>
      <w:r w:rsidR="00003004">
        <w:t xml:space="preserve">It also includes observation relating to programme sustainability and exit. </w:t>
      </w:r>
      <w:r w:rsidRPr="00816FC2">
        <w:t>It is anticipated that the two Stabilisation Advisors attached to the programme will take the lead i</w:t>
      </w:r>
      <w:r w:rsidR="00B54E39">
        <w:t>n monitoring</w:t>
      </w:r>
      <w:r w:rsidRPr="00816FC2">
        <w:t xml:space="preserve"> </w:t>
      </w:r>
      <w:r w:rsidR="00B54E39">
        <w:t xml:space="preserve">programmatic </w:t>
      </w:r>
      <w:r w:rsidRPr="00816FC2">
        <w:t>risks, together with implementing partners and other donors. The Advisors will also work closely with the MFA in Copenhagen in order to ensure that risk</w:t>
      </w:r>
      <w:r w:rsidR="00972D53">
        <w:t>s are highlighted and responses fully considered</w:t>
      </w:r>
      <w:r w:rsidRPr="00816FC2">
        <w:t>.</w:t>
      </w:r>
      <w:r w:rsidR="00003004">
        <w:t xml:space="preserve"> As noted previously, </w:t>
      </w:r>
      <w:r w:rsidR="0036641E">
        <w:t xml:space="preserve">while the focus is on immediate stabilisation, </w:t>
      </w:r>
      <w:r w:rsidR="00003004">
        <w:t>the engagements have been selected to provide a reasonable degree of sustainability across the various scenarios</w:t>
      </w:r>
      <w:r w:rsidR="00332DF8">
        <w:t xml:space="preserve"> and the implementation modalities used in most cases </w:t>
      </w:r>
      <w:r w:rsidR="0036641E">
        <w:t xml:space="preserve">will </w:t>
      </w:r>
      <w:r w:rsidR="00332DF8">
        <w:t>develop local capacities</w:t>
      </w:r>
      <w:r w:rsidR="00BC5C77">
        <w:t xml:space="preserve"> and thereby strengthen the scope for </w:t>
      </w:r>
      <w:r w:rsidR="0036641E">
        <w:t xml:space="preserve">outcomes </w:t>
      </w:r>
      <w:r w:rsidR="00BC5C77">
        <w:t xml:space="preserve">following the eventual withdrawal of external support. </w:t>
      </w:r>
      <w:r w:rsidR="00732D62">
        <w:t xml:space="preserve">In most cases, the engagements are also highly context dependent and, as noted in the assessment below, certain scenarios will entail </w:t>
      </w:r>
      <w:r w:rsidR="007350AC">
        <w:t>either major redesign or closure. AJACS and SCD are examples in Syria. In Iraq, FFIS and C-IED mi</w:t>
      </w:r>
      <w:r w:rsidR="00A417B3">
        <w:t>ne action are intended as short-</w:t>
      </w:r>
      <w:r w:rsidR="007350AC">
        <w:t>term interventions</w:t>
      </w:r>
      <w:r w:rsidR="00A417B3">
        <w:t xml:space="preserve"> whose exit or c</w:t>
      </w:r>
      <w:r w:rsidR="0044455E">
        <w:t>losure will be linked to longer-</w:t>
      </w:r>
      <w:r w:rsidR="00A417B3">
        <w:t xml:space="preserve">term recovery and development interventions (for example, the FFES, which has a </w:t>
      </w:r>
      <w:r w:rsidR="0044455E">
        <w:t>recovery focus). Finally, in the event of a unilateral withdrawal of funds by Denmark, the effects will be mitigated in most cases by the multi-donor funding modalities used.</w:t>
      </w:r>
    </w:p>
    <w:p w:rsidR="00BF5AC3" w:rsidRPr="00816FC2" w:rsidRDefault="00BF5AC3" w:rsidP="00BF5AC3">
      <w:pPr>
        <w:pStyle w:val="Overskrift3"/>
      </w:pPr>
      <w:r w:rsidRPr="00816FC2">
        <w:t>Response to scenario risks in Syria</w:t>
      </w:r>
    </w:p>
    <w:p w:rsidR="00BF5AC3" w:rsidRDefault="00BF5AC3" w:rsidP="00BF5AC3">
      <w:pPr>
        <w:rPr>
          <w:noProof/>
          <w:lang w:eastAsia="en-GB"/>
        </w:rPr>
      </w:pPr>
      <w:r w:rsidRPr="00816FC2">
        <w:t xml:space="preserve">In relation to Syria, three </w:t>
      </w:r>
      <w:r>
        <w:t>eventualities</w:t>
      </w:r>
      <w:r w:rsidRPr="00816FC2">
        <w:t xml:space="preserve"> </w:t>
      </w:r>
      <w:r>
        <w:t>with significant bearing on progr</w:t>
      </w:r>
      <w:r w:rsidR="00B2369F">
        <w:t>amme implementation are</w:t>
      </w:r>
      <w:r w:rsidRPr="00816FC2">
        <w:t>:</w:t>
      </w:r>
      <w:r w:rsidRPr="007B2E4E">
        <w:rPr>
          <w:noProof/>
          <w:lang w:eastAsia="en-GB"/>
        </w:rPr>
        <w:t xml:space="preserve"> </w:t>
      </w:r>
    </w:p>
    <w:p w:rsidR="00BF5AC3" w:rsidRPr="00816FC2" w:rsidRDefault="00BF5AC3" w:rsidP="00BF5AC3">
      <w:r w:rsidRPr="00816FC2">
        <w:rPr>
          <w:noProof/>
          <w:lang w:val="da-DK" w:eastAsia="da-DK"/>
        </w:rPr>
        <w:drawing>
          <wp:inline distT="0" distB="0" distL="0" distR="0" wp14:anchorId="71A4CD82" wp14:editId="5A6CDB40">
            <wp:extent cx="6116320" cy="467932"/>
            <wp:effectExtent l="0" t="0" r="17780" b="88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F5AC3" w:rsidRPr="003B2BE3" w:rsidRDefault="00B2369F" w:rsidP="00B2369F">
      <w:pPr>
        <w:pStyle w:val="Overskrift4"/>
        <w:ind w:left="360" w:hanging="360"/>
      </w:pPr>
      <w:r>
        <w:t>Scenarios 1, 2 &amp; 3</w:t>
      </w:r>
      <w:r w:rsidR="00753FB7">
        <w:t xml:space="preserve"> – risk of</w:t>
      </w:r>
      <w:r w:rsidR="00BF5AC3" w:rsidRPr="003B2BE3">
        <w:t xml:space="preserve"> reduced space for moderate actors</w:t>
      </w:r>
    </w:p>
    <w:p w:rsidR="00BF5AC3" w:rsidRPr="00CE0A93" w:rsidRDefault="00BF5AC3" w:rsidP="00CE0A93">
      <w:pPr>
        <w:rPr>
          <w:i/>
          <w:iCs/>
        </w:rPr>
      </w:pPr>
      <w:r w:rsidRPr="00CE0A93">
        <w:rPr>
          <w:i/>
          <w:iCs/>
        </w:rPr>
        <w:t xml:space="preserve">In Syria, the scenario assessed to be most likely (Scenario 1) assumes that continued violations of the CoH will reduce the ground held by the moderate opposition, who will be increasingly squeezed between regime forces and extremist groups. This same risk also applies to the other two scenarios, although for different reasons. In Scenario 2 (regressive), their space will be squeezed due to the escalation of the conflict. In Scenario 3 (progressive), space may contract if the political </w:t>
      </w:r>
      <w:r w:rsidRPr="00CE0A93">
        <w:rPr>
          <w:i/>
          <w:iCs/>
        </w:rPr>
        <w:lastRenderedPageBreak/>
        <w:t xml:space="preserve">settlement allows the regime to re-exert its control over moderate actors. </w:t>
      </w:r>
      <w:r>
        <w:rPr>
          <w:i/>
          <w:iCs/>
        </w:rPr>
        <w:t xml:space="preserve">In all scenarios, as Da’esh </w:t>
      </w:r>
      <w:r w:rsidR="009955B3">
        <w:rPr>
          <w:i/>
          <w:iCs/>
        </w:rPr>
        <w:t xml:space="preserve">and other extremist elements are </w:t>
      </w:r>
      <w:r>
        <w:rPr>
          <w:i/>
          <w:iCs/>
        </w:rPr>
        <w:t xml:space="preserve">pushed back, </w:t>
      </w:r>
      <w:r w:rsidR="009955B3">
        <w:rPr>
          <w:i/>
          <w:iCs/>
        </w:rPr>
        <w:t xml:space="preserve">it is assumed that they </w:t>
      </w:r>
      <w:r>
        <w:rPr>
          <w:i/>
          <w:iCs/>
        </w:rPr>
        <w:t>will attempt to integrate into, and subvert, opposition communities.</w:t>
      </w:r>
    </w:p>
    <w:p w:rsidR="00BF5AC3" w:rsidRPr="00816FC2" w:rsidRDefault="00BF5AC3" w:rsidP="00BF5AC3">
      <w:pPr>
        <w:ind w:left="284"/>
      </w:pPr>
      <w:r w:rsidRPr="00816FC2">
        <w:rPr>
          <w:b/>
          <w:bCs/>
        </w:rPr>
        <w:t xml:space="preserve">Impact: </w:t>
      </w:r>
      <w:r w:rsidRPr="00816FC2">
        <w:t xml:space="preserve">On the one hand, the continued aerial and ground bombardment will maintain demand for community safety contributions (AJACS and SCD will continue to be relevant) and, where feasible, also stabilisation and resilience support (such as SRTF). On the other, the ability to deliver services safely will decrease. </w:t>
      </w:r>
      <w:r>
        <w:t>Co</w:t>
      </w:r>
      <w:r w:rsidRPr="00816FC2">
        <w:t xml:space="preserve">mpetition over space with extremist groups, such as JAN, risks that moderate groups </w:t>
      </w:r>
      <w:r>
        <w:t xml:space="preserve">being </w:t>
      </w:r>
      <w:r w:rsidRPr="00816FC2">
        <w:t xml:space="preserve">squeezed out, infiltrated or </w:t>
      </w:r>
      <w:r>
        <w:t xml:space="preserve">are </w:t>
      </w:r>
      <w:r w:rsidRPr="00816FC2">
        <w:t xml:space="preserve">inadvertently used </w:t>
      </w:r>
      <w:r>
        <w:t xml:space="preserve">to make precarious </w:t>
      </w:r>
      <w:r w:rsidRPr="00816FC2">
        <w:t xml:space="preserve">gains </w:t>
      </w:r>
      <w:r>
        <w:t xml:space="preserve">(which are subsequently taken by extremists or </w:t>
      </w:r>
      <w:r w:rsidRPr="00816FC2">
        <w:t xml:space="preserve">retaken by regime forces). </w:t>
      </w:r>
      <w:r>
        <w:t>Da’esh infiltration of communities will further strain CSOs.</w:t>
      </w:r>
    </w:p>
    <w:p w:rsidR="00BF5AC3" w:rsidRPr="00816FC2" w:rsidRDefault="00BF5AC3" w:rsidP="00BF5AC3">
      <w:pPr>
        <w:ind w:left="284"/>
      </w:pPr>
      <w:r w:rsidRPr="00816FC2">
        <w:rPr>
          <w:b/>
          <w:bCs/>
        </w:rPr>
        <w:t>Response:</w:t>
      </w:r>
      <w:r w:rsidRPr="00816FC2">
        <w:t xml:space="preserve"> Monitor developments on the ground carefully and take steps to respond where threats start to manifest (e.g. by removing equipment and personnel). Depending upon the </w:t>
      </w:r>
      <w:r>
        <w:t>speed of developments</w:t>
      </w:r>
      <w:r w:rsidR="00A853EB">
        <w:t>,</w:t>
      </w:r>
      <w:r>
        <w:t xml:space="preserve"> it may be </w:t>
      </w:r>
      <w:r w:rsidRPr="00816FC2">
        <w:t>pos</w:t>
      </w:r>
      <w:r>
        <w:t>sible, at an early stage, to re</w:t>
      </w:r>
      <w:r w:rsidRPr="00816FC2">
        <w:t>locate/consolidate r</w:t>
      </w:r>
      <w:r>
        <w:t>esources in non-affected areas. C</w:t>
      </w:r>
      <w:r w:rsidRPr="00816FC2">
        <w:t>onsideration will need to be given to the possible negative effects of withdrawal or relocation given that extremist actors may be seeking to occupy the space that is contested.</w:t>
      </w:r>
      <w:r>
        <w:t xml:space="preserve"> </w:t>
      </w:r>
      <w:r w:rsidR="00C0570D">
        <w:t>This wil</w:t>
      </w:r>
      <w:r w:rsidR="00B41060">
        <w:t xml:space="preserve">l particularly affect AJACS, </w:t>
      </w:r>
      <w:r w:rsidR="00C0570D">
        <w:t>SCD</w:t>
      </w:r>
      <w:r w:rsidR="00B41060">
        <w:t xml:space="preserve"> and SRTF, all of which will require careful targeting </w:t>
      </w:r>
      <w:r w:rsidR="008929BA">
        <w:t xml:space="preserve">and agreement (taking into account possible “red lines”). </w:t>
      </w:r>
      <w:r>
        <w:t>Support to CSOs (particularly Baytna’s Hub mechanism) will be particularly relevant to ensure their ability to coordinate and act as a bulwark against Salafist social currents.</w:t>
      </w:r>
    </w:p>
    <w:p w:rsidR="00BF5AC3" w:rsidRPr="00816FC2" w:rsidRDefault="00BF5AC3" w:rsidP="00753FB7">
      <w:pPr>
        <w:pStyle w:val="Overskrift4"/>
        <w:ind w:left="360" w:hanging="360"/>
      </w:pPr>
      <w:r w:rsidRPr="00816FC2">
        <w:t>Scenario 2</w:t>
      </w:r>
      <w:r w:rsidR="00753FB7">
        <w:t xml:space="preserve"> – risk of </w:t>
      </w:r>
      <w:r w:rsidRPr="00816FC2">
        <w:t>escalated conflict involving regional actors</w:t>
      </w:r>
    </w:p>
    <w:p w:rsidR="00BF5AC3" w:rsidRPr="00CE0A93" w:rsidRDefault="00BF5AC3" w:rsidP="00CE0A93">
      <w:pPr>
        <w:rPr>
          <w:i/>
          <w:iCs/>
        </w:rPr>
      </w:pPr>
      <w:r w:rsidRPr="00CE0A93">
        <w:rPr>
          <w:i/>
          <w:iCs/>
        </w:rPr>
        <w:t>Scenario 2 posits a regressive outlook where regional actors react to the Assad regime’s accelerating gains by supporting the opposition with more material, funds and potentially, with special forces or other military assets.</w:t>
      </w:r>
    </w:p>
    <w:p w:rsidR="00BF5AC3" w:rsidRPr="00816FC2" w:rsidRDefault="00BF5AC3" w:rsidP="00BF5AC3">
      <w:pPr>
        <w:ind w:left="284"/>
      </w:pPr>
      <w:r w:rsidRPr="00816FC2">
        <w:rPr>
          <w:b/>
          <w:bCs/>
        </w:rPr>
        <w:t xml:space="preserve">Impact: </w:t>
      </w:r>
      <w:r w:rsidRPr="00816FC2">
        <w:t xml:space="preserve">In this instance, the conflict in Syria would escalate as regime forces continue to draw upon foreign recruits and other support to counter the armed opposition. Such a development would further restrict the moderate opposition’s ability to operate, but would increase the urgency for a political resolution, </w:t>
      </w:r>
      <w:r>
        <w:t xml:space="preserve">making </w:t>
      </w:r>
      <w:r w:rsidRPr="00816FC2">
        <w:t xml:space="preserve">support to </w:t>
      </w:r>
      <w:r>
        <w:t>the CSOs TDA and Baytna</w:t>
      </w:r>
      <w:r w:rsidRPr="00816FC2">
        <w:t xml:space="preserve"> relevant. Support to emergency response (i.e. Mayday) would also remain relevant so long </w:t>
      </w:r>
      <w:r>
        <w:t xml:space="preserve">they have space to </w:t>
      </w:r>
      <w:r w:rsidRPr="00816FC2">
        <w:t xml:space="preserve">operate. Support to the FSP (through AJACS), however, may become less relevant as </w:t>
      </w:r>
      <w:r>
        <w:t xml:space="preserve">their operating space will reduce. </w:t>
      </w:r>
    </w:p>
    <w:p w:rsidR="00BF5AC3" w:rsidRPr="00816FC2" w:rsidRDefault="00BF5AC3" w:rsidP="00BF5AC3">
      <w:pPr>
        <w:ind w:left="284"/>
        <w:rPr>
          <w:b/>
          <w:bCs/>
        </w:rPr>
      </w:pPr>
      <w:r w:rsidRPr="00816FC2">
        <w:rPr>
          <w:b/>
          <w:bCs/>
        </w:rPr>
        <w:t xml:space="preserve">Response: </w:t>
      </w:r>
      <w:r w:rsidRPr="00816FC2">
        <w:rPr>
          <w:bCs/>
        </w:rPr>
        <w:t>As the situation worsens, it will be necessary to r</w:t>
      </w:r>
      <w:r w:rsidRPr="00816FC2">
        <w:t>eview the Syria part of the programme to ensure its relevance.</w:t>
      </w:r>
    </w:p>
    <w:p w:rsidR="00BF5AC3" w:rsidRPr="00816FC2" w:rsidRDefault="00753FB7" w:rsidP="00753FB7">
      <w:pPr>
        <w:pStyle w:val="Overskrift4"/>
        <w:ind w:left="360" w:hanging="360"/>
      </w:pPr>
      <w:r>
        <w:t>Scenario 1 and 3- risk of a</w:t>
      </w:r>
      <w:r w:rsidR="00BF5AC3" w:rsidRPr="00816FC2">
        <w:t xml:space="preserve"> </w:t>
      </w:r>
      <w:r w:rsidR="00CA738E">
        <w:t>flawed</w:t>
      </w:r>
      <w:r w:rsidR="00BF5AC3" w:rsidRPr="00816FC2">
        <w:t xml:space="preserve"> political settlement</w:t>
      </w:r>
    </w:p>
    <w:p w:rsidR="00BF5AC3" w:rsidRPr="00CE0A93" w:rsidRDefault="00BF5AC3" w:rsidP="00CE0A93">
      <w:pPr>
        <w:rPr>
          <w:i/>
          <w:iCs/>
        </w:rPr>
      </w:pPr>
      <w:r w:rsidRPr="00CE0A93">
        <w:rPr>
          <w:i/>
          <w:iCs/>
        </w:rPr>
        <w:t xml:space="preserve">In the mid- to long-term, the most likely and progressive scenarios (1 and 3) would both result in a loss of much opposition-held territory and in an essentially </w:t>
      </w:r>
      <w:r w:rsidR="00CA738E">
        <w:rPr>
          <w:i/>
          <w:iCs/>
        </w:rPr>
        <w:t>regime</w:t>
      </w:r>
      <w:r w:rsidRPr="00CE0A93">
        <w:rPr>
          <w:i/>
          <w:iCs/>
        </w:rPr>
        <w:t>-led transitional governing body, which will be opposed by much of the armed Syrian opposition. As part of this deal, the regime will have regained control over much opposition-held territory enhancing its leverage and may accept opposition-held ‘buffer zones’ between territories held by Da’esh.</w:t>
      </w:r>
    </w:p>
    <w:p w:rsidR="00BF5AC3" w:rsidRPr="00816FC2" w:rsidRDefault="00BF5AC3" w:rsidP="00BF5AC3">
      <w:pPr>
        <w:ind w:left="284"/>
      </w:pPr>
      <w:r w:rsidRPr="00816FC2">
        <w:rPr>
          <w:b/>
          <w:bCs/>
        </w:rPr>
        <w:t xml:space="preserve">Impact: </w:t>
      </w:r>
      <w:r>
        <w:t xml:space="preserve">A settlement, </w:t>
      </w:r>
      <w:r w:rsidRPr="00816FC2">
        <w:t xml:space="preserve">even </w:t>
      </w:r>
      <w:r>
        <w:t>flawed,</w:t>
      </w:r>
      <w:r w:rsidRPr="00816FC2">
        <w:t xml:space="preserve"> could open up opportunities for stabilisation and resilience activities (SRTF) </w:t>
      </w:r>
      <w:r>
        <w:t xml:space="preserve">due to </w:t>
      </w:r>
      <w:r w:rsidRPr="00816FC2">
        <w:t xml:space="preserve">the likelihood that improved access will be part of the deal. Civil society (TDA and Baytna) may also remain relevant, at least initially. But it would also pose a challenge for other initiatives that are predicated on the current conflict pattern (AJACS and SCD) </w:t>
      </w:r>
      <w:r>
        <w:t>and form parallel state structures. These</w:t>
      </w:r>
      <w:r w:rsidRPr="00816FC2">
        <w:t xml:space="preserve"> may be forced to adapt and/or be integrated into </w:t>
      </w:r>
      <w:r>
        <w:t xml:space="preserve">the </w:t>
      </w:r>
      <w:r w:rsidRPr="00816FC2">
        <w:t>governing body</w:t>
      </w:r>
      <w:r>
        <w:t>’s arrangements</w:t>
      </w:r>
      <w:r w:rsidRPr="00816FC2">
        <w:t xml:space="preserve">. In all cases, </w:t>
      </w:r>
      <w:r>
        <w:t xml:space="preserve">the </w:t>
      </w:r>
      <w:r w:rsidRPr="00816FC2">
        <w:t xml:space="preserve">risk of regime </w:t>
      </w:r>
      <w:r>
        <w:t xml:space="preserve">abuse against opposition is high </w:t>
      </w:r>
      <w:r w:rsidRPr="00816FC2">
        <w:t xml:space="preserve">if </w:t>
      </w:r>
      <w:r>
        <w:t xml:space="preserve">a </w:t>
      </w:r>
      <w:r w:rsidRPr="00816FC2">
        <w:t xml:space="preserve">settlement </w:t>
      </w:r>
      <w:r>
        <w:t xml:space="preserve">permits </w:t>
      </w:r>
      <w:r w:rsidRPr="00816FC2">
        <w:t xml:space="preserve">the regime </w:t>
      </w:r>
      <w:r>
        <w:t>to continue with limited change</w:t>
      </w:r>
      <w:r w:rsidR="001C4E18">
        <w:t>s</w:t>
      </w:r>
      <w:r>
        <w:t xml:space="preserve"> to governance</w:t>
      </w:r>
      <w:r w:rsidRPr="00816FC2">
        <w:t>.</w:t>
      </w:r>
      <w:r>
        <w:t xml:space="preserve"> </w:t>
      </w:r>
      <w:r w:rsidRPr="00A947E7">
        <w:t>P</w:t>
      </w:r>
      <w:r w:rsidRPr="00D6004D">
        <w:t>arts</w:t>
      </w:r>
      <w:r w:rsidRPr="00816FC2">
        <w:t xml:space="preserve"> of the armed position are </w:t>
      </w:r>
      <w:r>
        <w:t xml:space="preserve">therefore </w:t>
      </w:r>
      <w:r w:rsidRPr="00816FC2">
        <w:t xml:space="preserve">likely to continue their struggle against the </w:t>
      </w:r>
      <w:r>
        <w:t xml:space="preserve">regime </w:t>
      </w:r>
      <w:r w:rsidRPr="00816FC2">
        <w:t>with increasingly asymmetric methods.</w:t>
      </w:r>
    </w:p>
    <w:p w:rsidR="00BF5AC3" w:rsidRPr="00816FC2" w:rsidRDefault="00BF5AC3" w:rsidP="00BF5AC3">
      <w:pPr>
        <w:ind w:left="284"/>
      </w:pPr>
      <w:r w:rsidRPr="00816FC2">
        <w:rPr>
          <w:b/>
          <w:bCs/>
        </w:rPr>
        <w:t xml:space="preserve">Response: </w:t>
      </w:r>
      <w:r w:rsidRPr="00816FC2">
        <w:t>Depending on the parameters of a political settlement, a review of the Syria part of the programme would be necessary. Under this development, Danish activities need to place primacy on supporting the UN (that has begun planning transitional arrangements), whilst supporting moderate voices (in civil society) across Syria to put pressure on the regime to make concessions, and supporting longer-term recovery and reconstruction. With the last forming a small component of this programme, a review of Syria-related activities would be needed to ensure continued relevance.</w:t>
      </w:r>
    </w:p>
    <w:p w:rsidR="00BF5AC3" w:rsidRPr="00816FC2" w:rsidRDefault="00BF5AC3" w:rsidP="00BF5AC3">
      <w:pPr>
        <w:pStyle w:val="Overskrift3"/>
      </w:pPr>
      <w:r w:rsidRPr="00816FC2">
        <w:lastRenderedPageBreak/>
        <w:t>Response to scenario risks in Iraq</w:t>
      </w:r>
    </w:p>
    <w:p w:rsidR="00BF5AC3" w:rsidRPr="00816FC2" w:rsidRDefault="00BF5AC3" w:rsidP="00BF5AC3">
      <w:r w:rsidRPr="00816FC2">
        <w:t xml:space="preserve">In relation to Iraq, four </w:t>
      </w:r>
      <w:r>
        <w:t>eventualities</w:t>
      </w:r>
      <w:r w:rsidRPr="00816FC2">
        <w:t xml:space="preserve"> </w:t>
      </w:r>
      <w:r>
        <w:t>with significant bearing on programme implementation are outlined</w:t>
      </w:r>
      <w:r w:rsidRPr="00816FC2">
        <w:t>:</w:t>
      </w:r>
    </w:p>
    <w:p w:rsidR="00BF5AC3" w:rsidRPr="00816FC2" w:rsidRDefault="00BF5AC3" w:rsidP="00BF5AC3">
      <w:r w:rsidRPr="00816FC2">
        <w:rPr>
          <w:noProof/>
          <w:lang w:val="da-DK" w:eastAsia="da-DK"/>
        </w:rPr>
        <w:drawing>
          <wp:inline distT="0" distB="0" distL="0" distR="0" wp14:anchorId="4443C544" wp14:editId="76F3AAD3">
            <wp:extent cx="6116320" cy="540913"/>
            <wp:effectExtent l="38100" t="0" r="55880" b="311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F5AC3" w:rsidRPr="00816FC2" w:rsidRDefault="00BF5AC3" w:rsidP="009B570E">
      <w:pPr>
        <w:pStyle w:val="Overskrift4"/>
        <w:ind w:left="360" w:hanging="360"/>
      </w:pPr>
      <w:r w:rsidRPr="00816FC2">
        <w:t xml:space="preserve">Scenario 1 &amp; 2 </w:t>
      </w:r>
      <w:r w:rsidR="00E63BDF">
        <w:t>- risk of</w:t>
      </w:r>
      <w:r w:rsidRPr="00816FC2">
        <w:t xml:space="preserve"> continued political instability</w:t>
      </w:r>
    </w:p>
    <w:p w:rsidR="00BF5AC3" w:rsidRPr="00FC51DE" w:rsidRDefault="00BF5AC3" w:rsidP="00FC51DE">
      <w:pPr>
        <w:rPr>
          <w:i/>
          <w:iCs/>
        </w:rPr>
      </w:pPr>
      <w:r w:rsidRPr="00CE0A93">
        <w:rPr>
          <w:i/>
          <w:iCs/>
        </w:rPr>
        <w:t xml:space="preserve">Under Scenarios 1 and 2, the impasse </w:t>
      </w:r>
      <w:r>
        <w:rPr>
          <w:i/>
          <w:iCs/>
        </w:rPr>
        <w:t>relating</w:t>
      </w:r>
      <w:r w:rsidR="00562255">
        <w:rPr>
          <w:i/>
          <w:iCs/>
        </w:rPr>
        <w:t xml:space="preserve"> to</w:t>
      </w:r>
      <w:r>
        <w:rPr>
          <w:i/>
          <w:iCs/>
        </w:rPr>
        <w:t xml:space="preserve"> the imposition of a technocratic cabinet will be accompanied by </w:t>
      </w:r>
      <w:r w:rsidRPr="00CE0A93">
        <w:rPr>
          <w:i/>
          <w:iCs/>
        </w:rPr>
        <w:t xml:space="preserve">a period of intense political instability. This will reduce further the </w:t>
      </w:r>
      <w:r>
        <w:rPr>
          <w:i/>
          <w:iCs/>
        </w:rPr>
        <w:t xml:space="preserve">GoI’s </w:t>
      </w:r>
      <w:r w:rsidRPr="00FC51DE">
        <w:rPr>
          <w:i/>
          <w:iCs/>
        </w:rPr>
        <w:t xml:space="preserve">ability to take the measures necessary to reform and resolve structural causes of conflict. </w:t>
      </w:r>
      <w:r>
        <w:rPr>
          <w:i/>
          <w:iCs/>
        </w:rPr>
        <w:t>P</w:t>
      </w:r>
      <w:r w:rsidRPr="00FC51DE">
        <w:rPr>
          <w:i/>
          <w:iCs/>
        </w:rPr>
        <w:t>olitical instability would be exacerbated if PMU forces are able to advance more quickly to retake Mosul and / or can lay claim to having done so. In a regressive scenario, the political instability will worsen</w:t>
      </w:r>
      <w:r w:rsidR="009B570E">
        <w:rPr>
          <w:i/>
          <w:iCs/>
        </w:rPr>
        <w:t>,</w:t>
      </w:r>
      <w:r w:rsidRPr="00FC51DE">
        <w:rPr>
          <w:i/>
          <w:iCs/>
        </w:rPr>
        <w:t xml:space="preserve"> </w:t>
      </w:r>
      <w:r>
        <w:rPr>
          <w:i/>
          <w:iCs/>
        </w:rPr>
        <w:t xml:space="preserve">potentially resulting in </w:t>
      </w:r>
      <w:r w:rsidRPr="00FC51DE">
        <w:rPr>
          <w:i/>
          <w:iCs/>
        </w:rPr>
        <w:t>the collapse of the state or the capture of key governance institutions by sectarian forces.</w:t>
      </w:r>
    </w:p>
    <w:p w:rsidR="00BF5AC3" w:rsidRPr="00816FC2" w:rsidRDefault="00BF5AC3" w:rsidP="00BF5AC3">
      <w:pPr>
        <w:ind w:left="284"/>
      </w:pPr>
      <w:r w:rsidRPr="00816FC2">
        <w:rPr>
          <w:b/>
          <w:bCs/>
        </w:rPr>
        <w:t xml:space="preserve">Impact: </w:t>
      </w:r>
      <w:r w:rsidRPr="00816FC2">
        <w:rPr>
          <w:bCs/>
        </w:rPr>
        <w:t>Urgent operation</w:t>
      </w:r>
      <w:r w:rsidR="009B570E">
        <w:rPr>
          <w:bCs/>
        </w:rPr>
        <w:t>al</w:t>
      </w:r>
      <w:r w:rsidRPr="00816FC2">
        <w:rPr>
          <w:bCs/>
        </w:rPr>
        <w:t xml:space="preserve"> priorities will remain relevant </w:t>
      </w:r>
      <w:r w:rsidRPr="00816FC2">
        <w:t>(FFIS, mine action) in Scenario 1 (most likely case). Government appetite to move forward on major reforms and the prospects for ambitious projects such as SSR may be limited beyond an initial sta</w:t>
      </w:r>
      <w:r w:rsidR="00E63BDF">
        <w:t>ge. The G</w:t>
      </w:r>
      <w:r w:rsidRPr="00816FC2">
        <w:t>overnment’s focus will be on making gains against Da’esh at the expense of reforming to remedy the structural causes of conflict. I</w:t>
      </w:r>
      <w:r w:rsidR="00E63BDF">
        <w:t>n Scenario 2 (regressive), the G</w:t>
      </w:r>
      <w:r w:rsidRPr="00816FC2">
        <w:t xml:space="preserve">overnment’s ability to act as a worthwhile partner may diminish significantly. This would have major repercussions, including for the Coalition effort. </w:t>
      </w:r>
    </w:p>
    <w:p w:rsidR="00BF5AC3" w:rsidRPr="00816FC2" w:rsidRDefault="00BF5AC3" w:rsidP="00BF5AC3">
      <w:pPr>
        <w:ind w:left="284"/>
        <w:rPr>
          <w:bCs/>
        </w:rPr>
      </w:pPr>
      <w:r w:rsidRPr="00816FC2">
        <w:rPr>
          <w:b/>
          <w:bCs/>
        </w:rPr>
        <w:t>Response:</w:t>
      </w:r>
      <w:r w:rsidRPr="00816FC2">
        <w:t xml:space="preserve"> In Scenario 1, focus on areas where sufficient traction is being demonstrated, probably linked to immediate stabilisation needs (FFIS, mine action). In Scenario 2, there would need to be an assessment of what remains viable given the actual governance situation</w:t>
      </w:r>
      <w:r w:rsidR="00E63BDF">
        <w:t xml:space="preserve"> and taking into account </w:t>
      </w:r>
      <w:r w:rsidR="00D51A21">
        <w:t>acute needs of local populations</w:t>
      </w:r>
      <w:r w:rsidRPr="00816FC2">
        <w:t xml:space="preserve">. These decisions would be taken in concert with the Coalition and other donors. </w:t>
      </w:r>
      <w:r w:rsidR="00D51A21">
        <w:t>Provided a minimum of operational space exists, urgent immediate stabilisation tasks should continue.</w:t>
      </w:r>
    </w:p>
    <w:p w:rsidR="00BF5AC3" w:rsidRPr="00816FC2" w:rsidRDefault="00BF5AC3" w:rsidP="00CA221C">
      <w:pPr>
        <w:pStyle w:val="Overskrift4"/>
        <w:ind w:left="360" w:hanging="360"/>
      </w:pPr>
      <w:r w:rsidRPr="00816FC2">
        <w:t xml:space="preserve">Scenario 1, 2 &amp; 3 – </w:t>
      </w:r>
      <w:r w:rsidR="00D51A21">
        <w:t xml:space="preserve">risk of </w:t>
      </w:r>
      <w:r w:rsidRPr="00816FC2">
        <w:t xml:space="preserve">limited counterpart resources </w:t>
      </w:r>
    </w:p>
    <w:p w:rsidR="00BF5AC3" w:rsidRPr="00FC51DE" w:rsidRDefault="00BF5AC3" w:rsidP="00FC51DE">
      <w:pPr>
        <w:rPr>
          <w:i/>
          <w:iCs/>
        </w:rPr>
      </w:pPr>
      <w:r w:rsidRPr="00FC51DE">
        <w:rPr>
          <w:i/>
          <w:iCs/>
        </w:rPr>
        <w:t>Across all scenarios</w:t>
      </w:r>
      <w:r w:rsidR="00D51A21">
        <w:rPr>
          <w:i/>
          <w:iCs/>
        </w:rPr>
        <w:t>,</w:t>
      </w:r>
      <w:r w:rsidRPr="00FC51DE">
        <w:rPr>
          <w:i/>
          <w:iCs/>
        </w:rPr>
        <w:t xml:space="preserve"> the conflict in Iraq will escalate as forces draw close to Mosul. This, coupled with the possibility that offensives against Da’esh take longer than expected, would cause significant setbacks to the </w:t>
      </w:r>
      <w:r>
        <w:rPr>
          <w:i/>
          <w:iCs/>
        </w:rPr>
        <w:t>GoI</w:t>
      </w:r>
      <w:r w:rsidRPr="00FC51DE">
        <w:rPr>
          <w:i/>
          <w:iCs/>
        </w:rPr>
        <w:t xml:space="preserve">: a protracted conflict with will </w:t>
      </w:r>
      <w:r w:rsidR="001C742D">
        <w:rPr>
          <w:i/>
          <w:iCs/>
        </w:rPr>
        <w:t xml:space="preserve">drain </w:t>
      </w:r>
      <w:r>
        <w:rPr>
          <w:i/>
          <w:iCs/>
        </w:rPr>
        <w:t xml:space="preserve">its </w:t>
      </w:r>
      <w:r w:rsidRPr="00FC51DE">
        <w:rPr>
          <w:i/>
          <w:iCs/>
        </w:rPr>
        <w:t xml:space="preserve">capacity and resources. </w:t>
      </w:r>
      <w:r>
        <w:rPr>
          <w:i/>
          <w:iCs/>
        </w:rPr>
        <w:t xml:space="preserve">Low </w:t>
      </w:r>
      <w:r w:rsidRPr="00FC51DE">
        <w:rPr>
          <w:i/>
          <w:iCs/>
        </w:rPr>
        <w:t xml:space="preserve">oil prices </w:t>
      </w:r>
      <w:r>
        <w:rPr>
          <w:i/>
          <w:iCs/>
        </w:rPr>
        <w:t xml:space="preserve">mean that the GoI </w:t>
      </w:r>
      <w:r w:rsidRPr="00FC51DE">
        <w:rPr>
          <w:i/>
          <w:iCs/>
        </w:rPr>
        <w:t xml:space="preserve">is unable to lift its share of the financial burden. </w:t>
      </w:r>
      <w:r w:rsidR="001C742D">
        <w:rPr>
          <w:i/>
          <w:iCs/>
        </w:rPr>
        <w:t>Short-termism reduces the sustainability and potential impact of inputs made.</w:t>
      </w:r>
      <w:r w:rsidRPr="00FC51DE">
        <w:rPr>
          <w:i/>
          <w:iCs/>
        </w:rPr>
        <w:t xml:space="preserve"> </w:t>
      </w:r>
    </w:p>
    <w:p w:rsidR="00BF5AC3" w:rsidRPr="00816FC2" w:rsidRDefault="00BF5AC3" w:rsidP="00BF5AC3">
      <w:pPr>
        <w:ind w:left="284"/>
      </w:pPr>
      <w:r w:rsidRPr="00816FC2">
        <w:rPr>
          <w:b/>
          <w:bCs/>
        </w:rPr>
        <w:t>Impact:</w:t>
      </w:r>
      <w:r w:rsidRPr="00816FC2">
        <w:t xml:space="preserve"> In the short term, Iraqi capacity to partner with the international community remains severely constrained; inter alia, that the </w:t>
      </w:r>
      <w:r>
        <w:t xml:space="preserve">GoI </w:t>
      </w:r>
      <w:r w:rsidRPr="00816FC2">
        <w:t xml:space="preserve">is </w:t>
      </w:r>
      <w:r>
        <w:t>un</w:t>
      </w:r>
      <w:r w:rsidRPr="00816FC2">
        <w:t>able to provide effective follow-on stabilisation support in liberated areas. This will increase pressure on the relatively scarce international resources (e.g. mine action and in the FFIS and FFES, the latter reflecti</w:t>
      </w:r>
      <w:r w:rsidR="00F95B63">
        <w:t>ng</w:t>
      </w:r>
      <w:r w:rsidRPr="00816FC2">
        <w:t xml:space="preserve"> the difficulty that Iraq </w:t>
      </w:r>
      <w:r w:rsidR="00A155A9">
        <w:t xml:space="preserve">already </w:t>
      </w:r>
      <w:r w:rsidRPr="00816FC2">
        <w:t xml:space="preserve">has in meeting medium term stabilisation needs). In the mid-term, political, economic and sectarian </w:t>
      </w:r>
      <w:r w:rsidR="00A155A9">
        <w:t xml:space="preserve">factors </w:t>
      </w:r>
      <w:r w:rsidRPr="00816FC2">
        <w:t xml:space="preserve">may </w:t>
      </w:r>
      <w:r>
        <w:t xml:space="preserve">trigger the GoI’s collapse, and its replacement with </w:t>
      </w:r>
      <w:r w:rsidRPr="00816FC2">
        <w:t>a more rigid sectarian regime</w:t>
      </w:r>
      <w:r w:rsidR="00A155A9">
        <w:t>, prompting a decay into s</w:t>
      </w:r>
      <w:r w:rsidRPr="00816FC2">
        <w:t xml:space="preserve">cenario 2, </w:t>
      </w:r>
      <w:r w:rsidR="00A155A9">
        <w:t xml:space="preserve">where </w:t>
      </w:r>
      <w:r w:rsidRPr="00816FC2">
        <w:t xml:space="preserve">the </w:t>
      </w:r>
      <w:r>
        <w:t xml:space="preserve">GoI’s </w:t>
      </w:r>
      <w:r w:rsidRPr="00816FC2">
        <w:t>resources and political will reduce further, making it an unreliable counterpart. In Scenario 3, the lack of resources may be temporary and will be matched by stronger political drive. This could make deeper reform efforts (e.g. SSR) relevant.</w:t>
      </w:r>
    </w:p>
    <w:p w:rsidR="00BF5AC3" w:rsidRPr="00816FC2" w:rsidRDefault="00BF5AC3" w:rsidP="00BF5AC3">
      <w:pPr>
        <w:ind w:left="284"/>
      </w:pPr>
      <w:r w:rsidRPr="00816FC2">
        <w:rPr>
          <w:b/>
          <w:bCs/>
        </w:rPr>
        <w:t>Response:</w:t>
      </w:r>
      <w:r w:rsidRPr="00816FC2">
        <w:t xml:space="preserve"> </w:t>
      </w:r>
      <w:r>
        <w:t>T</w:t>
      </w:r>
      <w:r w:rsidRPr="00816FC2">
        <w:t>he short term</w:t>
      </w:r>
      <w:r>
        <w:t xml:space="preserve"> </w:t>
      </w:r>
      <w:r w:rsidRPr="00816FC2">
        <w:t>programmatic response will be to maintain Iraqi counterparts (</w:t>
      </w:r>
      <w:r>
        <w:t xml:space="preserve">such as </w:t>
      </w:r>
      <w:r w:rsidRPr="00816FC2">
        <w:t>the NOC)</w:t>
      </w:r>
      <w:r>
        <w:t xml:space="preserve"> as close partners</w:t>
      </w:r>
      <w:r w:rsidRPr="00816FC2">
        <w:t xml:space="preserve"> so that opportunities for Iraqi ownership and contributions are maintained. FFIS and mine action will remain relevant. Depending upon </w:t>
      </w:r>
      <w:r>
        <w:t xml:space="preserve">emerging </w:t>
      </w:r>
      <w:r w:rsidRPr="00816FC2">
        <w:t xml:space="preserve">needs, </w:t>
      </w:r>
      <w:r>
        <w:t xml:space="preserve">support to </w:t>
      </w:r>
      <w:r w:rsidRPr="00816FC2">
        <w:t xml:space="preserve">FFES or </w:t>
      </w:r>
      <w:r>
        <w:t xml:space="preserve">direct support </w:t>
      </w:r>
      <w:r w:rsidRPr="00816FC2">
        <w:t xml:space="preserve">governorates </w:t>
      </w:r>
      <w:r>
        <w:t xml:space="preserve">could be considered </w:t>
      </w:r>
      <w:r w:rsidRPr="00816FC2">
        <w:t xml:space="preserve">to cement progress made on immediate stabilisation. </w:t>
      </w:r>
      <w:r>
        <w:t xml:space="preserve">Long-term </w:t>
      </w:r>
      <w:r w:rsidRPr="00816FC2">
        <w:t xml:space="preserve">implications depend upon the nature of the </w:t>
      </w:r>
      <w:r>
        <w:t>GoI:</w:t>
      </w:r>
      <w:r w:rsidRPr="00816FC2">
        <w:t xml:space="preserve"> a hostile government would have potentially </w:t>
      </w:r>
      <w:r>
        <w:t xml:space="preserve">deleterious </w:t>
      </w:r>
      <w:r w:rsidRPr="00816FC2">
        <w:t xml:space="preserve">consequences for support. Scenario 2 would require a review of </w:t>
      </w:r>
      <w:r>
        <w:t xml:space="preserve">this programme’s </w:t>
      </w:r>
      <w:r w:rsidRPr="00816FC2">
        <w:t xml:space="preserve">Iraq </w:t>
      </w:r>
      <w:r>
        <w:t>component</w:t>
      </w:r>
      <w:r w:rsidRPr="00816FC2">
        <w:t xml:space="preserve">, as would (partly) </w:t>
      </w:r>
      <w:r>
        <w:t xml:space="preserve">the progressive </w:t>
      </w:r>
      <w:r w:rsidRPr="00816FC2">
        <w:t>Scenario 3.</w:t>
      </w:r>
    </w:p>
    <w:p w:rsidR="00BF5AC3" w:rsidRPr="00816FC2" w:rsidRDefault="00BF5AC3" w:rsidP="00CA221C">
      <w:pPr>
        <w:pStyle w:val="Overskrift4"/>
        <w:ind w:left="360" w:hanging="360"/>
      </w:pPr>
      <w:r>
        <w:t>Scenario 1 &amp; 2 –</w:t>
      </w:r>
      <w:r w:rsidR="00CA221C">
        <w:t xml:space="preserve">risk of </w:t>
      </w:r>
      <w:r>
        <w:t>c</w:t>
      </w:r>
      <w:r w:rsidRPr="00816FC2">
        <w:t>ontested control over liberated territory</w:t>
      </w:r>
    </w:p>
    <w:p w:rsidR="00BF5AC3" w:rsidRPr="00FC51DE" w:rsidRDefault="00BF5AC3" w:rsidP="00FC51DE">
      <w:pPr>
        <w:rPr>
          <w:i/>
          <w:iCs/>
        </w:rPr>
      </w:pPr>
      <w:r w:rsidRPr="00FC51DE">
        <w:rPr>
          <w:i/>
          <w:iCs/>
        </w:rPr>
        <w:t xml:space="preserve">In liberated areas, particularly so-called “grey areas”, sectarian disputes over control of territory will arise if the </w:t>
      </w:r>
      <w:r>
        <w:rPr>
          <w:i/>
          <w:iCs/>
        </w:rPr>
        <w:t xml:space="preserve">GoI </w:t>
      </w:r>
      <w:r w:rsidRPr="00FC51DE">
        <w:rPr>
          <w:i/>
          <w:iCs/>
        </w:rPr>
        <w:t xml:space="preserve">is </w:t>
      </w:r>
      <w:r>
        <w:rPr>
          <w:i/>
          <w:iCs/>
        </w:rPr>
        <w:t xml:space="preserve">unable </w:t>
      </w:r>
      <w:r w:rsidRPr="00FC51DE">
        <w:rPr>
          <w:i/>
          <w:iCs/>
        </w:rPr>
        <w:t xml:space="preserve">to quickly </w:t>
      </w:r>
      <w:r w:rsidR="00CA221C">
        <w:rPr>
          <w:i/>
          <w:iCs/>
        </w:rPr>
        <w:t xml:space="preserve">assert </w:t>
      </w:r>
      <w:r w:rsidRPr="00FC51DE">
        <w:rPr>
          <w:i/>
          <w:iCs/>
        </w:rPr>
        <w:t>its control. This will increase the risk of inadvertently doing harm. Whether this</w:t>
      </w:r>
      <w:r w:rsidR="00CA221C">
        <w:rPr>
          <w:i/>
          <w:iCs/>
        </w:rPr>
        <w:t xml:space="preserve"> happens depends </w:t>
      </w:r>
      <w:r w:rsidR="00CA221C">
        <w:rPr>
          <w:i/>
          <w:iCs/>
        </w:rPr>
        <w:lastRenderedPageBreak/>
        <w:t xml:space="preserve">on whether </w:t>
      </w:r>
      <w:r w:rsidRPr="00FC51DE">
        <w:rPr>
          <w:i/>
          <w:iCs/>
        </w:rPr>
        <w:t>Iraqi forces are able to reach and retake Mosul before PMU forces,</w:t>
      </w:r>
      <w:r>
        <w:rPr>
          <w:i/>
          <w:iCs/>
        </w:rPr>
        <w:t xml:space="preserve"> the intention of Kurdish forces</w:t>
      </w:r>
      <w:r w:rsidRPr="00FC51DE">
        <w:rPr>
          <w:i/>
          <w:iCs/>
        </w:rPr>
        <w:t xml:space="preserve"> and the speed at which areas are declared free from UXOs and IEDs. There is a concern that the pace of military operations will outrun the capacity of civil stabilisation efforts to follow on – the extent of this depends upon the ability of UN and Iraqi stabilisation preparedness, the extent of damage, and the degree of UXO/IED contamination. </w:t>
      </w:r>
      <w:r w:rsidR="004F6009">
        <w:rPr>
          <w:i/>
          <w:iCs/>
        </w:rPr>
        <w:t>Under scenario 2, control over contested areas will be progressively lost and/or further areas will be contested, especially Mosul.</w:t>
      </w:r>
    </w:p>
    <w:p w:rsidR="00BF5AC3" w:rsidRPr="00816FC2" w:rsidRDefault="00BF5AC3" w:rsidP="00BF5AC3">
      <w:pPr>
        <w:ind w:left="284"/>
      </w:pPr>
      <w:r w:rsidRPr="00816FC2">
        <w:rPr>
          <w:b/>
          <w:bCs/>
        </w:rPr>
        <w:t xml:space="preserve">Impact: </w:t>
      </w:r>
      <w:r w:rsidRPr="00816FC2">
        <w:t>In the event that PMU forces reach Mosul first</w:t>
      </w:r>
      <w:r w:rsidR="00944935">
        <w:t>,</w:t>
      </w:r>
      <w:r w:rsidRPr="00816FC2">
        <w:t xml:space="preserve"> the risks of reprisals against local communities will remain high. Separately, spontaneous returns to areas still regarded as hazardous</w:t>
      </w:r>
      <w:r>
        <w:t xml:space="preserve"> risk harming populations</w:t>
      </w:r>
      <w:r w:rsidRPr="00816FC2">
        <w:t>. Without adequate capacity to provide services, returnees will lack livelihoods and basic services, both of which may lead to renewed cycles of instability. In Scenario 1, the government will be more or less able to manage these pressures (with international support – e.g. from FFIS). In Scenario 2, contested territory will exacerbate the existing political instability potentially having major down-stream negative effects (increased sectarianism).</w:t>
      </w:r>
    </w:p>
    <w:p w:rsidR="00BF5AC3" w:rsidRPr="00816FC2" w:rsidRDefault="00BF5AC3" w:rsidP="00BF5AC3">
      <w:pPr>
        <w:ind w:left="284"/>
      </w:pPr>
      <w:r w:rsidRPr="00816FC2">
        <w:rPr>
          <w:b/>
          <w:bCs/>
        </w:rPr>
        <w:t xml:space="preserve">Response: </w:t>
      </w:r>
      <w:r w:rsidRPr="00816FC2">
        <w:rPr>
          <w:bCs/>
        </w:rPr>
        <w:t>In Scenario 1, p</w:t>
      </w:r>
      <w:r w:rsidRPr="00816FC2">
        <w:t>rioritise imme</w:t>
      </w:r>
      <w:r>
        <w:t xml:space="preserve">diate stabilisation activities, in </w:t>
      </w:r>
      <w:r w:rsidRPr="00816FC2">
        <w:t>particular mine action, essential infrastructu</w:t>
      </w:r>
      <w:r>
        <w:t>re (and the other FFIS windows)</w:t>
      </w:r>
      <w:r w:rsidRPr="00816FC2">
        <w:t xml:space="preserve"> and community security. Ensure </w:t>
      </w:r>
      <w:r>
        <w:t xml:space="preserve">that engagements are </w:t>
      </w:r>
      <w:r w:rsidRPr="00816FC2">
        <w:t>careful</w:t>
      </w:r>
      <w:r>
        <w:t>ly screened</w:t>
      </w:r>
      <w:r w:rsidRPr="00816FC2">
        <w:t xml:space="preserve"> </w:t>
      </w:r>
      <w:r>
        <w:t xml:space="preserve">for </w:t>
      </w:r>
      <w:r w:rsidRPr="00816FC2">
        <w:t>conflict sensitivity</w:t>
      </w:r>
      <w:r>
        <w:t xml:space="preserve"> on the basis of well-developed knowledge of the human terrain</w:t>
      </w:r>
      <w:r w:rsidRPr="00816FC2">
        <w:t xml:space="preserve">. In Scenario 2, review programme engagements in Iraq with other donors. It </w:t>
      </w:r>
      <w:r>
        <w:t xml:space="preserve">may </w:t>
      </w:r>
      <w:r w:rsidRPr="00816FC2">
        <w:t xml:space="preserve">be necessary to halt or </w:t>
      </w:r>
      <w:r>
        <w:t>suspend activities depending up</w:t>
      </w:r>
      <w:r w:rsidRPr="00816FC2">
        <w:t>on the extent of the security and political risks</w:t>
      </w:r>
      <w:r w:rsidR="00BD75C0">
        <w:t xml:space="preserve"> associated with diminishing control over territory</w:t>
      </w:r>
      <w:r w:rsidRPr="00816FC2">
        <w:t>.</w:t>
      </w:r>
    </w:p>
    <w:p w:rsidR="00BF5AC3" w:rsidRPr="00816FC2" w:rsidRDefault="00BF5AC3" w:rsidP="00EC28DE">
      <w:pPr>
        <w:pStyle w:val="Overskrift4"/>
        <w:ind w:left="360" w:hanging="360"/>
      </w:pPr>
      <w:r w:rsidRPr="00816FC2">
        <w:t>Scenario 3 – Government makes gains against Da’esh and reforms</w:t>
      </w:r>
    </w:p>
    <w:p w:rsidR="00BF5AC3" w:rsidRPr="00FC51DE" w:rsidRDefault="00EC28DE" w:rsidP="00FC51DE">
      <w:pPr>
        <w:rPr>
          <w:i/>
          <w:iCs/>
        </w:rPr>
      </w:pPr>
      <w:r>
        <w:rPr>
          <w:i/>
          <w:iCs/>
        </w:rPr>
        <w:t>In the progressive s</w:t>
      </w:r>
      <w:r w:rsidR="00BF5AC3" w:rsidRPr="00FC51DE">
        <w:rPr>
          <w:i/>
          <w:iCs/>
        </w:rPr>
        <w:t xml:space="preserve">cenario 3, Da’esh </w:t>
      </w:r>
      <w:r>
        <w:rPr>
          <w:i/>
          <w:iCs/>
        </w:rPr>
        <w:t>is further pushed back and the G</w:t>
      </w:r>
      <w:r w:rsidR="00BF5AC3" w:rsidRPr="00FC51DE">
        <w:rPr>
          <w:i/>
          <w:iCs/>
        </w:rPr>
        <w:t xml:space="preserve">overnment stabilises and makes reforms. </w:t>
      </w:r>
      <w:r w:rsidR="0064001F">
        <w:rPr>
          <w:i/>
          <w:iCs/>
        </w:rPr>
        <w:t>While not a risk, this development requires concrete responses by the programme.</w:t>
      </w:r>
    </w:p>
    <w:p w:rsidR="00BF5AC3" w:rsidRPr="00816FC2" w:rsidRDefault="00BF5AC3" w:rsidP="00BF5AC3">
      <w:pPr>
        <w:ind w:left="284"/>
      </w:pPr>
      <w:r w:rsidRPr="00816FC2">
        <w:rPr>
          <w:b/>
          <w:bCs/>
        </w:rPr>
        <w:t xml:space="preserve">Impact: </w:t>
      </w:r>
      <w:r w:rsidRPr="00816FC2">
        <w:t xml:space="preserve">The effect of this on the programme will be to open up opportunities for greater Iraqi buy-in and faster progress on improving governance and immediate stabilisation issues. </w:t>
      </w:r>
    </w:p>
    <w:p w:rsidR="00BF5AC3" w:rsidRPr="007F2463" w:rsidRDefault="00BF5AC3" w:rsidP="00FC51DE">
      <w:pPr>
        <w:ind w:left="284"/>
        <w:rPr>
          <w:lang w:eastAsia="da-DK"/>
        </w:rPr>
      </w:pPr>
      <w:r w:rsidRPr="00816FC2">
        <w:rPr>
          <w:b/>
          <w:bCs/>
        </w:rPr>
        <w:t xml:space="preserve">Response: </w:t>
      </w:r>
      <w:r w:rsidRPr="00816FC2">
        <w:t>Capitalise on appetite to reform by supporting governance programmes (such as SSR) as well as FFIS and mine action, which will remain relevant in view of the extent of the needs.</w:t>
      </w:r>
      <w:r w:rsidR="001E27D7">
        <w:t xml:space="preserve"> Ensure that there is full GoI buy-in and leadership, thereby increasing its de facto legitimacy.</w:t>
      </w:r>
    </w:p>
    <w:p w:rsidR="003252FA" w:rsidRPr="003252FA" w:rsidRDefault="003252FA" w:rsidP="007F2463"/>
    <w:p w:rsidR="001B4911" w:rsidRPr="007F2463" w:rsidRDefault="000558DC" w:rsidP="007B2E4E">
      <w:pPr>
        <w:pStyle w:val="Overskrift1"/>
        <w:numPr>
          <w:ilvl w:val="0"/>
          <w:numId w:val="0"/>
        </w:numPr>
        <w:rPr>
          <w:lang w:val="en-GB"/>
        </w:rPr>
      </w:pPr>
      <w:bookmarkStart w:id="65" w:name="_Toc452641861"/>
      <w:bookmarkStart w:id="66" w:name="_Toc452641923"/>
      <w:bookmarkStart w:id="67" w:name="_Toc379709597"/>
      <w:bookmarkStart w:id="68" w:name="_Toc319956214"/>
      <w:bookmarkStart w:id="69" w:name="_Toc446332491"/>
      <w:bookmarkStart w:id="70" w:name="_Toc332370529"/>
      <w:bookmarkEnd w:id="65"/>
      <w:bookmarkEnd w:id="66"/>
      <w:bookmarkEnd w:id="67"/>
      <w:r w:rsidRPr="007F2463">
        <w:rPr>
          <w:lang w:val="en-GB"/>
        </w:rPr>
        <w:lastRenderedPageBreak/>
        <w:t>Annex A</w:t>
      </w:r>
      <w:r w:rsidR="001B4911" w:rsidRPr="007F2463">
        <w:rPr>
          <w:lang w:val="en-GB"/>
        </w:rPr>
        <w:t xml:space="preserve"> – Denmark’s contribution to Syria and Iraq</w:t>
      </w:r>
      <w:bookmarkEnd w:id="68"/>
      <w:bookmarkEnd w:id="69"/>
      <w:bookmarkEnd w:id="70"/>
    </w:p>
    <w:p w:rsidR="001B4911" w:rsidRPr="00816FC2" w:rsidRDefault="001B4911" w:rsidP="005512DC">
      <w:pPr>
        <w:rPr>
          <w:b/>
        </w:rPr>
      </w:pPr>
      <w:bookmarkStart w:id="71" w:name="_Toc446332492"/>
      <w:r w:rsidRPr="00816FC2">
        <w:rPr>
          <w:b/>
        </w:rPr>
        <w:t>International policy fora</w:t>
      </w:r>
      <w:bookmarkEnd w:id="71"/>
    </w:p>
    <w:p w:rsidR="001B4911" w:rsidRPr="00816FC2" w:rsidRDefault="001B4911" w:rsidP="001B4911">
      <w:r w:rsidRPr="00816FC2">
        <w:t xml:space="preserve">Denmark participates actively in the international policy fora that have been established in relation to the fight against Da’esh and other forms of support to Syria and Iraq. This includes the </w:t>
      </w:r>
      <w:r w:rsidRPr="00816FC2">
        <w:rPr>
          <w:u w:val="single"/>
        </w:rPr>
        <w:t>Global Coalition</w:t>
      </w:r>
      <w:r w:rsidRPr="00816FC2">
        <w:t xml:space="preserve"> (see Annex B). Denmark participates in Coalition working groups at the political and technical level, including the Working Group on Stabilisation (WGS). Danish representatives also participate in coordination meetings amongst donors in Baghdad whenever possible. </w:t>
      </w:r>
    </w:p>
    <w:p w:rsidR="008770FD" w:rsidRPr="00816FC2" w:rsidRDefault="001B4911" w:rsidP="005512DC">
      <w:pPr>
        <w:rPr>
          <w:b/>
        </w:rPr>
      </w:pPr>
      <w:r w:rsidRPr="00816FC2">
        <w:rPr>
          <w:color w:val="auto"/>
        </w:rPr>
        <w:t>With regard to Syria, Denmark follows closely the UN-led peace process under Special Envoy</w:t>
      </w:r>
      <w:r w:rsidRPr="00816FC2">
        <w:t xml:space="preserve"> Staffan de Mistura as well as the International Syria Support Group (ISSG). Denmark belongs to a core group of countries engaged in stabilization in Syria, which include the UK, the USA and the Netherlands, who informally coordinate their efforts. In addition, Denmark is engaged with the activities of the Syria Recovery Trust Fund that seeks to pool and coordinate relief and recovery efforts among a broad group of donors committed to supporting opposition-held areas. Denmark is also involved in the on</w:t>
      </w:r>
      <w:r w:rsidR="00A42C80">
        <w:t>-</w:t>
      </w:r>
      <w:r w:rsidRPr="00816FC2">
        <w:t>going efforts - as a part of the London Conference follow-up - to strengthen coordination among international donor countries and UN agencies working on Syria.</w:t>
      </w:r>
      <w:bookmarkStart w:id="72" w:name="_Toc446332493"/>
    </w:p>
    <w:p w:rsidR="001B4911" w:rsidRPr="00816FC2" w:rsidRDefault="001B4911" w:rsidP="005512DC">
      <w:pPr>
        <w:rPr>
          <w:b/>
        </w:rPr>
      </w:pPr>
      <w:r w:rsidRPr="00816FC2">
        <w:rPr>
          <w:b/>
        </w:rPr>
        <w:t>Military contribution</w:t>
      </w:r>
      <w:bookmarkEnd w:id="72"/>
    </w:p>
    <w:p w:rsidR="001B4911" w:rsidRPr="00816FC2" w:rsidRDefault="001B4911" w:rsidP="001B4911">
      <w:r w:rsidRPr="00816FC2">
        <w:t xml:space="preserve">Denmark’s current and past </w:t>
      </w:r>
      <w:r w:rsidRPr="00816FC2">
        <w:rPr>
          <w:b/>
        </w:rPr>
        <w:t>military</w:t>
      </w:r>
      <w:r w:rsidRPr="00816FC2">
        <w:t xml:space="preserve"> contributions to the Coalition have included F-16 fighter aircraft (for use against ISIL/Da’esh over Iraq), staff contributions, training and capacity development, a C-130</w:t>
      </w:r>
      <w:r w:rsidR="008E7086" w:rsidRPr="00816FC2">
        <w:t>J</w:t>
      </w:r>
      <w:r w:rsidRPr="00816FC2">
        <w:t xml:space="preserve"> transport aircraft and support staff, a radar unit and support staff, and support from the Danish Emergency Management Agency. The </w:t>
      </w:r>
      <w:r w:rsidR="008E7086" w:rsidRPr="00816FC2">
        <w:t xml:space="preserve">Building Partner Capacity (BCP) </w:t>
      </w:r>
      <w:r w:rsidRPr="00816FC2">
        <w:t xml:space="preserve">contribution is stationed at Al Asad airbase in Iraq and has so far trained over </w:t>
      </w:r>
      <w:r w:rsidR="008E7086" w:rsidRPr="00816FC2">
        <w:t>4600</w:t>
      </w:r>
      <w:r w:rsidRPr="00816FC2">
        <w:t xml:space="preserve"> Iraqi soldiers in basic infantry tactics, counter-IED and international humanitarian law. Danish military personnel have previously also contributed to training around 600 Kurdish Pershmerga forces</w:t>
      </w:r>
      <w:r w:rsidR="008E7086" w:rsidRPr="00816FC2">
        <w:t xml:space="preserve"> in northern Iraq.</w:t>
      </w:r>
    </w:p>
    <w:p w:rsidR="001B4911" w:rsidRPr="00816FC2" w:rsidRDefault="001B4911" w:rsidP="001B4911">
      <w:r w:rsidRPr="00816FC2">
        <w:t xml:space="preserve">In early March 2016, the </w:t>
      </w:r>
      <w:r w:rsidR="008E7086" w:rsidRPr="00816FC2">
        <w:t xml:space="preserve">Danish </w:t>
      </w:r>
      <w:r w:rsidRPr="00816FC2">
        <w:t xml:space="preserve">Government announced its intention to redeploy F-16 fighter aircraft for offensive as well as surveillance missions against Da’esh over both Syria and Iraq from mid-2016. The deployment will be accompanied by support personnel. In addition, Denmark will deploy </w:t>
      </w:r>
      <w:r w:rsidR="00730A2A" w:rsidRPr="00816FC2">
        <w:t xml:space="preserve">a contingent comprising </w:t>
      </w:r>
      <w:r w:rsidRPr="00816FC2">
        <w:t>special operations forces for operations in both countries according to the situation, consent and Coalition specific requirements. Initial tasks will include to train, advise and assist</w:t>
      </w:r>
      <w:r w:rsidR="00730A2A" w:rsidRPr="00816FC2">
        <w:t xml:space="preserve"> selected</w:t>
      </w:r>
      <w:r w:rsidRPr="00816FC2">
        <w:t xml:space="preserve"> Iraqi Forces. Denmark will also contribute a C130J transport aircraft for special operation air transport tasks</w:t>
      </w:r>
      <w:r w:rsidR="00730A2A" w:rsidRPr="00816FC2">
        <w:t xml:space="preserve"> in Iraq and Syria</w:t>
      </w:r>
      <w:r w:rsidRPr="00816FC2">
        <w:t>.</w:t>
      </w:r>
    </w:p>
    <w:p w:rsidR="001B4911" w:rsidRPr="00816FC2" w:rsidRDefault="001B4911" w:rsidP="005512DC">
      <w:pPr>
        <w:rPr>
          <w:b/>
        </w:rPr>
      </w:pPr>
      <w:bookmarkStart w:id="73" w:name="_Toc446332494"/>
      <w:r w:rsidRPr="00816FC2">
        <w:rPr>
          <w:b/>
        </w:rPr>
        <w:t>Stabilisation and other civilian programmes</w:t>
      </w:r>
      <w:bookmarkEnd w:id="73"/>
    </w:p>
    <w:p w:rsidR="001B4911" w:rsidRPr="00816FC2" w:rsidRDefault="001B4911" w:rsidP="001B4911">
      <w:r w:rsidRPr="00816FC2">
        <w:t xml:space="preserve">Denmark has provided non-humanitarian support to help opposition actors in Syria since 2012. In 2014, it launched a transition programme for Syria to help advance democratic transition with a clear principle being the provision of support to the Syrian Interim Government and Syrian Opposition Coalition.  With further changes in Syria, Danish priorities subsequently shifted to focus on the stabilization needs in opposition-held territory and the need to provide basic protection to local populations. This was reflected in the development of the Syria stabilization programme in 2015. This channels DDK 100M to support basic living necessities in local, opposition controlled areas, which will increase the communities ability to resist extremist influence. </w:t>
      </w:r>
    </w:p>
    <w:p w:rsidR="001B4911" w:rsidRPr="00816FC2" w:rsidRDefault="001B4911" w:rsidP="001B4911">
      <w:r w:rsidRPr="00816FC2">
        <w:t>In late 2015, a parallel one-year stabilization programme for Iraq was also launched through which DKK 32.5M will contribute to stabilizing Iraqi areas liberated from ISIL, to security sector reform, to strengthening participatory governance, and to independent media.</w:t>
      </w:r>
    </w:p>
    <w:p w:rsidR="001B4911" w:rsidRPr="00816FC2" w:rsidRDefault="001B4911" w:rsidP="001B4911">
      <w:pPr>
        <w:pStyle w:val="Default"/>
        <w:jc w:val="both"/>
        <w:rPr>
          <w:rFonts w:cs="Arial"/>
          <w:color w:val="auto"/>
          <w:lang w:val="en-GB"/>
        </w:rPr>
      </w:pPr>
      <w:r w:rsidRPr="00816FC2">
        <w:rPr>
          <w:rFonts w:cs="Arial"/>
          <w:color w:val="auto"/>
          <w:lang w:val="en-GB"/>
        </w:rPr>
        <w:t>Other Danish support is provided to de-mining, to counter extremism, and to police training and advice:</w:t>
      </w:r>
    </w:p>
    <w:p w:rsidR="0060023A" w:rsidRPr="00816FC2" w:rsidRDefault="001B4911" w:rsidP="0010399D">
      <w:pPr>
        <w:pStyle w:val="Default"/>
        <w:widowControl w:val="0"/>
        <w:numPr>
          <w:ilvl w:val="0"/>
          <w:numId w:val="23"/>
        </w:numPr>
        <w:jc w:val="both"/>
        <w:rPr>
          <w:color w:val="auto"/>
          <w:lang w:val="en-GB"/>
        </w:rPr>
      </w:pPr>
      <w:r w:rsidRPr="00816FC2">
        <w:rPr>
          <w:color w:val="auto"/>
          <w:lang w:val="en-GB"/>
        </w:rPr>
        <w:t xml:space="preserve">Denmark is the single largest contributor to the UN demining agency - UNMAS. Denmark </w:t>
      </w:r>
      <w:r w:rsidR="00BD5F80">
        <w:rPr>
          <w:color w:val="auto"/>
          <w:lang w:val="en-GB"/>
        </w:rPr>
        <w:t>has given a total of 30 M DKK to support UNMAS in 2015-2016 focussing on activities in Syria and Iraq.</w:t>
      </w:r>
      <w:r w:rsidRPr="00816FC2">
        <w:rPr>
          <w:color w:val="auto"/>
          <w:lang w:val="en-GB"/>
        </w:rPr>
        <w:t xml:space="preserve"> </w:t>
      </w:r>
    </w:p>
    <w:p w:rsidR="001B4911" w:rsidRDefault="001B4911" w:rsidP="0010399D">
      <w:pPr>
        <w:pStyle w:val="Default"/>
        <w:widowControl w:val="0"/>
        <w:numPr>
          <w:ilvl w:val="0"/>
          <w:numId w:val="23"/>
        </w:numPr>
        <w:jc w:val="both"/>
        <w:rPr>
          <w:lang w:val="en-GB"/>
        </w:rPr>
      </w:pPr>
      <w:r w:rsidRPr="00816FC2">
        <w:rPr>
          <w:lang w:val="en-GB"/>
        </w:rPr>
        <w:t xml:space="preserve">In February 2016, it was further decided to allocate DKK 28.5 million to the Coalition’s work </w:t>
      </w:r>
      <w:r w:rsidRPr="00816FC2">
        <w:rPr>
          <w:lang w:val="en-GB"/>
        </w:rPr>
        <w:lastRenderedPageBreak/>
        <w:t xml:space="preserve">on combating the inflow of foreign fighters, preventing extremism, stemming Da’esh’s money flow (where high level Danish expertise will be provided) and counteracting its propaganda, including a specific allocation to countering on-line propaganda.  </w:t>
      </w:r>
    </w:p>
    <w:p w:rsidR="00A42C80" w:rsidRPr="00816FC2" w:rsidRDefault="00A42C80" w:rsidP="00A42C80">
      <w:pPr>
        <w:pStyle w:val="Default"/>
        <w:widowControl w:val="0"/>
        <w:ind w:left="720"/>
        <w:jc w:val="both"/>
        <w:rPr>
          <w:lang w:val="en-GB"/>
        </w:rPr>
      </w:pPr>
    </w:p>
    <w:p w:rsidR="008770FD" w:rsidRPr="00816FC2" w:rsidRDefault="001B4911" w:rsidP="005512DC">
      <w:pPr>
        <w:rPr>
          <w:b/>
        </w:rPr>
      </w:pPr>
      <w:r w:rsidRPr="00816FC2">
        <w:rPr>
          <w:color w:val="auto"/>
        </w:rPr>
        <w:t>Denmark is looking into deploying police capabilities to Iraq to support police leadership training programmes, where Denmark has specific experience and expertise from other similar missions. In addition, Denmark will deploy a senior strategic police advisor to Baghdad to strengthen training of Iraqi police and the long-term strategic efforts to reform the Iraqi police- and security sector.  The latter offers synergies with Danish support to SSR provided through the 2015 stabilisation programme.</w:t>
      </w:r>
      <w:bookmarkStart w:id="74" w:name="_Toc446332495"/>
    </w:p>
    <w:p w:rsidR="001B4911" w:rsidRPr="00816FC2" w:rsidRDefault="001B4911" w:rsidP="005512DC">
      <w:pPr>
        <w:rPr>
          <w:b/>
        </w:rPr>
      </w:pPr>
      <w:r w:rsidRPr="00816FC2">
        <w:rPr>
          <w:b/>
        </w:rPr>
        <w:t>Humanitarian contribution</w:t>
      </w:r>
      <w:bookmarkEnd w:id="74"/>
    </w:p>
    <w:p w:rsidR="001B4911" w:rsidRPr="00816FC2" w:rsidRDefault="001B4911" w:rsidP="001B4911">
      <w:r w:rsidRPr="00816FC2">
        <w:t xml:space="preserve">Denmark makes a substantial contribution to the humanitarian crisis caused by Da’esh and the other conflicts in Syria and Iraq. The humanitarian assistance is </w:t>
      </w:r>
      <w:r w:rsidR="00BD5F80">
        <w:t>provided separately</w:t>
      </w:r>
      <w:r w:rsidR="00BD5F80" w:rsidRPr="00816FC2">
        <w:t xml:space="preserve"> </w:t>
      </w:r>
      <w:r w:rsidR="00BD5F80">
        <w:t xml:space="preserve">in </w:t>
      </w:r>
      <w:r w:rsidRPr="00816FC2">
        <w:t xml:space="preserve">addition to the contribution to countering Da’esh and to the stabilisation support. Since the start of the Syrian conflict, this has amounted to DKK 1,4 </w:t>
      </w:r>
      <w:r w:rsidR="00BD5F80" w:rsidRPr="00816FC2">
        <w:t>B</w:t>
      </w:r>
      <w:r w:rsidR="00BD5F80">
        <w:t>N</w:t>
      </w:r>
      <w:r w:rsidRPr="00816FC2">
        <w:t xml:space="preserve">. The support is provided through a range of strategic partnerships with Danish NGOs and UN agencies and in relation to support to countries in the region to assist them to receive refugees, including Lebanon, Jordan, Iraq and Turkey. In relation to the international humanitarian cooperation, Denmark is lead nation for the three year European Regional Development and Protection Programme (RDPP), 2014-2017 that seeks to promote protection and strengthen livelihoods for refugees and host communities in Lebanon, Jordan and northern Iraq – and is fully in line with the London Conference’s goal regarding linkages between humanitarian assistance and more long-term development. The Danish contribution is DKK 175M and includes participation from the EC, UK, Ireland, Netherlands, Norway, Switzerland and the Czech Republic. Also within a regional framework, Denmark has contributed DKK 75M to the EU’s regional trust fund for the Syria crisis (the Madad fund), which provides Syria’s neighbours with support in the areas of education, child protection, health, water, and livelihoods. Finally, since 2014 Denmark has been one of the co-chairs for the global “Solutions Alliance” that seeks solutions to the refugee crisis through linkages between development actors, the private sector, host governments and other actors. </w:t>
      </w:r>
    </w:p>
    <w:p w:rsidR="001B4911" w:rsidRPr="00816FC2" w:rsidRDefault="001B4911" w:rsidP="007A5167"/>
    <w:sectPr w:rsidR="001B4911" w:rsidRPr="00816FC2" w:rsidSect="001E38E3">
      <w:type w:val="continuous"/>
      <w:pgSz w:w="11900" w:h="16840"/>
      <w:pgMar w:top="1276" w:right="1134" w:bottom="99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C6" w:rsidRDefault="00E827C6" w:rsidP="0080400C">
      <w:r>
        <w:separator/>
      </w:r>
    </w:p>
    <w:p w:rsidR="00E827C6" w:rsidRDefault="00E827C6" w:rsidP="0080400C"/>
  </w:endnote>
  <w:endnote w:type="continuationSeparator" w:id="0">
    <w:p w:rsidR="00E827C6" w:rsidRDefault="00E827C6" w:rsidP="0080400C">
      <w:r>
        <w:continuationSeparator/>
      </w:r>
    </w:p>
    <w:p w:rsidR="00E827C6" w:rsidRDefault="00E827C6" w:rsidP="0080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etaBold">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0D" w:rsidRDefault="002B220D" w:rsidP="001E38E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B220D" w:rsidRDefault="002B220D" w:rsidP="00B306EE">
    <w:pPr>
      <w:pStyle w:val="Sidefod"/>
      <w:ind w:right="360"/>
      <w:rPr>
        <w:rStyle w:val="Sidetal"/>
      </w:rPr>
    </w:pPr>
  </w:p>
  <w:p w:rsidR="002B220D" w:rsidRDefault="002B220D" w:rsidP="0080400C">
    <w:pPr>
      <w:pStyle w:val="Sidefod"/>
    </w:pPr>
  </w:p>
  <w:p w:rsidR="002B220D" w:rsidRDefault="002B220D" w:rsidP="008040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0D" w:rsidRDefault="002B220D" w:rsidP="001E38E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F543B">
      <w:rPr>
        <w:rStyle w:val="Sidetal"/>
        <w:noProof/>
      </w:rPr>
      <w:t>ii</w:t>
    </w:r>
    <w:r>
      <w:rPr>
        <w:rStyle w:val="Sidetal"/>
      </w:rPr>
      <w:fldChar w:fldCharType="end"/>
    </w:r>
  </w:p>
  <w:p w:rsidR="002B220D" w:rsidRDefault="002B220D" w:rsidP="001E38E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0D" w:rsidRDefault="002B220D" w:rsidP="00C03F7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F543B">
      <w:rPr>
        <w:rStyle w:val="Sidetal"/>
        <w:noProof/>
      </w:rPr>
      <w:t>i</w:t>
    </w:r>
    <w:r>
      <w:rPr>
        <w:rStyle w:val="Sidetal"/>
      </w:rPr>
      <w:fldChar w:fldCharType="end"/>
    </w:r>
  </w:p>
  <w:p w:rsidR="002B220D" w:rsidRDefault="002B220D" w:rsidP="00DC00A4">
    <w:pPr>
      <w:pStyle w:val="Sidefo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C6" w:rsidRDefault="00E827C6" w:rsidP="0080400C">
      <w:r>
        <w:separator/>
      </w:r>
    </w:p>
    <w:p w:rsidR="00E827C6" w:rsidRDefault="00E827C6" w:rsidP="0080400C"/>
  </w:footnote>
  <w:footnote w:type="continuationSeparator" w:id="0">
    <w:p w:rsidR="00E827C6" w:rsidRDefault="00E827C6" w:rsidP="0080400C">
      <w:r>
        <w:continuationSeparator/>
      </w:r>
    </w:p>
    <w:p w:rsidR="00E827C6" w:rsidRDefault="00E827C6" w:rsidP="0080400C"/>
  </w:footnote>
  <w:footnote w:id="1">
    <w:p w:rsidR="002B220D" w:rsidRPr="00C04B77" w:rsidRDefault="002B220D" w:rsidP="0080400C">
      <w:pPr>
        <w:pStyle w:val="Kommentartekst"/>
      </w:pPr>
      <w:r w:rsidRPr="00CD5F62">
        <w:rPr>
          <w:rStyle w:val="Fodnotehenvisning"/>
          <w:rFonts w:ascii="Garamond" w:hAnsi="Garamond"/>
          <w:sz w:val="20"/>
        </w:rPr>
        <w:footnoteRef/>
      </w:r>
      <w:r w:rsidRPr="00C04B77">
        <w:t xml:space="preserve"> Please note that in this document, Da’esh is used throughout to refer to the Islamic State also known as ISIS (Islamic State of Iraq and Syria) and </w:t>
      </w:r>
      <w:r w:rsidRPr="00C04B77">
        <w:rPr>
          <w:i/>
        </w:rPr>
        <w:t>ISIL</w:t>
      </w:r>
      <w:r w:rsidRPr="00C04B77">
        <w:t>.</w:t>
      </w:r>
    </w:p>
  </w:footnote>
  <w:footnote w:id="2">
    <w:p w:rsidR="002B220D" w:rsidRPr="007F2463" w:rsidRDefault="002B220D" w:rsidP="004F3430">
      <w:pPr>
        <w:pStyle w:val="Fodnotetekst"/>
        <w:rPr>
          <w:lang w:val="en-GB"/>
        </w:rPr>
      </w:pPr>
      <w:r w:rsidRPr="00DA0AD2">
        <w:rPr>
          <w:rStyle w:val="Fodnotehenvisning"/>
          <w:rFonts w:ascii="Garamond" w:hAnsi="Garamond"/>
          <w:sz w:val="20"/>
        </w:rPr>
        <w:footnoteRef/>
      </w:r>
      <w:r w:rsidRPr="007F2463">
        <w:rPr>
          <w:lang w:val="en-GB"/>
        </w:rPr>
        <w:t xml:space="preserve"> Other terms for the SOC include the National Coalition (NC) and Etilaf. In this document the term SOC is used throughout.</w:t>
      </w:r>
    </w:p>
  </w:footnote>
  <w:footnote w:id="3">
    <w:p w:rsidR="002B220D" w:rsidRPr="007F2463" w:rsidRDefault="002B220D" w:rsidP="004F3430">
      <w:pPr>
        <w:pStyle w:val="Fodnotetekst"/>
        <w:rPr>
          <w:lang w:val="en-GB"/>
        </w:rPr>
      </w:pPr>
      <w:r w:rsidRPr="00DA0AD2">
        <w:rPr>
          <w:rStyle w:val="Fodnotehenvisning"/>
          <w:rFonts w:ascii="Garamond" w:hAnsi="Garamond"/>
          <w:sz w:val="20"/>
        </w:rPr>
        <w:footnoteRef/>
      </w:r>
      <w:r w:rsidRPr="007F2463">
        <w:rPr>
          <w:lang w:val="en-GB"/>
        </w:rPr>
        <w:t xml:space="preserve"> Focused on the introduction and promotion of good governance in Syria by providing project grants to local communities.</w:t>
      </w:r>
    </w:p>
  </w:footnote>
  <w:footnote w:id="4">
    <w:p w:rsidR="002B220D" w:rsidRPr="007F2463" w:rsidRDefault="002B220D" w:rsidP="004F3430">
      <w:pPr>
        <w:pStyle w:val="Fodnotetekst"/>
        <w:rPr>
          <w:lang w:val="en-GB"/>
        </w:rPr>
      </w:pPr>
      <w:r w:rsidRPr="00F32DAB">
        <w:rPr>
          <w:rStyle w:val="Fodnotehenvisning"/>
          <w:rFonts w:ascii="Garamond" w:hAnsi="Garamond"/>
          <w:sz w:val="20"/>
        </w:rPr>
        <w:footnoteRef/>
      </w:r>
      <w:r w:rsidRPr="007F2463">
        <w:rPr>
          <w:lang w:val="en-GB"/>
        </w:rPr>
        <w:t xml:space="preserve"> Supporting the unarmed Free Syrian Police and civil registries to enhance local resilience and promote an alternative model of security provision to that provided by JaN / regime forces.</w:t>
      </w:r>
    </w:p>
  </w:footnote>
  <w:footnote w:id="5">
    <w:p w:rsidR="002B220D" w:rsidRPr="007F2463" w:rsidRDefault="002B220D" w:rsidP="004F3430">
      <w:pPr>
        <w:pStyle w:val="Fodnotetekst"/>
        <w:rPr>
          <w:lang w:val="en-GB"/>
        </w:rPr>
      </w:pPr>
      <w:r w:rsidRPr="00F32DAB">
        <w:rPr>
          <w:rStyle w:val="Fodnotehenvisning"/>
          <w:rFonts w:ascii="Garamond" w:hAnsi="Garamond"/>
          <w:sz w:val="20"/>
        </w:rPr>
        <w:footnoteRef/>
      </w:r>
      <w:r w:rsidRPr="007F2463">
        <w:rPr>
          <w:lang w:val="en-GB"/>
        </w:rPr>
        <w:t xml:space="preserve"> Enabling local communities to organise and respond to airstrikes and other emergencies.</w:t>
      </w:r>
    </w:p>
  </w:footnote>
  <w:footnote w:id="6">
    <w:p w:rsidR="002B220D" w:rsidRPr="007F2463" w:rsidRDefault="002B220D" w:rsidP="004F3430">
      <w:pPr>
        <w:pStyle w:val="Fodnotetekst"/>
        <w:rPr>
          <w:lang w:val="en-GB"/>
        </w:rPr>
      </w:pPr>
      <w:r w:rsidRPr="00F32DAB">
        <w:rPr>
          <w:rStyle w:val="Fodnotehenvisning"/>
          <w:rFonts w:ascii="Garamond" w:hAnsi="Garamond"/>
          <w:sz w:val="20"/>
        </w:rPr>
        <w:footnoteRef/>
      </w:r>
      <w:r w:rsidRPr="007F2463">
        <w:rPr>
          <w:lang w:val="en-GB"/>
        </w:rPr>
        <w:t xml:space="preserve"> Providing essential infrastructure and other support that helps build the resilience of communities.</w:t>
      </w:r>
    </w:p>
  </w:footnote>
  <w:footnote w:id="7">
    <w:p w:rsidR="002B220D" w:rsidRPr="007F2463" w:rsidRDefault="002B220D" w:rsidP="004F3430">
      <w:pPr>
        <w:pStyle w:val="Fodnotetekst"/>
        <w:rPr>
          <w:lang w:val="en-GB"/>
        </w:rPr>
      </w:pPr>
      <w:r w:rsidRPr="00CB03F8">
        <w:rPr>
          <w:rStyle w:val="Fodnotehenvisning"/>
          <w:rFonts w:ascii="Garamond" w:hAnsi="Garamond"/>
          <w:sz w:val="20"/>
        </w:rPr>
        <w:footnoteRef/>
      </w:r>
      <w:r w:rsidRPr="007F2463">
        <w:rPr>
          <w:lang w:val="en-GB"/>
        </w:rPr>
        <w:t xml:space="preserve"> Other instruments include UNSCR 2199(2015) concerning the need to stem the financing of Da’esh and other designated terrorist organisations (DTOs) in Syria and Iraq, and the UN General Assembly’s 2015 Plan of Action to Prevent Violent Extremism.</w:t>
      </w:r>
    </w:p>
  </w:footnote>
  <w:footnote w:id="8">
    <w:p w:rsidR="002B220D" w:rsidRPr="007F2463" w:rsidRDefault="002B220D" w:rsidP="004F3430">
      <w:pPr>
        <w:pStyle w:val="Fodnotetekst"/>
        <w:rPr>
          <w:lang w:val="en-GB"/>
        </w:rPr>
      </w:pPr>
      <w:r w:rsidRPr="00CB03F8">
        <w:rPr>
          <w:rStyle w:val="Fodnotehenvisning"/>
          <w:rFonts w:ascii="Garamond" w:hAnsi="Garamond"/>
          <w:sz w:val="20"/>
        </w:rPr>
        <w:footnoteRef/>
      </w:r>
      <w:r w:rsidRPr="007F2463">
        <w:rPr>
          <w:lang w:val="en-GB"/>
        </w:rPr>
        <w:t xml:space="preserve"> July 2015 Action Plan. The EU’s regional strategy for Syria and Iraq (of March 2015) emphasises the importance of stabilisation measures geared towards lasting stability in Syria and Iraq, and the importance of synergy between EU member states at the political and operational levels within the overall framework provided by recent UNSCRs. On 29 February 2016, the Stabilisation Working Group reinforced the Coalition’s supporting role to the Iraqi Government.</w:t>
      </w:r>
    </w:p>
  </w:footnote>
  <w:footnote w:id="9">
    <w:p w:rsidR="002B220D" w:rsidRPr="007F2463" w:rsidRDefault="002B220D" w:rsidP="004F3430">
      <w:pPr>
        <w:pStyle w:val="Fodnotetekst"/>
        <w:rPr>
          <w:lang w:val="en-GB"/>
        </w:rPr>
      </w:pPr>
      <w:r w:rsidRPr="004F3430">
        <w:rPr>
          <w:rStyle w:val="Fodnotehenvisning"/>
          <w:rFonts w:ascii="Garamond" w:hAnsi="Garamond"/>
          <w:sz w:val="18"/>
        </w:rPr>
        <w:footnoteRef/>
      </w:r>
      <w:r w:rsidRPr="007F2463">
        <w:rPr>
          <w:lang w:val="en-GB"/>
        </w:rPr>
        <w:t xml:space="preserve"> UNDP’s SSR programme in Iraq is included here for the sake of completeness. Currently funded under the Iraq stabilisation programme until August 2017, a possible extension will be considered during the 2017 MTR, as per para 5.3.3 below.</w:t>
      </w:r>
    </w:p>
  </w:footnote>
  <w:footnote w:id="10">
    <w:p w:rsidR="002B220D" w:rsidRPr="007F2463" w:rsidRDefault="002B220D" w:rsidP="004F3430">
      <w:pPr>
        <w:pStyle w:val="Fodnotetekst"/>
        <w:rPr>
          <w:lang w:val="en-GB"/>
        </w:rPr>
      </w:pPr>
      <w:r w:rsidRPr="00DA0AD2">
        <w:rPr>
          <w:rStyle w:val="Fodnotehenvisning"/>
          <w:rFonts w:ascii="Garamond" w:hAnsi="Garamond"/>
          <w:sz w:val="20"/>
        </w:rPr>
        <w:footnoteRef/>
      </w:r>
      <w:r w:rsidRPr="007F2463">
        <w:rPr>
          <w:lang w:val="en-GB"/>
        </w:rPr>
        <w:t xml:space="preserve"> Baytna’s thematic priorities include women’s empowerment, community engagement, media, rights, governance and youth.  Grants provision is improving and field officers provide links with Syrian organisations and help strengthen proposals (main recipients are in Northern Syria). </w:t>
      </w:r>
    </w:p>
  </w:footnote>
  <w:footnote w:id="11">
    <w:p w:rsidR="002B220D" w:rsidRPr="007F2463" w:rsidRDefault="002B220D" w:rsidP="004F3430">
      <w:pPr>
        <w:pStyle w:val="Fodnotetekst"/>
        <w:rPr>
          <w:lang w:val="en-GB"/>
        </w:rPr>
      </w:pPr>
      <w:r w:rsidRPr="003F6A3C">
        <w:rPr>
          <w:rStyle w:val="Fodnotehenvisning"/>
          <w:rFonts w:ascii="Garamond" w:hAnsi="Garamond"/>
          <w:sz w:val="20"/>
        </w:rPr>
        <w:footnoteRef/>
      </w:r>
      <w:r w:rsidRPr="007F2463">
        <w:rPr>
          <w:lang w:val="en-GB"/>
        </w:rPr>
        <w:t xml:space="preserve"> Baytna’s Hub will continue to be based in Southern Turkey (Gaziantep) until such time as security conditions would enable its relocation into Syria.</w:t>
      </w:r>
    </w:p>
  </w:footnote>
  <w:footnote w:id="12">
    <w:p w:rsidR="002B220D" w:rsidRPr="007F2463" w:rsidRDefault="002B220D" w:rsidP="004F3430">
      <w:pPr>
        <w:pStyle w:val="Fodnotetekst"/>
        <w:rPr>
          <w:lang w:val="en-GB"/>
        </w:rPr>
      </w:pPr>
      <w:r w:rsidRPr="00DA0AD2">
        <w:rPr>
          <w:rStyle w:val="Fodnotehenvisning"/>
          <w:rFonts w:ascii="Garamond" w:hAnsi="Garamond"/>
          <w:sz w:val="20"/>
        </w:rPr>
        <w:footnoteRef/>
      </w:r>
      <w:r w:rsidRPr="007F2463">
        <w:rPr>
          <w:lang w:val="en-GB"/>
        </w:rPr>
        <w:t xml:space="preserve"> The programme pulled out from Latakia following the virtual takeover of the governorate by SAA forces.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D37"/>
    <w:multiLevelType w:val="multilevel"/>
    <w:tmpl w:val="AAC8672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055DC"/>
    <w:multiLevelType w:val="hybridMultilevel"/>
    <w:tmpl w:val="B3066CB2"/>
    <w:lvl w:ilvl="0" w:tplc="42A08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08B"/>
    <w:multiLevelType w:val="hybridMultilevel"/>
    <w:tmpl w:val="A8DC9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73967"/>
    <w:multiLevelType w:val="hybridMultilevel"/>
    <w:tmpl w:val="A5C88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0FDA"/>
    <w:multiLevelType w:val="hybridMultilevel"/>
    <w:tmpl w:val="C548D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4597"/>
    <w:multiLevelType w:val="hybridMultilevel"/>
    <w:tmpl w:val="794A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0133D"/>
    <w:multiLevelType w:val="multilevel"/>
    <w:tmpl w:val="42504F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730F49"/>
    <w:multiLevelType w:val="hybridMultilevel"/>
    <w:tmpl w:val="0A5CCF42"/>
    <w:lvl w:ilvl="0" w:tplc="04090017">
      <w:start w:val="1"/>
      <w:numFmt w:val="lowerLetter"/>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F744E"/>
    <w:multiLevelType w:val="hybridMultilevel"/>
    <w:tmpl w:val="483C9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D3C83"/>
    <w:multiLevelType w:val="multilevel"/>
    <w:tmpl w:val="42504F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B306AE"/>
    <w:multiLevelType w:val="multilevel"/>
    <w:tmpl w:val="B36847D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1B7518C2"/>
    <w:multiLevelType w:val="hybridMultilevel"/>
    <w:tmpl w:val="1B525E14"/>
    <w:lvl w:ilvl="0" w:tplc="0809000F">
      <w:start w:val="1"/>
      <w:numFmt w:val="decimal"/>
      <w:lvlText w:val="%1."/>
      <w:lvlJc w:val="left"/>
      <w:pPr>
        <w:ind w:left="720" w:hanging="360"/>
      </w:pPr>
      <w:rPr>
        <w:rFonts w:hint="default"/>
      </w:rPr>
    </w:lvl>
    <w:lvl w:ilvl="1" w:tplc="3E7A50E4">
      <w:start w:val="2"/>
      <w:numFmt w:val="bullet"/>
      <w:lvlText w:val="-"/>
      <w:lvlJc w:val="left"/>
      <w:pPr>
        <w:ind w:left="1440" w:hanging="360"/>
      </w:pPr>
      <w:rPr>
        <w:rFonts w:ascii="Garamond" w:eastAsiaTheme="minorEastAsia" w:hAnsi="Garamond"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A1C29"/>
    <w:multiLevelType w:val="multilevel"/>
    <w:tmpl w:val="5944F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CA408B"/>
    <w:multiLevelType w:val="hybridMultilevel"/>
    <w:tmpl w:val="AAC8672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C7BEC"/>
    <w:multiLevelType w:val="hybridMultilevel"/>
    <w:tmpl w:val="CBD2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33024"/>
    <w:multiLevelType w:val="hybridMultilevel"/>
    <w:tmpl w:val="1E8058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66946"/>
    <w:multiLevelType w:val="hybridMultilevel"/>
    <w:tmpl w:val="E9BECF30"/>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D6CF0"/>
    <w:multiLevelType w:val="hybridMultilevel"/>
    <w:tmpl w:val="0E94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A53AB"/>
    <w:multiLevelType w:val="hybridMultilevel"/>
    <w:tmpl w:val="1AC2E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72150"/>
    <w:multiLevelType w:val="hybridMultilevel"/>
    <w:tmpl w:val="714604EA"/>
    <w:lvl w:ilvl="0" w:tplc="30721366">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E4161B"/>
    <w:multiLevelType w:val="hybridMultilevel"/>
    <w:tmpl w:val="91B453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3654F2"/>
    <w:multiLevelType w:val="hybridMultilevel"/>
    <w:tmpl w:val="0B22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F32FC"/>
    <w:multiLevelType w:val="hybridMultilevel"/>
    <w:tmpl w:val="776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F7A"/>
    <w:multiLevelType w:val="hybridMultilevel"/>
    <w:tmpl w:val="CCA6B5BE"/>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318A4"/>
    <w:multiLevelType w:val="hybridMultilevel"/>
    <w:tmpl w:val="6D56F4FE"/>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B10A36"/>
    <w:multiLevelType w:val="multilevel"/>
    <w:tmpl w:val="87EC0E8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14A5940"/>
    <w:multiLevelType w:val="multilevel"/>
    <w:tmpl w:val="6B200A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2F6316"/>
    <w:multiLevelType w:val="hybridMultilevel"/>
    <w:tmpl w:val="308E031A"/>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5D3E63"/>
    <w:multiLevelType w:val="hybridMultilevel"/>
    <w:tmpl w:val="27847B74"/>
    <w:lvl w:ilvl="0" w:tplc="C05E7320">
      <w:numFmt w:val="bullet"/>
      <w:lvlText w:val="-"/>
      <w:lvlJc w:val="left"/>
      <w:pPr>
        <w:ind w:left="360" w:hanging="360"/>
      </w:pPr>
      <w:rPr>
        <w:rFonts w:ascii="Garamond" w:eastAsiaTheme="minorHAnsi" w:hAnsi="Garamond" w:cs="Garamond" w:hint="default"/>
        <w:b/>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A142E0"/>
    <w:multiLevelType w:val="hybridMultilevel"/>
    <w:tmpl w:val="A9D4A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D6765"/>
    <w:multiLevelType w:val="hybridMultilevel"/>
    <w:tmpl w:val="9434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7C58"/>
    <w:multiLevelType w:val="multilevel"/>
    <w:tmpl w:val="1E80586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261F93"/>
    <w:multiLevelType w:val="hybridMultilevel"/>
    <w:tmpl w:val="047ED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02483"/>
    <w:multiLevelType w:val="hybridMultilevel"/>
    <w:tmpl w:val="29F03CDE"/>
    <w:lvl w:ilvl="0" w:tplc="16869A90">
      <w:numFmt w:val="bullet"/>
      <w:lvlText w:val="-"/>
      <w:lvlJc w:val="left"/>
      <w:pPr>
        <w:ind w:left="720" w:hanging="360"/>
      </w:pPr>
      <w:rPr>
        <w:rFonts w:ascii="Garamond" w:eastAsiaTheme="minorHAnsi" w:hAnsi="Garamond" w:cs="Garamon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37407"/>
    <w:multiLevelType w:val="hybridMultilevel"/>
    <w:tmpl w:val="203C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541E5"/>
    <w:multiLevelType w:val="hybridMultilevel"/>
    <w:tmpl w:val="185036C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10B9C"/>
    <w:multiLevelType w:val="multilevel"/>
    <w:tmpl w:val="5D260A3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93948D7"/>
    <w:multiLevelType w:val="multilevel"/>
    <w:tmpl w:val="42504F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B2285E"/>
    <w:multiLevelType w:val="hybridMultilevel"/>
    <w:tmpl w:val="AEB2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736B"/>
    <w:multiLevelType w:val="hybridMultilevel"/>
    <w:tmpl w:val="42504F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5"/>
  </w:num>
  <w:num w:numId="4">
    <w:abstractNumId w:val="14"/>
  </w:num>
  <w:num w:numId="5">
    <w:abstractNumId w:val="17"/>
  </w:num>
  <w:num w:numId="6">
    <w:abstractNumId w:val="21"/>
  </w:num>
  <w:num w:numId="7">
    <w:abstractNumId w:val="3"/>
  </w:num>
  <w:num w:numId="8">
    <w:abstractNumId w:val="34"/>
  </w:num>
  <w:num w:numId="9">
    <w:abstractNumId w:val="4"/>
  </w:num>
  <w:num w:numId="10">
    <w:abstractNumId w:val="2"/>
  </w:num>
  <w:num w:numId="11">
    <w:abstractNumId w:val="12"/>
  </w:num>
  <w:num w:numId="12">
    <w:abstractNumId w:val="27"/>
  </w:num>
  <w:num w:numId="13">
    <w:abstractNumId w:val="15"/>
  </w:num>
  <w:num w:numId="14">
    <w:abstractNumId w:val="16"/>
  </w:num>
  <w:num w:numId="15">
    <w:abstractNumId w:val="31"/>
  </w:num>
  <w:num w:numId="16">
    <w:abstractNumId w:val="13"/>
  </w:num>
  <w:num w:numId="17">
    <w:abstractNumId w:val="0"/>
  </w:num>
  <w:num w:numId="18">
    <w:abstractNumId w:val="32"/>
  </w:num>
  <w:num w:numId="19">
    <w:abstractNumId w:val="1"/>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3"/>
  </w:num>
  <w:num w:numId="24">
    <w:abstractNumId w:val="22"/>
  </w:num>
  <w:num w:numId="25">
    <w:abstractNumId w:val="18"/>
  </w:num>
  <w:num w:numId="26">
    <w:abstractNumId w:val="12"/>
  </w:num>
  <w:num w:numId="27">
    <w:abstractNumId w:val="12"/>
  </w:num>
  <w:num w:numId="28">
    <w:abstractNumId w:val="12"/>
  </w:num>
  <w:num w:numId="29">
    <w:abstractNumId w:val="35"/>
  </w:num>
  <w:num w:numId="30">
    <w:abstractNumId w:val="12"/>
  </w:num>
  <w:num w:numId="31">
    <w:abstractNumId w:val="12"/>
  </w:num>
  <w:num w:numId="32">
    <w:abstractNumId w:val="12"/>
  </w:num>
  <w:num w:numId="33">
    <w:abstractNumId w:val="19"/>
  </w:num>
  <w:num w:numId="34">
    <w:abstractNumId w:val="11"/>
  </w:num>
  <w:num w:numId="35">
    <w:abstractNumId w:val="38"/>
  </w:num>
  <w:num w:numId="36">
    <w:abstractNumId w:val="10"/>
  </w:num>
  <w:num w:numId="37">
    <w:abstractNumId w:val="30"/>
  </w:num>
  <w:num w:numId="38">
    <w:abstractNumId w:val="23"/>
  </w:num>
  <w:num w:numId="39">
    <w:abstractNumId w:val="24"/>
  </w:num>
  <w:num w:numId="40">
    <w:abstractNumId w:val="24"/>
    <w:lvlOverride w:ilvl="0">
      <w:startOverride w:val="1"/>
    </w:lvlOverride>
  </w:num>
  <w:num w:numId="41">
    <w:abstractNumId w:val="24"/>
  </w:num>
  <w:num w:numId="42">
    <w:abstractNumId w:val="24"/>
  </w:num>
  <w:num w:numId="43">
    <w:abstractNumId w:val="7"/>
  </w:num>
  <w:num w:numId="44">
    <w:abstractNumId w:val="25"/>
  </w:num>
  <w:num w:numId="45">
    <w:abstractNumId w:val="39"/>
  </w:num>
  <w:num w:numId="46">
    <w:abstractNumId w:val="9"/>
  </w:num>
  <w:num w:numId="47">
    <w:abstractNumId w:val="26"/>
  </w:num>
  <w:num w:numId="48">
    <w:abstractNumId w:val="20"/>
  </w:num>
  <w:num w:numId="49">
    <w:abstractNumId w:val="6"/>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DE"/>
    <w:rsid w:val="00000D14"/>
    <w:rsid w:val="000010DD"/>
    <w:rsid w:val="00001397"/>
    <w:rsid w:val="00002FA9"/>
    <w:rsid w:val="00003004"/>
    <w:rsid w:val="0000434B"/>
    <w:rsid w:val="000048F0"/>
    <w:rsid w:val="000049C6"/>
    <w:rsid w:val="00005331"/>
    <w:rsid w:val="00005658"/>
    <w:rsid w:val="000103AC"/>
    <w:rsid w:val="0001223F"/>
    <w:rsid w:val="000123FD"/>
    <w:rsid w:val="0001265D"/>
    <w:rsid w:val="0001278A"/>
    <w:rsid w:val="00012928"/>
    <w:rsid w:val="000132C1"/>
    <w:rsid w:val="0001483F"/>
    <w:rsid w:val="00015A36"/>
    <w:rsid w:val="000163CF"/>
    <w:rsid w:val="000164FD"/>
    <w:rsid w:val="0001679E"/>
    <w:rsid w:val="00020660"/>
    <w:rsid w:val="00021094"/>
    <w:rsid w:val="0002160D"/>
    <w:rsid w:val="00022764"/>
    <w:rsid w:val="00022D74"/>
    <w:rsid w:val="00022E68"/>
    <w:rsid w:val="000266F3"/>
    <w:rsid w:val="00026C71"/>
    <w:rsid w:val="00026FD6"/>
    <w:rsid w:val="00027411"/>
    <w:rsid w:val="000277D8"/>
    <w:rsid w:val="000305DB"/>
    <w:rsid w:val="00036448"/>
    <w:rsid w:val="00036DDF"/>
    <w:rsid w:val="000409B9"/>
    <w:rsid w:val="00040C23"/>
    <w:rsid w:val="00041040"/>
    <w:rsid w:val="00041C04"/>
    <w:rsid w:val="00041DAF"/>
    <w:rsid w:val="00041F82"/>
    <w:rsid w:val="00042028"/>
    <w:rsid w:val="00043B16"/>
    <w:rsid w:val="00045C67"/>
    <w:rsid w:val="00046A5E"/>
    <w:rsid w:val="00050A91"/>
    <w:rsid w:val="00050EEC"/>
    <w:rsid w:val="00051BFD"/>
    <w:rsid w:val="00052096"/>
    <w:rsid w:val="00052584"/>
    <w:rsid w:val="0005295D"/>
    <w:rsid w:val="00052AD5"/>
    <w:rsid w:val="00052FE1"/>
    <w:rsid w:val="00053804"/>
    <w:rsid w:val="00053D8D"/>
    <w:rsid w:val="00053DBD"/>
    <w:rsid w:val="00055174"/>
    <w:rsid w:val="00055572"/>
    <w:rsid w:val="000557F6"/>
    <w:rsid w:val="000558DC"/>
    <w:rsid w:val="00055AF2"/>
    <w:rsid w:val="000566B9"/>
    <w:rsid w:val="000568A1"/>
    <w:rsid w:val="00061C7E"/>
    <w:rsid w:val="0006237D"/>
    <w:rsid w:val="000623EB"/>
    <w:rsid w:val="000627CE"/>
    <w:rsid w:val="00062FE4"/>
    <w:rsid w:val="0006485E"/>
    <w:rsid w:val="00065D3D"/>
    <w:rsid w:val="00066302"/>
    <w:rsid w:val="00066761"/>
    <w:rsid w:val="00066B55"/>
    <w:rsid w:val="00067870"/>
    <w:rsid w:val="0007081B"/>
    <w:rsid w:val="00071C01"/>
    <w:rsid w:val="00072744"/>
    <w:rsid w:val="000729C9"/>
    <w:rsid w:val="000734CD"/>
    <w:rsid w:val="000745C4"/>
    <w:rsid w:val="00074845"/>
    <w:rsid w:val="000756B0"/>
    <w:rsid w:val="00076BBC"/>
    <w:rsid w:val="00076DEC"/>
    <w:rsid w:val="000772F8"/>
    <w:rsid w:val="000777A0"/>
    <w:rsid w:val="00080218"/>
    <w:rsid w:val="000804C1"/>
    <w:rsid w:val="0008140C"/>
    <w:rsid w:val="000817BE"/>
    <w:rsid w:val="00081AB0"/>
    <w:rsid w:val="00081EE0"/>
    <w:rsid w:val="00081EEC"/>
    <w:rsid w:val="000823E4"/>
    <w:rsid w:val="000840A4"/>
    <w:rsid w:val="00084D5A"/>
    <w:rsid w:val="00084D98"/>
    <w:rsid w:val="00084E46"/>
    <w:rsid w:val="00087208"/>
    <w:rsid w:val="0008755C"/>
    <w:rsid w:val="0008765B"/>
    <w:rsid w:val="00090E9A"/>
    <w:rsid w:val="000913C1"/>
    <w:rsid w:val="0009247C"/>
    <w:rsid w:val="00093D1B"/>
    <w:rsid w:val="0009436F"/>
    <w:rsid w:val="00094597"/>
    <w:rsid w:val="00094801"/>
    <w:rsid w:val="0009560D"/>
    <w:rsid w:val="0009574B"/>
    <w:rsid w:val="00096095"/>
    <w:rsid w:val="000964D1"/>
    <w:rsid w:val="00096839"/>
    <w:rsid w:val="0009716B"/>
    <w:rsid w:val="00097187"/>
    <w:rsid w:val="0009798C"/>
    <w:rsid w:val="000A06B5"/>
    <w:rsid w:val="000A2221"/>
    <w:rsid w:val="000A2C1D"/>
    <w:rsid w:val="000A3786"/>
    <w:rsid w:val="000A3D37"/>
    <w:rsid w:val="000A43E0"/>
    <w:rsid w:val="000A4BF3"/>
    <w:rsid w:val="000A6011"/>
    <w:rsid w:val="000A7F47"/>
    <w:rsid w:val="000B03B1"/>
    <w:rsid w:val="000B1412"/>
    <w:rsid w:val="000B148D"/>
    <w:rsid w:val="000B1F21"/>
    <w:rsid w:val="000B34EC"/>
    <w:rsid w:val="000B4BF6"/>
    <w:rsid w:val="000B61B7"/>
    <w:rsid w:val="000B7AA4"/>
    <w:rsid w:val="000B7F95"/>
    <w:rsid w:val="000B7FB1"/>
    <w:rsid w:val="000C0435"/>
    <w:rsid w:val="000C0971"/>
    <w:rsid w:val="000C10C3"/>
    <w:rsid w:val="000C362C"/>
    <w:rsid w:val="000C3C53"/>
    <w:rsid w:val="000D055D"/>
    <w:rsid w:val="000D20E0"/>
    <w:rsid w:val="000D27F7"/>
    <w:rsid w:val="000D34E0"/>
    <w:rsid w:val="000D462E"/>
    <w:rsid w:val="000D49C9"/>
    <w:rsid w:val="000D4A88"/>
    <w:rsid w:val="000D5826"/>
    <w:rsid w:val="000D7466"/>
    <w:rsid w:val="000D759E"/>
    <w:rsid w:val="000D75B2"/>
    <w:rsid w:val="000E0C65"/>
    <w:rsid w:val="000E2A7B"/>
    <w:rsid w:val="000E31C6"/>
    <w:rsid w:val="000E3601"/>
    <w:rsid w:val="000E36B6"/>
    <w:rsid w:val="000E460E"/>
    <w:rsid w:val="000E4E2F"/>
    <w:rsid w:val="000E51D8"/>
    <w:rsid w:val="000E6C06"/>
    <w:rsid w:val="000E6D6E"/>
    <w:rsid w:val="000E6FDD"/>
    <w:rsid w:val="000F039C"/>
    <w:rsid w:val="000F0B9C"/>
    <w:rsid w:val="000F0D42"/>
    <w:rsid w:val="000F1685"/>
    <w:rsid w:val="000F2821"/>
    <w:rsid w:val="000F3639"/>
    <w:rsid w:val="000F3FB7"/>
    <w:rsid w:val="000F41E9"/>
    <w:rsid w:val="000F487F"/>
    <w:rsid w:val="000F58FF"/>
    <w:rsid w:val="000F5F79"/>
    <w:rsid w:val="000F6161"/>
    <w:rsid w:val="000F644E"/>
    <w:rsid w:val="000F695C"/>
    <w:rsid w:val="001004FA"/>
    <w:rsid w:val="0010187A"/>
    <w:rsid w:val="0010188C"/>
    <w:rsid w:val="001018C7"/>
    <w:rsid w:val="0010399D"/>
    <w:rsid w:val="0010456C"/>
    <w:rsid w:val="00104C3A"/>
    <w:rsid w:val="00105F29"/>
    <w:rsid w:val="00106DA2"/>
    <w:rsid w:val="00107CE9"/>
    <w:rsid w:val="001103B0"/>
    <w:rsid w:val="0011120D"/>
    <w:rsid w:val="0011174B"/>
    <w:rsid w:val="00113A44"/>
    <w:rsid w:val="0011672C"/>
    <w:rsid w:val="00116C09"/>
    <w:rsid w:val="00117A53"/>
    <w:rsid w:val="0012087A"/>
    <w:rsid w:val="0012383F"/>
    <w:rsid w:val="00123BB9"/>
    <w:rsid w:val="0012436B"/>
    <w:rsid w:val="00126312"/>
    <w:rsid w:val="001266E2"/>
    <w:rsid w:val="001267F6"/>
    <w:rsid w:val="00127999"/>
    <w:rsid w:val="00127ECE"/>
    <w:rsid w:val="00130096"/>
    <w:rsid w:val="00130909"/>
    <w:rsid w:val="0013187B"/>
    <w:rsid w:val="0013399B"/>
    <w:rsid w:val="00133FF1"/>
    <w:rsid w:val="00134752"/>
    <w:rsid w:val="00134C59"/>
    <w:rsid w:val="00135340"/>
    <w:rsid w:val="00135CC3"/>
    <w:rsid w:val="0013610A"/>
    <w:rsid w:val="00136C71"/>
    <w:rsid w:val="00136D02"/>
    <w:rsid w:val="0013720F"/>
    <w:rsid w:val="001401AC"/>
    <w:rsid w:val="0014063B"/>
    <w:rsid w:val="00140710"/>
    <w:rsid w:val="00141063"/>
    <w:rsid w:val="00141999"/>
    <w:rsid w:val="0014296A"/>
    <w:rsid w:val="001436E0"/>
    <w:rsid w:val="001440DF"/>
    <w:rsid w:val="00146C4F"/>
    <w:rsid w:val="00147036"/>
    <w:rsid w:val="001515BE"/>
    <w:rsid w:val="0015239F"/>
    <w:rsid w:val="0015267A"/>
    <w:rsid w:val="00152D6F"/>
    <w:rsid w:val="001537AD"/>
    <w:rsid w:val="00154BD9"/>
    <w:rsid w:val="00154C4C"/>
    <w:rsid w:val="001563A7"/>
    <w:rsid w:val="00156E6D"/>
    <w:rsid w:val="00156FC6"/>
    <w:rsid w:val="00160011"/>
    <w:rsid w:val="00160897"/>
    <w:rsid w:val="001609A7"/>
    <w:rsid w:val="00161427"/>
    <w:rsid w:val="00161EA4"/>
    <w:rsid w:val="00163626"/>
    <w:rsid w:val="0016417A"/>
    <w:rsid w:val="001653C3"/>
    <w:rsid w:val="0016624B"/>
    <w:rsid w:val="00166DAB"/>
    <w:rsid w:val="00167442"/>
    <w:rsid w:val="0016766B"/>
    <w:rsid w:val="00170134"/>
    <w:rsid w:val="001703DF"/>
    <w:rsid w:val="001710A7"/>
    <w:rsid w:val="001715B5"/>
    <w:rsid w:val="0017220F"/>
    <w:rsid w:val="0017222F"/>
    <w:rsid w:val="0017265E"/>
    <w:rsid w:val="00172696"/>
    <w:rsid w:val="00173A17"/>
    <w:rsid w:val="0017491B"/>
    <w:rsid w:val="00176E59"/>
    <w:rsid w:val="00177577"/>
    <w:rsid w:val="00180AD8"/>
    <w:rsid w:val="00180FAF"/>
    <w:rsid w:val="00181A62"/>
    <w:rsid w:val="00181DC7"/>
    <w:rsid w:val="001822CF"/>
    <w:rsid w:val="00182742"/>
    <w:rsid w:val="001827AD"/>
    <w:rsid w:val="00182CBD"/>
    <w:rsid w:val="00182DD3"/>
    <w:rsid w:val="00183005"/>
    <w:rsid w:val="001839D8"/>
    <w:rsid w:val="00183A94"/>
    <w:rsid w:val="0018469B"/>
    <w:rsid w:val="001860FA"/>
    <w:rsid w:val="00186818"/>
    <w:rsid w:val="0018683B"/>
    <w:rsid w:val="0018704F"/>
    <w:rsid w:val="001870E8"/>
    <w:rsid w:val="00187223"/>
    <w:rsid w:val="0019079F"/>
    <w:rsid w:val="00190AA8"/>
    <w:rsid w:val="00192EF2"/>
    <w:rsid w:val="001931B0"/>
    <w:rsid w:val="0019501C"/>
    <w:rsid w:val="001952EF"/>
    <w:rsid w:val="001A04B5"/>
    <w:rsid w:val="001A0CC9"/>
    <w:rsid w:val="001A0DD2"/>
    <w:rsid w:val="001A1A71"/>
    <w:rsid w:val="001A1A75"/>
    <w:rsid w:val="001A1E58"/>
    <w:rsid w:val="001A2379"/>
    <w:rsid w:val="001A2C74"/>
    <w:rsid w:val="001A3648"/>
    <w:rsid w:val="001A4415"/>
    <w:rsid w:val="001A46C2"/>
    <w:rsid w:val="001A75B8"/>
    <w:rsid w:val="001B0316"/>
    <w:rsid w:val="001B04F4"/>
    <w:rsid w:val="001B0675"/>
    <w:rsid w:val="001B0848"/>
    <w:rsid w:val="001B17E8"/>
    <w:rsid w:val="001B2133"/>
    <w:rsid w:val="001B2C17"/>
    <w:rsid w:val="001B2C93"/>
    <w:rsid w:val="001B2D2D"/>
    <w:rsid w:val="001B32D8"/>
    <w:rsid w:val="001B3B0F"/>
    <w:rsid w:val="001B3C59"/>
    <w:rsid w:val="001B408A"/>
    <w:rsid w:val="001B4911"/>
    <w:rsid w:val="001B4E8E"/>
    <w:rsid w:val="001B4FCE"/>
    <w:rsid w:val="001B5A5D"/>
    <w:rsid w:val="001B6080"/>
    <w:rsid w:val="001B65AC"/>
    <w:rsid w:val="001B699A"/>
    <w:rsid w:val="001B7240"/>
    <w:rsid w:val="001C03EB"/>
    <w:rsid w:val="001C2083"/>
    <w:rsid w:val="001C2252"/>
    <w:rsid w:val="001C26AC"/>
    <w:rsid w:val="001C2893"/>
    <w:rsid w:val="001C48D2"/>
    <w:rsid w:val="001C4C23"/>
    <w:rsid w:val="001C4E18"/>
    <w:rsid w:val="001C54AB"/>
    <w:rsid w:val="001C5910"/>
    <w:rsid w:val="001C7043"/>
    <w:rsid w:val="001C742D"/>
    <w:rsid w:val="001C7AD5"/>
    <w:rsid w:val="001D1E9B"/>
    <w:rsid w:val="001D2880"/>
    <w:rsid w:val="001D43DE"/>
    <w:rsid w:val="001D6B81"/>
    <w:rsid w:val="001D7263"/>
    <w:rsid w:val="001E00E7"/>
    <w:rsid w:val="001E186B"/>
    <w:rsid w:val="001E1BC8"/>
    <w:rsid w:val="001E2649"/>
    <w:rsid w:val="001E27D7"/>
    <w:rsid w:val="001E38E3"/>
    <w:rsid w:val="001E5A9B"/>
    <w:rsid w:val="001E5CBB"/>
    <w:rsid w:val="001E62A4"/>
    <w:rsid w:val="001E6615"/>
    <w:rsid w:val="001E6779"/>
    <w:rsid w:val="001E6DA3"/>
    <w:rsid w:val="001E6DE3"/>
    <w:rsid w:val="001E6FD6"/>
    <w:rsid w:val="001E7302"/>
    <w:rsid w:val="001E7B4C"/>
    <w:rsid w:val="001F0430"/>
    <w:rsid w:val="001F2F9B"/>
    <w:rsid w:val="001F3ABE"/>
    <w:rsid w:val="001F543B"/>
    <w:rsid w:val="001F726C"/>
    <w:rsid w:val="001F7834"/>
    <w:rsid w:val="001F7B44"/>
    <w:rsid w:val="001F7C8F"/>
    <w:rsid w:val="002008C8"/>
    <w:rsid w:val="0020145E"/>
    <w:rsid w:val="00201C7C"/>
    <w:rsid w:val="002049E6"/>
    <w:rsid w:val="00206D44"/>
    <w:rsid w:val="00207A3D"/>
    <w:rsid w:val="00211B5A"/>
    <w:rsid w:val="00212A89"/>
    <w:rsid w:val="002132F4"/>
    <w:rsid w:val="00213A07"/>
    <w:rsid w:val="0021437D"/>
    <w:rsid w:val="00214B4C"/>
    <w:rsid w:val="00214FC0"/>
    <w:rsid w:val="00215BC3"/>
    <w:rsid w:val="00215CE3"/>
    <w:rsid w:val="00216437"/>
    <w:rsid w:val="002170A7"/>
    <w:rsid w:val="00217848"/>
    <w:rsid w:val="002179C8"/>
    <w:rsid w:val="00220630"/>
    <w:rsid w:val="002209EA"/>
    <w:rsid w:val="0022102F"/>
    <w:rsid w:val="002210B5"/>
    <w:rsid w:val="0022126D"/>
    <w:rsid w:val="00223DEA"/>
    <w:rsid w:val="00225024"/>
    <w:rsid w:val="00225151"/>
    <w:rsid w:val="0022535B"/>
    <w:rsid w:val="00225996"/>
    <w:rsid w:val="0022697E"/>
    <w:rsid w:val="00226B0F"/>
    <w:rsid w:val="002271A8"/>
    <w:rsid w:val="00227EC3"/>
    <w:rsid w:val="002302D4"/>
    <w:rsid w:val="00230825"/>
    <w:rsid w:val="00230AF3"/>
    <w:rsid w:val="00231D25"/>
    <w:rsid w:val="00232D30"/>
    <w:rsid w:val="002332B4"/>
    <w:rsid w:val="002348D2"/>
    <w:rsid w:val="002353CB"/>
    <w:rsid w:val="00236C3E"/>
    <w:rsid w:val="00236D3C"/>
    <w:rsid w:val="00236DA6"/>
    <w:rsid w:val="00236F60"/>
    <w:rsid w:val="00237945"/>
    <w:rsid w:val="00237D3B"/>
    <w:rsid w:val="00237FA4"/>
    <w:rsid w:val="002414A8"/>
    <w:rsid w:val="002416E2"/>
    <w:rsid w:val="00243367"/>
    <w:rsid w:val="00245CBE"/>
    <w:rsid w:val="00245E2E"/>
    <w:rsid w:val="00246880"/>
    <w:rsid w:val="00246F54"/>
    <w:rsid w:val="002507BB"/>
    <w:rsid w:val="002520AE"/>
    <w:rsid w:val="00252923"/>
    <w:rsid w:val="002534F7"/>
    <w:rsid w:val="00254713"/>
    <w:rsid w:val="00254AD9"/>
    <w:rsid w:val="00254D2B"/>
    <w:rsid w:val="00255602"/>
    <w:rsid w:val="002556A8"/>
    <w:rsid w:val="00255D27"/>
    <w:rsid w:val="00255F06"/>
    <w:rsid w:val="0025762B"/>
    <w:rsid w:val="00257DC8"/>
    <w:rsid w:val="00260DD4"/>
    <w:rsid w:val="00263003"/>
    <w:rsid w:val="00263242"/>
    <w:rsid w:val="002641A7"/>
    <w:rsid w:val="002648B9"/>
    <w:rsid w:val="002650F0"/>
    <w:rsid w:val="00265F24"/>
    <w:rsid w:val="00266041"/>
    <w:rsid w:val="0026725D"/>
    <w:rsid w:val="00267B15"/>
    <w:rsid w:val="00267D39"/>
    <w:rsid w:val="0027039F"/>
    <w:rsid w:val="00270FC1"/>
    <w:rsid w:val="00271387"/>
    <w:rsid w:val="002728F9"/>
    <w:rsid w:val="00272D8E"/>
    <w:rsid w:val="00273A0E"/>
    <w:rsid w:val="00274B9C"/>
    <w:rsid w:val="00275561"/>
    <w:rsid w:val="002759B7"/>
    <w:rsid w:val="00275A80"/>
    <w:rsid w:val="00275CCE"/>
    <w:rsid w:val="00276709"/>
    <w:rsid w:val="00277DE9"/>
    <w:rsid w:val="00281621"/>
    <w:rsid w:val="00281657"/>
    <w:rsid w:val="002825E2"/>
    <w:rsid w:val="00283C4D"/>
    <w:rsid w:val="00283D02"/>
    <w:rsid w:val="00283EE7"/>
    <w:rsid w:val="002845A5"/>
    <w:rsid w:val="00284DD8"/>
    <w:rsid w:val="00284EA1"/>
    <w:rsid w:val="00285195"/>
    <w:rsid w:val="002856D5"/>
    <w:rsid w:val="00286BD8"/>
    <w:rsid w:val="00286EC2"/>
    <w:rsid w:val="002904B8"/>
    <w:rsid w:val="00292577"/>
    <w:rsid w:val="00292B0C"/>
    <w:rsid w:val="00292C5F"/>
    <w:rsid w:val="00292EB7"/>
    <w:rsid w:val="0029414A"/>
    <w:rsid w:val="00294458"/>
    <w:rsid w:val="00295779"/>
    <w:rsid w:val="00296269"/>
    <w:rsid w:val="002967B5"/>
    <w:rsid w:val="00296F4D"/>
    <w:rsid w:val="00296FE9"/>
    <w:rsid w:val="002A08CA"/>
    <w:rsid w:val="002A1C5F"/>
    <w:rsid w:val="002A25F4"/>
    <w:rsid w:val="002A32DA"/>
    <w:rsid w:val="002A3BE6"/>
    <w:rsid w:val="002A3E1B"/>
    <w:rsid w:val="002A5D00"/>
    <w:rsid w:val="002A63A3"/>
    <w:rsid w:val="002A6CB3"/>
    <w:rsid w:val="002A6CDA"/>
    <w:rsid w:val="002B068A"/>
    <w:rsid w:val="002B1A38"/>
    <w:rsid w:val="002B20C5"/>
    <w:rsid w:val="002B220D"/>
    <w:rsid w:val="002B450F"/>
    <w:rsid w:val="002B49A8"/>
    <w:rsid w:val="002B5825"/>
    <w:rsid w:val="002B6100"/>
    <w:rsid w:val="002B7655"/>
    <w:rsid w:val="002B7909"/>
    <w:rsid w:val="002B7A36"/>
    <w:rsid w:val="002C0B93"/>
    <w:rsid w:val="002C179A"/>
    <w:rsid w:val="002C5587"/>
    <w:rsid w:val="002C5896"/>
    <w:rsid w:val="002C5AB1"/>
    <w:rsid w:val="002C64DE"/>
    <w:rsid w:val="002C6D65"/>
    <w:rsid w:val="002C722D"/>
    <w:rsid w:val="002C7555"/>
    <w:rsid w:val="002D0409"/>
    <w:rsid w:val="002D0458"/>
    <w:rsid w:val="002D214F"/>
    <w:rsid w:val="002D2E65"/>
    <w:rsid w:val="002D4065"/>
    <w:rsid w:val="002D4527"/>
    <w:rsid w:val="002D45C3"/>
    <w:rsid w:val="002D6118"/>
    <w:rsid w:val="002D7407"/>
    <w:rsid w:val="002E10B7"/>
    <w:rsid w:val="002E1131"/>
    <w:rsid w:val="002E1282"/>
    <w:rsid w:val="002E16F7"/>
    <w:rsid w:val="002E1C99"/>
    <w:rsid w:val="002E2743"/>
    <w:rsid w:val="002E34B9"/>
    <w:rsid w:val="002E398F"/>
    <w:rsid w:val="002E3D36"/>
    <w:rsid w:val="002E64E9"/>
    <w:rsid w:val="002E66BB"/>
    <w:rsid w:val="002E797D"/>
    <w:rsid w:val="002E7A2F"/>
    <w:rsid w:val="002E7FDA"/>
    <w:rsid w:val="002F1168"/>
    <w:rsid w:val="002F1B62"/>
    <w:rsid w:val="002F255C"/>
    <w:rsid w:val="002F50AF"/>
    <w:rsid w:val="002F59AC"/>
    <w:rsid w:val="002F6950"/>
    <w:rsid w:val="002F760F"/>
    <w:rsid w:val="0030025C"/>
    <w:rsid w:val="00301101"/>
    <w:rsid w:val="00301341"/>
    <w:rsid w:val="0030150B"/>
    <w:rsid w:val="00301724"/>
    <w:rsid w:val="0030189C"/>
    <w:rsid w:val="00301FEC"/>
    <w:rsid w:val="00302667"/>
    <w:rsid w:val="00302F4B"/>
    <w:rsid w:val="0030357D"/>
    <w:rsid w:val="00310499"/>
    <w:rsid w:val="003113A3"/>
    <w:rsid w:val="003118CE"/>
    <w:rsid w:val="00312AF6"/>
    <w:rsid w:val="00312ECE"/>
    <w:rsid w:val="003148B4"/>
    <w:rsid w:val="00315986"/>
    <w:rsid w:val="003160B6"/>
    <w:rsid w:val="00316B35"/>
    <w:rsid w:val="0031725D"/>
    <w:rsid w:val="0031761B"/>
    <w:rsid w:val="0032077B"/>
    <w:rsid w:val="00320FBB"/>
    <w:rsid w:val="00322070"/>
    <w:rsid w:val="003221C6"/>
    <w:rsid w:val="00323348"/>
    <w:rsid w:val="00323761"/>
    <w:rsid w:val="00323DBF"/>
    <w:rsid w:val="00324897"/>
    <w:rsid w:val="003248D3"/>
    <w:rsid w:val="003252FA"/>
    <w:rsid w:val="0032585A"/>
    <w:rsid w:val="00325970"/>
    <w:rsid w:val="00325CAC"/>
    <w:rsid w:val="00325EA0"/>
    <w:rsid w:val="00326917"/>
    <w:rsid w:val="00326D3D"/>
    <w:rsid w:val="003278E6"/>
    <w:rsid w:val="003279C7"/>
    <w:rsid w:val="00331A57"/>
    <w:rsid w:val="00331B95"/>
    <w:rsid w:val="00331BD0"/>
    <w:rsid w:val="00332DF8"/>
    <w:rsid w:val="00332F06"/>
    <w:rsid w:val="003337E0"/>
    <w:rsid w:val="00333C39"/>
    <w:rsid w:val="00335427"/>
    <w:rsid w:val="003359EB"/>
    <w:rsid w:val="00336E81"/>
    <w:rsid w:val="00336E96"/>
    <w:rsid w:val="003372E1"/>
    <w:rsid w:val="0034034F"/>
    <w:rsid w:val="00340B24"/>
    <w:rsid w:val="0034198E"/>
    <w:rsid w:val="00341B04"/>
    <w:rsid w:val="0034295D"/>
    <w:rsid w:val="00342DD6"/>
    <w:rsid w:val="00346084"/>
    <w:rsid w:val="0034746A"/>
    <w:rsid w:val="00350383"/>
    <w:rsid w:val="003512FA"/>
    <w:rsid w:val="00351594"/>
    <w:rsid w:val="00351C0A"/>
    <w:rsid w:val="00352FC5"/>
    <w:rsid w:val="003531A6"/>
    <w:rsid w:val="0035331C"/>
    <w:rsid w:val="003534B7"/>
    <w:rsid w:val="0035767E"/>
    <w:rsid w:val="00360AC5"/>
    <w:rsid w:val="00360B2D"/>
    <w:rsid w:val="003614ED"/>
    <w:rsid w:val="00361869"/>
    <w:rsid w:val="00362092"/>
    <w:rsid w:val="003634AA"/>
    <w:rsid w:val="0036380A"/>
    <w:rsid w:val="003638E9"/>
    <w:rsid w:val="0036641E"/>
    <w:rsid w:val="003666E3"/>
    <w:rsid w:val="00367F51"/>
    <w:rsid w:val="00371A54"/>
    <w:rsid w:val="00377953"/>
    <w:rsid w:val="00384B1D"/>
    <w:rsid w:val="00385325"/>
    <w:rsid w:val="003900A5"/>
    <w:rsid w:val="00390240"/>
    <w:rsid w:val="00391D62"/>
    <w:rsid w:val="003923EA"/>
    <w:rsid w:val="0039396A"/>
    <w:rsid w:val="0039415F"/>
    <w:rsid w:val="0039597F"/>
    <w:rsid w:val="003962E0"/>
    <w:rsid w:val="0039648B"/>
    <w:rsid w:val="00397332"/>
    <w:rsid w:val="00397413"/>
    <w:rsid w:val="003A0104"/>
    <w:rsid w:val="003A22AC"/>
    <w:rsid w:val="003A277A"/>
    <w:rsid w:val="003A3D1D"/>
    <w:rsid w:val="003A486C"/>
    <w:rsid w:val="003A4981"/>
    <w:rsid w:val="003A54D3"/>
    <w:rsid w:val="003A5877"/>
    <w:rsid w:val="003A5940"/>
    <w:rsid w:val="003A634F"/>
    <w:rsid w:val="003A77EC"/>
    <w:rsid w:val="003A7D7A"/>
    <w:rsid w:val="003B0790"/>
    <w:rsid w:val="003B0B45"/>
    <w:rsid w:val="003B14F1"/>
    <w:rsid w:val="003B1E0E"/>
    <w:rsid w:val="003B1F86"/>
    <w:rsid w:val="003B2BE3"/>
    <w:rsid w:val="003B64F9"/>
    <w:rsid w:val="003B7603"/>
    <w:rsid w:val="003B7CFF"/>
    <w:rsid w:val="003C010B"/>
    <w:rsid w:val="003C0531"/>
    <w:rsid w:val="003C1C31"/>
    <w:rsid w:val="003C2417"/>
    <w:rsid w:val="003C2C3E"/>
    <w:rsid w:val="003C40DE"/>
    <w:rsid w:val="003C539A"/>
    <w:rsid w:val="003C6EBD"/>
    <w:rsid w:val="003C7265"/>
    <w:rsid w:val="003C7AFE"/>
    <w:rsid w:val="003D049F"/>
    <w:rsid w:val="003D1E27"/>
    <w:rsid w:val="003D1EB3"/>
    <w:rsid w:val="003D27A2"/>
    <w:rsid w:val="003D2EDF"/>
    <w:rsid w:val="003D3A8E"/>
    <w:rsid w:val="003D4B92"/>
    <w:rsid w:val="003D532B"/>
    <w:rsid w:val="003D5E11"/>
    <w:rsid w:val="003D6367"/>
    <w:rsid w:val="003D71DC"/>
    <w:rsid w:val="003E13B8"/>
    <w:rsid w:val="003E2886"/>
    <w:rsid w:val="003E2F52"/>
    <w:rsid w:val="003E31DC"/>
    <w:rsid w:val="003E326F"/>
    <w:rsid w:val="003E52AA"/>
    <w:rsid w:val="003E59DF"/>
    <w:rsid w:val="003E5C6C"/>
    <w:rsid w:val="003E7004"/>
    <w:rsid w:val="003E799C"/>
    <w:rsid w:val="003F02D8"/>
    <w:rsid w:val="003F2001"/>
    <w:rsid w:val="003F24EC"/>
    <w:rsid w:val="003F4913"/>
    <w:rsid w:val="003F4BEC"/>
    <w:rsid w:val="003F5FAD"/>
    <w:rsid w:val="003F6A3C"/>
    <w:rsid w:val="00400094"/>
    <w:rsid w:val="00400CEE"/>
    <w:rsid w:val="004016E5"/>
    <w:rsid w:val="004022E0"/>
    <w:rsid w:val="00402721"/>
    <w:rsid w:val="00403923"/>
    <w:rsid w:val="00403C2C"/>
    <w:rsid w:val="00403EAE"/>
    <w:rsid w:val="00404997"/>
    <w:rsid w:val="00404A92"/>
    <w:rsid w:val="0040565C"/>
    <w:rsid w:val="0041186A"/>
    <w:rsid w:val="00413235"/>
    <w:rsid w:val="00414026"/>
    <w:rsid w:val="00414116"/>
    <w:rsid w:val="00414839"/>
    <w:rsid w:val="00414B0B"/>
    <w:rsid w:val="00414C05"/>
    <w:rsid w:val="00414C21"/>
    <w:rsid w:val="00414FF8"/>
    <w:rsid w:val="004151C8"/>
    <w:rsid w:val="00417F49"/>
    <w:rsid w:val="004205C4"/>
    <w:rsid w:val="00420C74"/>
    <w:rsid w:val="004214D5"/>
    <w:rsid w:val="00421A47"/>
    <w:rsid w:val="00422770"/>
    <w:rsid w:val="0042306D"/>
    <w:rsid w:val="0042446F"/>
    <w:rsid w:val="00424C38"/>
    <w:rsid w:val="0042632A"/>
    <w:rsid w:val="00426470"/>
    <w:rsid w:val="00426F02"/>
    <w:rsid w:val="00427495"/>
    <w:rsid w:val="00427540"/>
    <w:rsid w:val="00427656"/>
    <w:rsid w:val="00427CD5"/>
    <w:rsid w:val="00430FF1"/>
    <w:rsid w:val="0043215C"/>
    <w:rsid w:val="004321BF"/>
    <w:rsid w:val="00433263"/>
    <w:rsid w:val="00435494"/>
    <w:rsid w:val="0043585F"/>
    <w:rsid w:val="00435BAB"/>
    <w:rsid w:val="004368BF"/>
    <w:rsid w:val="00437014"/>
    <w:rsid w:val="0044040A"/>
    <w:rsid w:val="00441756"/>
    <w:rsid w:val="004425EA"/>
    <w:rsid w:val="00442990"/>
    <w:rsid w:val="004431CE"/>
    <w:rsid w:val="0044455E"/>
    <w:rsid w:val="004463BA"/>
    <w:rsid w:val="00447A6D"/>
    <w:rsid w:val="004501FD"/>
    <w:rsid w:val="004513DF"/>
    <w:rsid w:val="0045145F"/>
    <w:rsid w:val="00451CCC"/>
    <w:rsid w:val="00451F16"/>
    <w:rsid w:val="004536DB"/>
    <w:rsid w:val="004537FE"/>
    <w:rsid w:val="00453A0D"/>
    <w:rsid w:val="00453A85"/>
    <w:rsid w:val="00453D1E"/>
    <w:rsid w:val="00454C39"/>
    <w:rsid w:val="00454CBF"/>
    <w:rsid w:val="00454D2E"/>
    <w:rsid w:val="00455361"/>
    <w:rsid w:val="00455ADE"/>
    <w:rsid w:val="004562B4"/>
    <w:rsid w:val="0045670C"/>
    <w:rsid w:val="0045711A"/>
    <w:rsid w:val="00457AAC"/>
    <w:rsid w:val="004610AF"/>
    <w:rsid w:val="0046155F"/>
    <w:rsid w:val="0046184D"/>
    <w:rsid w:val="00462B07"/>
    <w:rsid w:val="00462F65"/>
    <w:rsid w:val="004633B2"/>
    <w:rsid w:val="004633DC"/>
    <w:rsid w:val="0046384A"/>
    <w:rsid w:val="00463E46"/>
    <w:rsid w:val="00465E99"/>
    <w:rsid w:val="00465EAE"/>
    <w:rsid w:val="0046762C"/>
    <w:rsid w:val="004700FD"/>
    <w:rsid w:val="00470728"/>
    <w:rsid w:val="004709A4"/>
    <w:rsid w:val="00470F45"/>
    <w:rsid w:val="00471B69"/>
    <w:rsid w:val="00476D69"/>
    <w:rsid w:val="004770D5"/>
    <w:rsid w:val="00477189"/>
    <w:rsid w:val="0047718B"/>
    <w:rsid w:val="00477800"/>
    <w:rsid w:val="00480EFA"/>
    <w:rsid w:val="004814AF"/>
    <w:rsid w:val="00481DF7"/>
    <w:rsid w:val="0048224B"/>
    <w:rsid w:val="0048279B"/>
    <w:rsid w:val="00483AC5"/>
    <w:rsid w:val="00484BE1"/>
    <w:rsid w:val="0048568F"/>
    <w:rsid w:val="00485888"/>
    <w:rsid w:val="00485F3F"/>
    <w:rsid w:val="004862C4"/>
    <w:rsid w:val="004865C2"/>
    <w:rsid w:val="004868E0"/>
    <w:rsid w:val="004873C7"/>
    <w:rsid w:val="004877C7"/>
    <w:rsid w:val="00491CF8"/>
    <w:rsid w:val="0049239E"/>
    <w:rsid w:val="00492B96"/>
    <w:rsid w:val="0049567A"/>
    <w:rsid w:val="00495A9B"/>
    <w:rsid w:val="0049674D"/>
    <w:rsid w:val="004972E5"/>
    <w:rsid w:val="004977AE"/>
    <w:rsid w:val="004A09D4"/>
    <w:rsid w:val="004A0AF3"/>
    <w:rsid w:val="004A0F60"/>
    <w:rsid w:val="004A2038"/>
    <w:rsid w:val="004A2DDF"/>
    <w:rsid w:val="004A4E94"/>
    <w:rsid w:val="004A68E7"/>
    <w:rsid w:val="004A6AB7"/>
    <w:rsid w:val="004A7B35"/>
    <w:rsid w:val="004B02BA"/>
    <w:rsid w:val="004B18E9"/>
    <w:rsid w:val="004B3EB8"/>
    <w:rsid w:val="004B45E8"/>
    <w:rsid w:val="004B4C5B"/>
    <w:rsid w:val="004B5A85"/>
    <w:rsid w:val="004B6312"/>
    <w:rsid w:val="004B6A24"/>
    <w:rsid w:val="004B72DE"/>
    <w:rsid w:val="004B7B43"/>
    <w:rsid w:val="004B7F6E"/>
    <w:rsid w:val="004C12EE"/>
    <w:rsid w:val="004C1ABC"/>
    <w:rsid w:val="004C1CF8"/>
    <w:rsid w:val="004C2A22"/>
    <w:rsid w:val="004C2F41"/>
    <w:rsid w:val="004C3AFB"/>
    <w:rsid w:val="004C3B0F"/>
    <w:rsid w:val="004C4AE8"/>
    <w:rsid w:val="004C6030"/>
    <w:rsid w:val="004C6CED"/>
    <w:rsid w:val="004D0659"/>
    <w:rsid w:val="004D2D2B"/>
    <w:rsid w:val="004D3207"/>
    <w:rsid w:val="004D3E69"/>
    <w:rsid w:val="004D40C7"/>
    <w:rsid w:val="004D44D2"/>
    <w:rsid w:val="004D4536"/>
    <w:rsid w:val="004D4A22"/>
    <w:rsid w:val="004D4C3E"/>
    <w:rsid w:val="004D5366"/>
    <w:rsid w:val="004D64B5"/>
    <w:rsid w:val="004D691D"/>
    <w:rsid w:val="004E1253"/>
    <w:rsid w:val="004E2040"/>
    <w:rsid w:val="004E2335"/>
    <w:rsid w:val="004E3FA5"/>
    <w:rsid w:val="004E43DF"/>
    <w:rsid w:val="004E501A"/>
    <w:rsid w:val="004E558D"/>
    <w:rsid w:val="004E6E54"/>
    <w:rsid w:val="004E76B2"/>
    <w:rsid w:val="004F181B"/>
    <w:rsid w:val="004F198E"/>
    <w:rsid w:val="004F2948"/>
    <w:rsid w:val="004F2EE2"/>
    <w:rsid w:val="004F3430"/>
    <w:rsid w:val="004F3945"/>
    <w:rsid w:val="004F51FF"/>
    <w:rsid w:val="004F5BAA"/>
    <w:rsid w:val="004F6009"/>
    <w:rsid w:val="004F7613"/>
    <w:rsid w:val="0050101E"/>
    <w:rsid w:val="00501BD5"/>
    <w:rsid w:val="00501BED"/>
    <w:rsid w:val="00501D89"/>
    <w:rsid w:val="005023F8"/>
    <w:rsid w:val="0050488B"/>
    <w:rsid w:val="005060F1"/>
    <w:rsid w:val="00506589"/>
    <w:rsid w:val="00506702"/>
    <w:rsid w:val="005069C9"/>
    <w:rsid w:val="005069D6"/>
    <w:rsid w:val="00506D6B"/>
    <w:rsid w:val="00507E2C"/>
    <w:rsid w:val="00510C5D"/>
    <w:rsid w:val="00511538"/>
    <w:rsid w:val="005123B2"/>
    <w:rsid w:val="0051255A"/>
    <w:rsid w:val="00513BC2"/>
    <w:rsid w:val="00514A1D"/>
    <w:rsid w:val="00515612"/>
    <w:rsid w:val="00516707"/>
    <w:rsid w:val="00517A27"/>
    <w:rsid w:val="005204A1"/>
    <w:rsid w:val="00520F9B"/>
    <w:rsid w:val="0052256C"/>
    <w:rsid w:val="00522854"/>
    <w:rsid w:val="005239C2"/>
    <w:rsid w:val="00523C13"/>
    <w:rsid w:val="00523F76"/>
    <w:rsid w:val="005266F9"/>
    <w:rsid w:val="005268A2"/>
    <w:rsid w:val="005279A5"/>
    <w:rsid w:val="00533FF3"/>
    <w:rsid w:val="00535608"/>
    <w:rsid w:val="0053633B"/>
    <w:rsid w:val="00536C66"/>
    <w:rsid w:val="00537001"/>
    <w:rsid w:val="0053798F"/>
    <w:rsid w:val="0054060B"/>
    <w:rsid w:val="00540ECF"/>
    <w:rsid w:val="0054159B"/>
    <w:rsid w:val="00542712"/>
    <w:rsid w:val="00542A1F"/>
    <w:rsid w:val="00543993"/>
    <w:rsid w:val="00543C25"/>
    <w:rsid w:val="00543EA7"/>
    <w:rsid w:val="005451B2"/>
    <w:rsid w:val="00545C95"/>
    <w:rsid w:val="005461B4"/>
    <w:rsid w:val="005463A5"/>
    <w:rsid w:val="0054794C"/>
    <w:rsid w:val="00550711"/>
    <w:rsid w:val="005512DC"/>
    <w:rsid w:val="00551F37"/>
    <w:rsid w:val="00556159"/>
    <w:rsid w:val="00557A71"/>
    <w:rsid w:val="005604F3"/>
    <w:rsid w:val="00562234"/>
    <w:rsid w:val="00562255"/>
    <w:rsid w:val="00562519"/>
    <w:rsid w:val="00562A58"/>
    <w:rsid w:val="00562C2C"/>
    <w:rsid w:val="00562E05"/>
    <w:rsid w:val="00565F89"/>
    <w:rsid w:val="00566845"/>
    <w:rsid w:val="0057013B"/>
    <w:rsid w:val="00571124"/>
    <w:rsid w:val="005721C7"/>
    <w:rsid w:val="00573867"/>
    <w:rsid w:val="0057481E"/>
    <w:rsid w:val="00575153"/>
    <w:rsid w:val="00577575"/>
    <w:rsid w:val="00580B93"/>
    <w:rsid w:val="00581BEA"/>
    <w:rsid w:val="00582DC0"/>
    <w:rsid w:val="0058316A"/>
    <w:rsid w:val="005835AD"/>
    <w:rsid w:val="00583BD8"/>
    <w:rsid w:val="005840D2"/>
    <w:rsid w:val="00584721"/>
    <w:rsid w:val="00584AF5"/>
    <w:rsid w:val="00584F2D"/>
    <w:rsid w:val="00585D2F"/>
    <w:rsid w:val="00586722"/>
    <w:rsid w:val="00587399"/>
    <w:rsid w:val="00587A5D"/>
    <w:rsid w:val="00587ED0"/>
    <w:rsid w:val="00590D11"/>
    <w:rsid w:val="00592BFD"/>
    <w:rsid w:val="00592E7A"/>
    <w:rsid w:val="0059674B"/>
    <w:rsid w:val="00597255"/>
    <w:rsid w:val="005A063C"/>
    <w:rsid w:val="005A0884"/>
    <w:rsid w:val="005A089C"/>
    <w:rsid w:val="005A2E41"/>
    <w:rsid w:val="005A3BBA"/>
    <w:rsid w:val="005A484A"/>
    <w:rsid w:val="005A4F51"/>
    <w:rsid w:val="005A55A8"/>
    <w:rsid w:val="005A603E"/>
    <w:rsid w:val="005A6AF9"/>
    <w:rsid w:val="005B0C87"/>
    <w:rsid w:val="005B13D3"/>
    <w:rsid w:val="005B14E6"/>
    <w:rsid w:val="005B1A9F"/>
    <w:rsid w:val="005B1AE8"/>
    <w:rsid w:val="005B3B91"/>
    <w:rsid w:val="005B4C0E"/>
    <w:rsid w:val="005B5388"/>
    <w:rsid w:val="005B56E1"/>
    <w:rsid w:val="005B5B54"/>
    <w:rsid w:val="005B6222"/>
    <w:rsid w:val="005B6321"/>
    <w:rsid w:val="005B7278"/>
    <w:rsid w:val="005C2161"/>
    <w:rsid w:val="005C2485"/>
    <w:rsid w:val="005C2C36"/>
    <w:rsid w:val="005C3BD4"/>
    <w:rsid w:val="005C4496"/>
    <w:rsid w:val="005C4E5C"/>
    <w:rsid w:val="005C52D7"/>
    <w:rsid w:val="005C674B"/>
    <w:rsid w:val="005C6C6D"/>
    <w:rsid w:val="005D1336"/>
    <w:rsid w:val="005D2774"/>
    <w:rsid w:val="005D351E"/>
    <w:rsid w:val="005D3FDD"/>
    <w:rsid w:val="005D4A5D"/>
    <w:rsid w:val="005D4B6F"/>
    <w:rsid w:val="005D5500"/>
    <w:rsid w:val="005D5F7E"/>
    <w:rsid w:val="005D7165"/>
    <w:rsid w:val="005E0B22"/>
    <w:rsid w:val="005E0BA3"/>
    <w:rsid w:val="005E0C83"/>
    <w:rsid w:val="005E1386"/>
    <w:rsid w:val="005E17D1"/>
    <w:rsid w:val="005E2972"/>
    <w:rsid w:val="005E2F3F"/>
    <w:rsid w:val="005E42D9"/>
    <w:rsid w:val="005E474E"/>
    <w:rsid w:val="005E4938"/>
    <w:rsid w:val="005E562B"/>
    <w:rsid w:val="005E5DD8"/>
    <w:rsid w:val="005E5EFB"/>
    <w:rsid w:val="005E6F22"/>
    <w:rsid w:val="005E6FAE"/>
    <w:rsid w:val="005E7189"/>
    <w:rsid w:val="005E7E6C"/>
    <w:rsid w:val="005F0067"/>
    <w:rsid w:val="005F0739"/>
    <w:rsid w:val="005F0BCB"/>
    <w:rsid w:val="005F13AD"/>
    <w:rsid w:val="005F14E5"/>
    <w:rsid w:val="005F1A9D"/>
    <w:rsid w:val="005F2448"/>
    <w:rsid w:val="005F2F41"/>
    <w:rsid w:val="005F3D37"/>
    <w:rsid w:val="005F507E"/>
    <w:rsid w:val="005F57BE"/>
    <w:rsid w:val="005F64C1"/>
    <w:rsid w:val="005F72BF"/>
    <w:rsid w:val="005F7BB2"/>
    <w:rsid w:val="0060023A"/>
    <w:rsid w:val="00600EFB"/>
    <w:rsid w:val="006011D4"/>
    <w:rsid w:val="00602F4E"/>
    <w:rsid w:val="00603362"/>
    <w:rsid w:val="00603CAA"/>
    <w:rsid w:val="00603E63"/>
    <w:rsid w:val="006046BE"/>
    <w:rsid w:val="006102BF"/>
    <w:rsid w:val="0061056A"/>
    <w:rsid w:val="00610570"/>
    <w:rsid w:val="00610E41"/>
    <w:rsid w:val="00611AAA"/>
    <w:rsid w:val="00611FE2"/>
    <w:rsid w:val="006122BA"/>
    <w:rsid w:val="00612A89"/>
    <w:rsid w:val="00614DED"/>
    <w:rsid w:val="00615AC9"/>
    <w:rsid w:val="006166A4"/>
    <w:rsid w:val="00616FB3"/>
    <w:rsid w:val="00620976"/>
    <w:rsid w:val="006211E0"/>
    <w:rsid w:val="00621C13"/>
    <w:rsid w:val="00621EF5"/>
    <w:rsid w:val="00622255"/>
    <w:rsid w:val="006233C2"/>
    <w:rsid w:val="006237EE"/>
    <w:rsid w:val="006239DE"/>
    <w:rsid w:val="00623E87"/>
    <w:rsid w:val="006240B4"/>
    <w:rsid w:val="00626F89"/>
    <w:rsid w:val="00627358"/>
    <w:rsid w:val="00627376"/>
    <w:rsid w:val="006300B8"/>
    <w:rsid w:val="006301FF"/>
    <w:rsid w:val="006305BE"/>
    <w:rsid w:val="006305F4"/>
    <w:rsid w:val="00630AF6"/>
    <w:rsid w:val="00630CE4"/>
    <w:rsid w:val="00631C14"/>
    <w:rsid w:val="00631CAA"/>
    <w:rsid w:val="00631E32"/>
    <w:rsid w:val="006320D4"/>
    <w:rsid w:val="00632598"/>
    <w:rsid w:val="0063288B"/>
    <w:rsid w:val="00632C81"/>
    <w:rsid w:val="006330AE"/>
    <w:rsid w:val="006337E6"/>
    <w:rsid w:val="00635285"/>
    <w:rsid w:val="00635312"/>
    <w:rsid w:val="0064001F"/>
    <w:rsid w:val="0064009A"/>
    <w:rsid w:val="00640259"/>
    <w:rsid w:val="006402A0"/>
    <w:rsid w:val="00640345"/>
    <w:rsid w:val="00640A96"/>
    <w:rsid w:val="006413CC"/>
    <w:rsid w:val="00642057"/>
    <w:rsid w:val="00646049"/>
    <w:rsid w:val="00646214"/>
    <w:rsid w:val="006469EE"/>
    <w:rsid w:val="00646D3C"/>
    <w:rsid w:val="00647957"/>
    <w:rsid w:val="00650570"/>
    <w:rsid w:val="00650D6F"/>
    <w:rsid w:val="00651B11"/>
    <w:rsid w:val="00651C54"/>
    <w:rsid w:val="006535C6"/>
    <w:rsid w:val="006535E3"/>
    <w:rsid w:val="006536E4"/>
    <w:rsid w:val="00653896"/>
    <w:rsid w:val="006544DF"/>
    <w:rsid w:val="00654C79"/>
    <w:rsid w:val="00654DAF"/>
    <w:rsid w:val="006554AA"/>
    <w:rsid w:val="006556AF"/>
    <w:rsid w:val="00656E69"/>
    <w:rsid w:val="0065798C"/>
    <w:rsid w:val="00661780"/>
    <w:rsid w:val="00661F94"/>
    <w:rsid w:val="00662712"/>
    <w:rsid w:val="00662749"/>
    <w:rsid w:val="00662F1D"/>
    <w:rsid w:val="00662F5B"/>
    <w:rsid w:val="006632F9"/>
    <w:rsid w:val="00663C0F"/>
    <w:rsid w:val="00663EA2"/>
    <w:rsid w:val="00664165"/>
    <w:rsid w:val="0066427D"/>
    <w:rsid w:val="00664B6E"/>
    <w:rsid w:val="006654A7"/>
    <w:rsid w:val="00665904"/>
    <w:rsid w:val="00667512"/>
    <w:rsid w:val="00667549"/>
    <w:rsid w:val="00667E3B"/>
    <w:rsid w:val="0067109D"/>
    <w:rsid w:val="00671339"/>
    <w:rsid w:val="00671601"/>
    <w:rsid w:val="00671ADE"/>
    <w:rsid w:val="00672C67"/>
    <w:rsid w:val="00673A24"/>
    <w:rsid w:val="0067456E"/>
    <w:rsid w:val="006759DD"/>
    <w:rsid w:val="00676980"/>
    <w:rsid w:val="00676DB3"/>
    <w:rsid w:val="00677354"/>
    <w:rsid w:val="00677D86"/>
    <w:rsid w:val="0068032D"/>
    <w:rsid w:val="00680529"/>
    <w:rsid w:val="00680D14"/>
    <w:rsid w:val="00680DDF"/>
    <w:rsid w:val="0068163B"/>
    <w:rsid w:val="00682090"/>
    <w:rsid w:val="00683C17"/>
    <w:rsid w:val="0068420D"/>
    <w:rsid w:val="0068442B"/>
    <w:rsid w:val="006857BE"/>
    <w:rsid w:val="00686FD4"/>
    <w:rsid w:val="00687181"/>
    <w:rsid w:val="00687CCE"/>
    <w:rsid w:val="00687ECB"/>
    <w:rsid w:val="006923F0"/>
    <w:rsid w:val="00693FD7"/>
    <w:rsid w:val="00694170"/>
    <w:rsid w:val="00694FBC"/>
    <w:rsid w:val="0069600B"/>
    <w:rsid w:val="00696171"/>
    <w:rsid w:val="006966BA"/>
    <w:rsid w:val="00697221"/>
    <w:rsid w:val="006972FC"/>
    <w:rsid w:val="006973C2"/>
    <w:rsid w:val="0069788A"/>
    <w:rsid w:val="00697FDB"/>
    <w:rsid w:val="006A02A2"/>
    <w:rsid w:val="006A0D86"/>
    <w:rsid w:val="006A33C8"/>
    <w:rsid w:val="006A3930"/>
    <w:rsid w:val="006A445C"/>
    <w:rsid w:val="006A462A"/>
    <w:rsid w:val="006A5A69"/>
    <w:rsid w:val="006A61EC"/>
    <w:rsid w:val="006A6A30"/>
    <w:rsid w:val="006A798B"/>
    <w:rsid w:val="006A7E62"/>
    <w:rsid w:val="006B043E"/>
    <w:rsid w:val="006B2122"/>
    <w:rsid w:val="006B380E"/>
    <w:rsid w:val="006B678C"/>
    <w:rsid w:val="006B7F4D"/>
    <w:rsid w:val="006C0F6D"/>
    <w:rsid w:val="006C13F5"/>
    <w:rsid w:val="006C1CC1"/>
    <w:rsid w:val="006C1E9E"/>
    <w:rsid w:val="006C2C77"/>
    <w:rsid w:val="006C3183"/>
    <w:rsid w:val="006C3B48"/>
    <w:rsid w:val="006C405A"/>
    <w:rsid w:val="006C4353"/>
    <w:rsid w:val="006C4910"/>
    <w:rsid w:val="006C4F7D"/>
    <w:rsid w:val="006C5290"/>
    <w:rsid w:val="006C70D4"/>
    <w:rsid w:val="006C762E"/>
    <w:rsid w:val="006C7A3E"/>
    <w:rsid w:val="006D159D"/>
    <w:rsid w:val="006D1732"/>
    <w:rsid w:val="006D2FF9"/>
    <w:rsid w:val="006D39AC"/>
    <w:rsid w:val="006D3A68"/>
    <w:rsid w:val="006D4220"/>
    <w:rsid w:val="006D4469"/>
    <w:rsid w:val="006D4654"/>
    <w:rsid w:val="006D510A"/>
    <w:rsid w:val="006D68FC"/>
    <w:rsid w:val="006D719D"/>
    <w:rsid w:val="006D7CAC"/>
    <w:rsid w:val="006D7D28"/>
    <w:rsid w:val="006D7EF7"/>
    <w:rsid w:val="006E2A70"/>
    <w:rsid w:val="006E3214"/>
    <w:rsid w:val="006E33A1"/>
    <w:rsid w:val="006E39A9"/>
    <w:rsid w:val="006E3C57"/>
    <w:rsid w:val="006E3CEF"/>
    <w:rsid w:val="006E4100"/>
    <w:rsid w:val="006E4713"/>
    <w:rsid w:val="006E4CBA"/>
    <w:rsid w:val="006E5589"/>
    <w:rsid w:val="006E5A1D"/>
    <w:rsid w:val="006E5AE8"/>
    <w:rsid w:val="006E6184"/>
    <w:rsid w:val="006E7448"/>
    <w:rsid w:val="006E7C39"/>
    <w:rsid w:val="006F00ED"/>
    <w:rsid w:val="006F1E18"/>
    <w:rsid w:val="006F23FC"/>
    <w:rsid w:val="006F286D"/>
    <w:rsid w:val="006F2BF3"/>
    <w:rsid w:val="006F37CA"/>
    <w:rsid w:val="006F4259"/>
    <w:rsid w:val="006F47B8"/>
    <w:rsid w:val="006F504E"/>
    <w:rsid w:val="006F5934"/>
    <w:rsid w:val="006F6A9F"/>
    <w:rsid w:val="006F7AFD"/>
    <w:rsid w:val="00700003"/>
    <w:rsid w:val="007005D7"/>
    <w:rsid w:val="00700877"/>
    <w:rsid w:val="007028F5"/>
    <w:rsid w:val="00703071"/>
    <w:rsid w:val="0070338B"/>
    <w:rsid w:val="00703F19"/>
    <w:rsid w:val="007042BD"/>
    <w:rsid w:val="00704626"/>
    <w:rsid w:val="00704E5C"/>
    <w:rsid w:val="00705A5D"/>
    <w:rsid w:val="00705F9A"/>
    <w:rsid w:val="00706C35"/>
    <w:rsid w:val="00706FFF"/>
    <w:rsid w:val="007077E6"/>
    <w:rsid w:val="00710168"/>
    <w:rsid w:val="0071053C"/>
    <w:rsid w:val="0071180C"/>
    <w:rsid w:val="00711F8C"/>
    <w:rsid w:val="007120AF"/>
    <w:rsid w:val="00712141"/>
    <w:rsid w:val="00712DFB"/>
    <w:rsid w:val="007134C7"/>
    <w:rsid w:val="00713659"/>
    <w:rsid w:val="00713A64"/>
    <w:rsid w:val="0071400B"/>
    <w:rsid w:val="0071543C"/>
    <w:rsid w:val="00716B0A"/>
    <w:rsid w:val="00717BB9"/>
    <w:rsid w:val="00717C8E"/>
    <w:rsid w:val="00720A03"/>
    <w:rsid w:val="00720ACC"/>
    <w:rsid w:val="007213CB"/>
    <w:rsid w:val="007217B9"/>
    <w:rsid w:val="00722958"/>
    <w:rsid w:val="00722FB9"/>
    <w:rsid w:val="0072384C"/>
    <w:rsid w:val="00723A0E"/>
    <w:rsid w:val="00725823"/>
    <w:rsid w:val="00725D52"/>
    <w:rsid w:val="00725ECE"/>
    <w:rsid w:val="00726188"/>
    <w:rsid w:val="00726317"/>
    <w:rsid w:val="00726479"/>
    <w:rsid w:val="0072666E"/>
    <w:rsid w:val="00726E31"/>
    <w:rsid w:val="007270EC"/>
    <w:rsid w:val="007300E5"/>
    <w:rsid w:val="00730758"/>
    <w:rsid w:val="00730A2A"/>
    <w:rsid w:val="00730C74"/>
    <w:rsid w:val="00731060"/>
    <w:rsid w:val="00731501"/>
    <w:rsid w:val="00731931"/>
    <w:rsid w:val="007322A3"/>
    <w:rsid w:val="007327CE"/>
    <w:rsid w:val="00732D62"/>
    <w:rsid w:val="007335C8"/>
    <w:rsid w:val="007349DB"/>
    <w:rsid w:val="007350AC"/>
    <w:rsid w:val="00735D95"/>
    <w:rsid w:val="0073636F"/>
    <w:rsid w:val="007374A7"/>
    <w:rsid w:val="00740288"/>
    <w:rsid w:val="00740755"/>
    <w:rsid w:val="0074087D"/>
    <w:rsid w:val="007412EE"/>
    <w:rsid w:val="00742B88"/>
    <w:rsid w:val="0074316C"/>
    <w:rsid w:val="00744051"/>
    <w:rsid w:val="00744245"/>
    <w:rsid w:val="007444CB"/>
    <w:rsid w:val="00746423"/>
    <w:rsid w:val="007473DC"/>
    <w:rsid w:val="007512C6"/>
    <w:rsid w:val="00751D54"/>
    <w:rsid w:val="00751FEE"/>
    <w:rsid w:val="00753FB7"/>
    <w:rsid w:val="00754C39"/>
    <w:rsid w:val="0075505D"/>
    <w:rsid w:val="0075555C"/>
    <w:rsid w:val="00756A68"/>
    <w:rsid w:val="00756F90"/>
    <w:rsid w:val="007570EF"/>
    <w:rsid w:val="007609DB"/>
    <w:rsid w:val="007625A8"/>
    <w:rsid w:val="0076295F"/>
    <w:rsid w:val="00762CB6"/>
    <w:rsid w:val="00762F9A"/>
    <w:rsid w:val="00763020"/>
    <w:rsid w:val="00763AF7"/>
    <w:rsid w:val="00763C5F"/>
    <w:rsid w:val="00763FD2"/>
    <w:rsid w:val="0076460B"/>
    <w:rsid w:val="00764714"/>
    <w:rsid w:val="0076473C"/>
    <w:rsid w:val="00764E7A"/>
    <w:rsid w:val="007657D7"/>
    <w:rsid w:val="00770D7A"/>
    <w:rsid w:val="00771442"/>
    <w:rsid w:val="00771E9A"/>
    <w:rsid w:val="007725F7"/>
    <w:rsid w:val="00772D23"/>
    <w:rsid w:val="007761EF"/>
    <w:rsid w:val="007764BC"/>
    <w:rsid w:val="0077674C"/>
    <w:rsid w:val="00776A1E"/>
    <w:rsid w:val="007801EC"/>
    <w:rsid w:val="007802AC"/>
    <w:rsid w:val="00781447"/>
    <w:rsid w:val="00781DD5"/>
    <w:rsid w:val="00782097"/>
    <w:rsid w:val="0078244A"/>
    <w:rsid w:val="00782507"/>
    <w:rsid w:val="00782FE7"/>
    <w:rsid w:val="00783C70"/>
    <w:rsid w:val="00784297"/>
    <w:rsid w:val="0078481D"/>
    <w:rsid w:val="00784EC9"/>
    <w:rsid w:val="007853A6"/>
    <w:rsid w:val="007859E2"/>
    <w:rsid w:val="00785A6C"/>
    <w:rsid w:val="00785E7F"/>
    <w:rsid w:val="00786216"/>
    <w:rsid w:val="0078712E"/>
    <w:rsid w:val="00791C16"/>
    <w:rsid w:val="00793F83"/>
    <w:rsid w:val="00794615"/>
    <w:rsid w:val="00794968"/>
    <w:rsid w:val="007952B1"/>
    <w:rsid w:val="007953CA"/>
    <w:rsid w:val="007954AF"/>
    <w:rsid w:val="00795E74"/>
    <w:rsid w:val="00795EE5"/>
    <w:rsid w:val="00796928"/>
    <w:rsid w:val="0079773E"/>
    <w:rsid w:val="007A00BC"/>
    <w:rsid w:val="007A021B"/>
    <w:rsid w:val="007A0C7C"/>
    <w:rsid w:val="007A18CF"/>
    <w:rsid w:val="007A1F5A"/>
    <w:rsid w:val="007A40E2"/>
    <w:rsid w:val="007A4CAD"/>
    <w:rsid w:val="007A5167"/>
    <w:rsid w:val="007A6105"/>
    <w:rsid w:val="007A63AA"/>
    <w:rsid w:val="007A6423"/>
    <w:rsid w:val="007A659F"/>
    <w:rsid w:val="007B02D7"/>
    <w:rsid w:val="007B178D"/>
    <w:rsid w:val="007B18F2"/>
    <w:rsid w:val="007B1C44"/>
    <w:rsid w:val="007B2E4E"/>
    <w:rsid w:val="007B349A"/>
    <w:rsid w:val="007B3671"/>
    <w:rsid w:val="007B3FD7"/>
    <w:rsid w:val="007B493C"/>
    <w:rsid w:val="007B5A28"/>
    <w:rsid w:val="007B71EA"/>
    <w:rsid w:val="007B7754"/>
    <w:rsid w:val="007B7D12"/>
    <w:rsid w:val="007C098F"/>
    <w:rsid w:val="007C10E8"/>
    <w:rsid w:val="007C43EA"/>
    <w:rsid w:val="007C5D5D"/>
    <w:rsid w:val="007C6B28"/>
    <w:rsid w:val="007D2493"/>
    <w:rsid w:val="007D39E9"/>
    <w:rsid w:val="007D4076"/>
    <w:rsid w:val="007D49D5"/>
    <w:rsid w:val="007D61B6"/>
    <w:rsid w:val="007D648A"/>
    <w:rsid w:val="007D6590"/>
    <w:rsid w:val="007D665E"/>
    <w:rsid w:val="007D6DCD"/>
    <w:rsid w:val="007D6F1B"/>
    <w:rsid w:val="007D7AE1"/>
    <w:rsid w:val="007E0E2D"/>
    <w:rsid w:val="007E1B73"/>
    <w:rsid w:val="007E2C67"/>
    <w:rsid w:val="007E32C0"/>
    <w:rsid w:val="007E3690"/>
    <w:rsid w:val="007E3B9F"/>
    <w:rsid w:val="007E5AEA"/>
    <w:rsid w:val="007E7D73"/>
    <w:rsid w:val="007F2463"/>
    <w:rsid w:val="007F3886"/>
    <w:rsid w:val="007F3A74"/>
    <w:rsid w:val="007F4588"/>
    <w:rsid w:val="007F45F1"/>
    <w:rsid w:val="007F55C7"/>
    <w:rsid w:val="007F7486"/>
    <w:rsid w:val="007F7C9B"/>
    <w:rsid w:val="00800970"/>
    <w:rsid w:val="00800DFF"/>
    <w:rsid w:val="00801021"/>
    <w:rsid w:val="00801023"/>
    <w:rsid w:val="008023BB"/>
    <w:rsid w:val="0080396A"/>
    <w:rsid w:val="0080400C"/>
    <w:rsid w:val="008046B7"/>
    <w:rsid w:val="00804A6B"/>
    <w:rsid w:val="0080570A"/>
    <w:rsid w:val="008058B2"/>
    <w:rsid w:val="00805B2A"/>
    <w:rsid w:val="008070D2"/>
    <w:rsid w:val="00807443"/>
    <w:rsid w:val="008075BC"/>
    <w:rsid w:val="00810EE5"/>
    <w:rsid w:val="008156D9"/>
    <w:rsid w:val="0081597A"/>
    <w:rsid w:val="00815A40"/>
    <w:rsid w:val="00816FC2"/>
    <w:rsid w:val="008210E5"/>
    <w:rsid w:val="008215DC"/>
    <w:rsid w:val="00822406"/>
    <w:rsid w:val="008227BE"/>
    <w:rsid w:val="00823CBD"/>
    <w:rsid w:val="00824648"/>
    <w:rsid w:val="00825141"/>
    <w:rsid w:val="008257F0"/>
    <w:rsid w:val="00826CAC"/>
    <w:rsid w:val="0082732E"/>
    <w:rsid w:val="00827D95"/>
    <w:rsid w:val="008306E4"/>
    <w:rsid w:val="00830B4E"/>
    <w:rsid w:val="00831B80"/>
    <w:rsid w:val="00831D9A"/>
    <w:rsid w:val="0083224F"/>
    <w:rsid w:val="00832359"/>
    <w:rsid w:val="00833DAC"/>
    <w:rsid w:val="008345C7"/>
    <w:rsid w:val="00834A1B"/>
    <w:rsid w:val="00834F5E"/>
    <w:rsid w:val="00835029"/>
    <w:rsid w:val="0083578F"/>
    <w:rsid w:val="00835A0C"/>
    <w:rsid w:val="0084240D"/>
    <w:rsid w:val="008434CA"/>
    <w:rsid w:val="00843D5E"/>
    <w:rsid w:val="00843F7B"/>
    <w:rsid w:val="008445CF"/>
    <w:rsid w:val="00844B02"/>
    <w:rsid w:val="00845296"/>
    <w:rsid w:val="00845932"/>
    <w:rsid w:val="0085095A"/>
    <w:rsid w:val="00850A5C"/>
    <w:rsid w:val="008528CA"/>
    <w:rsid w:val="00853802"/>
    <w:rsid w:val="008559F2"/>
    <w:rsid w:val="00856098"/>
    <w:rsid w:val="008567E3"/>
    <w:rsid w:val="0085769B"/>
    <w:rsid w:val="00857E80"/>
    <w:rsid w:val="0086171E"/>
    <w:rsid w:val="00861726"/>
    <w:rsid w:val="00861F46"/>
    <w:rsid w:val="008621FA"/>
    <w:rsid w:val="00862E25"/>
    <w:rsid w:val="008636AF"/>
    <w:rsid w:val="00865056"/>
    <w:rsid w:val="008659D0"/>
    <w:rsid w:val="00865D1B"/>
    <w:rsid w:val="00865E23"/>
    <w:rsid w:val="00867699"/>
    <w:rsid w:val="00867CBF"/>
    <w:rsid w:val="0087002D"/>
    <w:rsid w:val="008702D7"/>
    <w:rsid w:val="00870399"/>
    <w:rsid w:val="00870BBB"/>
    <w:rsid w:val="00871472"/>
    <w:rsid w:val="008735C9"/>
    <w:rsid w:val="00873C84"/>
    <w:rsid w:val="00874000"/>
    <w:rsid w:val="00874F2E"/>
    <w:rsid w:val="00875ABD"/>
    <w:rsid w:val="00876CE5"/>
    <w:rsid w:val="008770FD"/>
    <w:rsid w:val="00877F98"/>
    <w:rsid w:val="008806EE"/>
    <w:rsid w:val="008817D4"/>
    <w:rsid w:val="00881AE9"/>
    <w:rsid w:val="00882652"/>
    <w:rsid w:val="008827D1"/>
    <w:rsid w:val="008837CD"/>
    <w:rsid w:val="00884EFC"/>
    <w:rsid w:val="00884FF5"/>
    <w:rsid w:val="00886958"/>
    <w:rsid w:val="00887B8B"/>
    <w:rsid w:val="00887DF5"/>
    <w:rsid w:val="00887FED"/>
    <w:rsid w:val="00890314"/>
    <w:rsid w:val="0089144C"/>
    <w:rsid w:val="0089182C"/>
    <w:rsid w:val="008929BA"/>
    <w:rsid w:val="00894301"/>
    <w:rsid w:val="00895FE9"/>
    <w:rsid w:val="00897AF6"/>
    <w:rsid w:val="00897B9D"/>
    <w:rsid w:val="008A116F"/>
    <w:rsid w:val="008A1327"/>
    <w:rsid w:val="008A1958"/>
    <w:rsid w:val="008A25FB"/>
    <w:rsid w:val="008A3347"/>
    <w:rsid w:val="008A3576"/>
    <w:rsid w:val="008A593D"/>
    <w:rsid w:val="008A5C4F"/>
    <w:rsid w:val="008A62CF"/>
    <w:rsid w:val="008A63AE"/>
    <w:rsid w:val="008A6C57"/>
    <w:rsid w:val="008B0379"/>
    <w:rsid w:val="008B0818"/>
    <w:rsid w:val="008B42A6"/>
    <w:rsid w:val="008B46EF"/>
    <w:rsid w:val="008B4F16"/>
    <w:rsid w:val="008B64E5"/>
    <w:rsid w:val="008B7520"/>
    <w:rsid w:val="008B7C26"/>
    <w:rsid w:val="008C103A"/>
    <w:rsid w:val="008C1CC0"/>
    <w:rsid w:val="008C347C"/>
    <w:rsid w:val="008C43B4"/>
    <w:rsid w:val="008C51A6"/>
    <w:rsid w:val="008C661E"/>
    <w:rsid w:val="008D0663"/>
    <w:rsid w:val="008D1111"/>
    <w:rsid w:val="008D1D37"/>
    <w:rsid w:val="008D3062"/>
    <w:rsid w:val="008D374B"/>
    <w:rsid w:val="008D4947"/>
    <w:rsid w:val="008D6A98"/>
    <w:rsid w:val="008E0EC7"/>
    <w:rsid w:val="008E1254"/>
    <w:rsid w:val="008E2483"/>
    <w:rsid w:val="008E2583"/>
    <w:rsid w:val="008E3A25"/>
    <w:rsid w:val="008E3AD3"/>
    <w:rsid w:val="008E3DDE"/>
    <w:rsid w:val="008E436E"/>
    <w:rsid w:val="008E47B4"/>
    <w:rsid w:val="008E5D2C"/>
    <w:rsid w:val="008E6F08"/>
    <w:rsid w:val="008E7086"/>
    <w:rsid w:val="008E7CB5"/>
    <w:rsid w:val="008F1249"/>
    <w:rsid w:val="008F142D"/>
    <w:rsid w:val="008F1AE0"/>
    <w:rsid w:val="008F324F"/>
    <w:rsid w:val="008F5A2A"/>
    <w:rsid w:val="008F6DB6"/>
    <w:rsid w:val="00903673"/>
    <w:rsid w:val="00904486"/>
    <w:rsid w:val="0090515B"/>
    <w:rsid w:val="009052B0"/>
    <w:rsid w:val="00905C53"/>
    <w:rsid w:val="00905C54"/>
    <w:rsid w:val="00906387"/>
    <w:rsid w:val="009063CD"/>
    <w:rsid w:val="00906FE2"/>
    <w:rsid w:val="00907D80"/>
    <w:rsid w:val="00910D71"/>
    <w:rsid w:val="00911605"/>
    <w:rsid w:val="00912428"/>
    <w:rsid w:val="0091287C"/>
    <w:rsid w:val="00912A17"/>
    <w:rsid w:val="00912E40"/>
    <w:rsid w:val="009141C1"/>
    <w:rsid w:val="00914D0B"/>
    <w:rsid w:val="00915D27"/>
    <w:rsid w:val="009163B6"/>
    <w:rsid w:val="00916871"/>
    <w:rsid w:val="00916F12"/>
    <w:rsid w:val="00917913"/>
    <w:rsid w:val="00917CF7"/>
    <w:rsid w:val="009214D6"/>
    <w:rsid w:val="00921649"/>
    <w:rsid w:val="00922046"/>
    <w:rsid w:val="00922FFB"/>
    <w:rsid w:val="0092352C"/>
    <w:rsid w:val="009237FC"/>
    <w:rsid w:val="00923C93"/>
    <w:rsid w:val="00924F34"/>
    <w:rsid w:val="009251EF"/>
    <w:rsid w:val="0092733E"/>
    <w:rsid w:val="0092755E"/>
    <w:rsid w:val="0093067A"/>
    <w:rsid w:val="00930F08"/>
    <w:rsid w:val="00930FEC"/>
    <w:rsid w:val="009310B8"/>
    <w:rsid w:val="0093190C"/>
    <w:rsid w:val="0093199A"/>
    <w:rsid w:val="00931CAD"/>
    <w:rsid w:val="0093254E"/>
    <w:rsid w:val="00932C3B"/>
    <w:rsid w:val="00932CB6"/>
    <w:rsid w:val="0093426F"/>
    <w:rsid w:val="0093486C"/>
    <w:rsid w:val="0093500B"/>
    <w:rsid w:val="00935A41"/>
    <w:rsid w:val="00940F5D"/>
    <w:rsid w:val="00941EE8"/>
    <w:rsid w:val="0094248A"/>
    <w:rsid w:val="00943984"/>
    <w:rsid w:val="00944012"/>
    <w:rsid w:val="00944860"/>
    <w:rsid w:val="00944935"/>
    <w:rsid w:val="00944953"/>
    <w:rsid w:val="009449DB"/>
    <w:rsid w:val="00944E18"/>
    <w:rsid w:val="00945201"/>
    <w:rsid w:val="009454CC"/>
    <w:rsid w:val="0094600E"/>
    <w:rsid w:val="009460CD"/>
    <w:rsid w:val="009468ED"/>
    <w:rsid w:val="009505C1"/>
    <w:rsid w:val="009508E8"/>
    <w:rsid w:val="00950DBD"/>
    <w:rsid w:val="0095114C"/>
    <w:rsid w:val="00952E9A"/>
    <w:rsid w:val="009542DB"/>
    <w:rsid w:val="009544D3"/>
    <w:rsid w:val="00954D24"/>
    <w:rsid w:val="00955AA5"/>
    <w:rsid w:val="00956712"/>
    <w:rsid w:val="00957CD0"/>
    <w:rsid w:val="00957E99"/>
    <w:rsid w:val="0096000B"/>
    <w:rsid w:val="009622E3"/>
    <w:rsid w:val="00962CB2"/>
    <w:rsid w:val="00963528"/>
    <w:rsid w:val="00963E7E"/>
    <w:rsid w:val="00964112"/>
    <w:rsid w:val="00964520"/>
    <w:rsid w:val="00964E65"/>
    <w:rsid w:val="009661DE"/>
    <w:rsid w:val="00966D60"/>
    <w:rsid w:val="0096728A"/>
    <w:rsid w:val="00967543"/>
    <w:rsid w:val="00970DAC"/>
    <w:rsid w:val="00972580"/>
    <w:rsid w:val="0097270B"/>
    <w:rsid w:val="0097285D"/>
    <w:rsid w:val="00972D53"/>
    <w:rsid w:val="00972E29"/>
    <w:rsid w:val="00972E59"/>
    <w:rsid w:val="00973091"/>
    <w:rsid w:val="009744B9"/>
    <w:rsid w:val="00974524"/>
    <w:rsid w:val="009747A8"/>
    <w:rsid w:val="00974F33"/>
    <w:rsid w:val="00974F35"/>
    <w:rsid w:val="00976089"/>
    <w:rsid w:val="009767E8"/>
    <w:rsid w:val="0098007A"/>
    <w:rsid w:val="00980B76"/>
    <w:rsid w:val="00981498"/>
    <w:rsid w:val="009818C6"/>
    <w:rsid w:val="00981F12"/>
    <w:rsid w:val="00982435"/>
    <w:rsid w:val="00982547"/>
    <w:rsid w:val="00982ABA"/>
    <w:rsid w:val="00984A0C"/>
    <w:rsid w:val="00985323"/>
    <w:rsid w:val="009857AB"/>
    <w:rsid w:val="00986DCB"/>
    <w:rsid w:val="00986F36"/>
    <w:rsid w:val="00990247"/>
    <w:rsid w:val="0099180D"/>
    <w:rsid w:val="00993826"/>
    <w:rsid w:val="00993F31"/>
    <w:rsid w:val="009940BD"/>
    <w:rsid w:val="00994951"/>
    <w:rsid w:val="00994EDB"/>
    <w:rsid w:val="009955B3"/>
    <w:rsid w:val="00995796"/>
    <w:rsid w:val="00995ADF"/>
    <w:rsid w:val="00996051"/>
    <w:rsid w:val="0099622C"/>
    <w:rsid w:val="00996A3B"/>
    <w:rsid w:val="009A0B34"/>
    <w:rsid w:val="009A15C2"/>
    <w:rsid w:val="009A17DA"/>
    <w:rsid w:val="009A1E8F"/>
    <w:rsid w:val="009A2005"/>
    <w:rsid w:val="009A2021"/>
    <w:rsid w:val="009A30B1"/>
    <w:rsid w:val="009A449B"/>
    <w:rsid w:val="009A4EF8"/>
    <w:rsid w:val="009A74EA"/>
    <w:rsid w:val="009B0394"/>
    <w:rsid w:val="009B076D"/>
    <w:rsid w:val="009B07B4"/>
    <w:rsid w:val="009B4C80"/>
    <w:rsid w:val="009B4EE7"/>
    <w:rsid w:val="009B570E"/>
    <w:rsid w:val="009B6321"/>
    <w:rsid w:val="009B696A"/>
    <w:rsid w:val="009B7F01"/>
    <w:rsid w:val="009C095B"/>
    <w:rsid w:val="009C09FB"/>
    <w:rsid w:val="009C1C9C"/>
    <w:rsid w:val="009C4834"/>
    <w:rsid w:val="009C48FD"/>
    <w:rsid w:val="009C5E8D"/>
    <w:rsid w:val="009C6D5F"/>
    <w:rsid w:val="009C7246"/>
    <w:rsid w:val="009C76A5"/>
    <w:rsid w:val="009C7B29"/>
    <w:rsid w:val="009C7CAA"/>
    <w:rsid w:val="009C7F9F"/>
    <w:rsid w:val="009D0A63"/>
    <w:rsid w:val="009D0AB2"/>
    <w:rsid w:val="009D13AE"/>
    <w:rsid w:val="009D14EC"/>
    <w:rsid w:val="009D1587"/>
    <w:rsid w:val="009D1BBD"/>
    <w:rsid w:val="009D1D73"/>
    <w:rsid w:val="009D1EC3"/>
    <w:rsid w:val="009D2677"/>
    <w:rsid w:val="009D3E3E"/>
    <w:rsid w:val="009D408A"/>
    <w:rsid w:val="009D40C1"/>
    <w:rsid w:val="009D40DD"/>
    <w:rsid w:val="009D4CEB"/>
    <w:rsid w:val="009D57F8"/>
    <w:rsid w:val="009D5E6D"/>
    <w:rsid w:val="009D6C5E"/>
    <w:rsid w:val="009D73CD"/>
    <w:rsid w:val="009D7AC8"/>
    <w:rsid w:val="009E0CE3"/>
    <w:rsid w:val="009E16AA"/>
    <w:rsid w:val="009E17C2"/>
    <w:rsid w:val="009E2CB7"/>
    <w:rsid w:val="009E2CCC"/>
    <w:rsid w:val="009E3352"/>
    <w:rsid w:val="009E3821"/>
    <w:rsid w:val="009E4DCA"/>
    <w:rsid w:val="009E6642"/>
    <w:rsid w:val="009E6771"/>
    <w:rsid w:val="009E7A05"/>
    <w:rsid w:val="009E7EB4"/>
    <w:rsid w:val="009F1E73"/>
    <w:rsid w:val="009F212E"/>
    <w:rsid w:val="009F45A6"/>
    <w:rsid w:val="009F4AEE"/>
    <w:rsid w:val="009F4DCB"/>
    <w:rsid w:val="009F7D15"/>
    <w:rsid w:val="00A001A2"/>
    <w:rsid w:val="00A016AF"/>
    <w:rsid w:val="00A0343F"/>
    <w:rsid w:val="00A039C0"/>
    <w:rsid w:val="00A03CE9"/>
    <w:rsid w:val="00A04B77"/>
    <w:rsid w:val="00A05BC5"/>
    <w:rsid w:val="00A11D04"/>
    <w:rsid w:val="00A11DFF"/>
    <w:rsid w:val="00A14F8E"/>
    <w:rsid w:val="00A155A9"/>
    <w:rsid w:val="00A15D74"/>
    <w:rsid w:val="00A160CD"/>
    <w:rsid w:val="00A1628E"/>
    <w:rsid w:val="00A169D7"/>
    <w:rsid w:val="00A2036D"/>
    <w:rsid w:val="00A20816"/>
    <w:rsid w:val="00A2254F"/>
    <w:rsid w:val="00A2376A"/>
    <w:rsid w:val="00A23857"/>
    <w:rsid w:val="00A25837"/>
    <w:rsid w:val="00A25A64"/>
    <w:rsid w:val="00A264A8"/>
    <w:rsid w:val="00A26A83"/>
    <w:rsid w:val="00A27316"/>
    <w:rsid w:val="00A30298"/>
    <w:rsid w:val="00A304F2"/>
    <w:rsid w:val="00A322EC"/>
    <w:rsid w:val="00A33613"/>
    <w:rsid w:val="00A33C57"/>
    <w:rsid w:val="00A342DB"/>
    <w:rsid w:val="00A37646"/>
    <w:rsid w:val="00A4026D"/>
    <w:rsid w:val="00A40772"/>
    <w:rsid w:val="00A40FDA"/>
    <w:rsid w:val="00A417B3"/>
    <w:rsid w:val="00A41D56"/>
    <w:rsid w:val="00A42213"/>
    <w:rsid w:val="00A427DF"/>
    <w:rsid w:val="00A42A62"/>
    <w:rsid w:val="00A42C80"/>
    <w:rsid w:val="00A4300C"/>
    <w:rsid w:val="00A43825"/>
    <w:rsid w:val="00A4434B"/>
    <w:rsid w:val="00A451CA"/>
    <w:rsid w:val="00A46DAB"/>
    <w:rsid w:val="00A47B17"/>
    <w:rsid w:val="00A50723"/>
    <w:rsid w:val="00A50A81"/>
    <w:rsid w:val="00A50F58"/>
    <w:rsid w:val="00A513C3"/>
    <w:rsid w:val="00A523D2"/>
    <w:rsid w:val="00A53CED"/>
    <w:rsid w:val="00A5486C"/>
    <w:rsid w:val="00A564B1"/>
    <w:rsid w:val="00A57179"/>
    <w:rsid w:val="00A60A10"/>
    <w:rsid w:val="00A60B1F"/>
    <w:rsid w:val="00A6124C"/>
    <w:rsid w:val="00A63554"/>
    <w:rsid w:val="00A63E9C"/>
    <w:rsid w:val="00A70977"/>
    <w:rsid w:val="00A7098E"/>
    <w:rsid w:val="00A70E26"/>
    <w:rsid w:val="00A7231B"/>
    <w:rsid w:val="00A72E95"/>
    <w:rsid w:val="00A73ACC"/>
    <w:rsid w:val="00A74B3F"/>
    <w:rsid w:val="00A74B68"/>
    <w:rsid w:val="00A74DDC"/>
    <w:rsid w:val="00A74E15"/>
    <w:rsid w:val="00A760C9"/>
    <w:rsid w:val="00A7714C"/>
    <w:rsid w:val="00A77E24"/>
    <w:rsid w:val="00A77EAE"/>
    <w:rsid w:val="00A83592"/>
    <w:rsid w:val="00A83F3B"/>
    <w:rsid w:val="00A8409C"/>
    <w:rsid w:val="00A844B2"/>
    <w:rsid w:val="00A853EB"/>
    <w:rsid w:val="00A85675"/>
    <w:rsid w:val="00A85FD9"/>
    <w:rsid w:val="00A86BF7"/>
    <w:rsid w:val="00A8731B"/>
    <w:rsid w:val="00A87A64"/>
    <w:rsid w:val="00A87AAA"/>
    <w:rsid w:val="00A9056E"/>
    <w:rsid w:val="00A905CF"/>
    <w:rsid w:val="00A90EF2"/>
    <w:rsid w:val="00A90F9C"/>
    <w:rsid w:val="00A914FF"/>
    <w:rsid w:val="00A9151C"/>
    <w:rsid w:val="00A91520"/>
    <w:rsid w:val="00A91592"/>
    <w:rsid w:val="00A921A9"/>
    <w:rsid w:val="00A9230D"/>
    <w:rsid w:val="00A923C0"/>
    <w:rsid w:val="00A94B95"/>
    <w:rsid w:val="00A95038"/>
    <w:rsid w:val="00A95AB0"/>
    <w:rsid w:val="00A95F44"/>
    <w:rsid w:val="00A97085"/>
    <w:rsid w:val="00AA0055"/>
    <w:rsid w:val="00AA017B"/>
    <w:rsid w:val="00AA1132"/>
    <w:rsid w:val="00AA162F"/>
    <w:rsid w:val="00AA19FC"/>
    <w:rsid w:val="00AA226C"/>
    <w:rsid w:val="00AA23C9"/>
    <w:rsid w:val="00AA3A22"/>
    <w:rsid w:val="00AA43EC"/>
    <w:rsid w:val="00AA5017"/>
    <w:rsid w:val="00AA5C97"/>
    <w:rsid w:val="00AA6DEB"/>
    <w:rsid w:val="00AB0789"/>
    <w:rsid w:val="00AB4953"/>
    <w:rsid w:val="00AB5513"/>
    <w:rsid w:val="00AB5CDD"/>
    <w:rsid w:val="00AB5D5D"/>
    <w:rsid w:val="00AB6068"/>
    <w:rsid w:val="00AB6BD4"/>
    <w:rsid w:val="00AB728F"/>
    <w:rsid w:val="00AB72CF"/>
    <w:rsid w:val="00AC0DEB"/>
    <w:rsid w:val="00AC0E07"/>
    <w:rsid w:val="00AC1714"/>
    <w:rsid w:val="00AC1D52"/>
    <w:rsid w:val="00AC250E"/>
    <w:rsid w:val="00AC2FB0"/>
    <w:rsid w:val="00AC3A1B"/>
    <w:rsid w:val="00AC529A"/>
    <w:rsid w:val="00AC592C"/>
    <w:rsid w:val="00AC5E21"/>
    <w:rsid w:val="00AC6BAA"/>
    <w:rsid w:val="00AD0169"/>
    <w:rsid w:val="00AD03F2"/>
    <w:rsid w:val="00AD0D04"/>
    <w:rsid w:val="00AD0D39"/>
    <w:rsid w:val="00AD192E"/>
    <w:rsid w:val="00AD3C4E"/>
    <w:rsid w:val="00AD3E18"/>
    <w:rsid w:val="00AD4C08"/>
    <w:rsid w:val="00AD667E"/>
    <w:rsid w:val="00AD7A8D"/>
    <w:rsid w:val="00AE049F"/>
    <w:rsid w:val="00AE04C7"/>
    <w:rsid w:val="00AE1210"/>
    <w:rsid w:val="00AE213D"/>
    <w:rsid w:val="00AE25A3"/>
    <w:rsid w:val="00AE39F2"/>
    <w:rsid w:val="00AE43CA"/>
    <w:rsid w:val="00AE45AC"/>
    <w:rsid w:val="00AE4A8D"/>
    <w:rsid w:val="00AE579B"/>
    <w:rsid w:val="00AE59E7"/>
    <w:rsid w:val="00AE6CC1"/>
    <w:rsid w:val="00AF06C3"/>
    <w:rsid w:val="00AF1D92"/>
    <w:rsid w:val="00AF2155"/>
    <w:rsid w:val="00AF2855"/>
    <w:rsid w:val="00AF3AF7"/>
    <w:rsid w:val="00AF3D40"/>
    <w:rsid w:val="00AF4967"/>
    <w:rsid w:val="00AF4A9C"/>
    <w:rsid w:val="00AF625E"/>
    <w:rsid w:val="00AF64A1"/>
    <w:rsid w:val="00AF6A90"/>
    <w:rsid w:val="00AF770B"/>
    <w:rsid w:val="00AF7B74"/>
    <w:rsid w:val="00B00919"/>
    <w:rsid w:val="00B00DFD"/>
    <w:rsid w:val="00B055A0"/>
    <w:rsid w:val="00B0575B"/>
    <w:rsid w:val="00B05A5C"/>
    <w:rsid w:val="00B0674E"/>
    <w:rsid w:val="00B06D71"/>
    <w:rsid w:val="00B07765"/>
    <w:rsid w:val="00B11518"/>
    <w:rsid w:val="00B12103"/>
    <w:rsid w:val="00B12EA9"/>
    <w:rsid w:val="00B1315A"/>
    <w:rsid w:val="00B17EA0"/>
    <w:rsid w:val="00B17FC6"/>
    <w:rsid w:val="00B234BC"/>
    <w:rsid w:val="00B2369F"/>
    <w:rsid w:val="00B24228"/>
    <w:rsid w:val="00B245AF"/>
    <w:rsid w:val="00B24AE5"/>
    <w:rsid w:val="00B260CF"/>
    <w:rsid w:val="00B261CA"/>
    <w:rsid w:val="00B27494"/>
    <w:rsid w:val="00B306EE"/>
    <w:rsid w:val="00B3182C"/>
    <w:rsid w:val="00B31C70"/>
    <w:rsid w:val="00B33A61"/>
    <w:rsid w:val="00B34431"/>
    <w:rsid w:val="00B346D0"/>
    <w:rsid w:val="00B34A6C"/>
    <w:rsid w:val="00B35211"/>
    <w:rsid w:val="00B3524B"/>
    <w:rsid w:val="00B3580C"/>
    <w:rsid w:val="00B361E0"/>
    <w:rsid w:val="00B37A22"/>
    <w:rsid w:val="00B40B9F"/>
    <w:rsid w:val="00B41060"/>
    <w:rsid w:val="00B420A8"/>
    <w:rsid w:val="00B423A0"/>
    <w:rsid w:val="00B4274F"/>
    <w:rsid w:val="00B436EC"/>
    <w:rsid w:val="00B4392F"/>
    <w:rsid w:val="00B44923"/>
    <w:rsid w:val="00B44C82"/>
    <w:rsid w:val="00B44ED7"/>
    <w:rsid w:val="00B45B2A"/>
    <w:rsid w:val="00B45E05"/>
    <w:rsid w:val="00B45F37"/>
    <w:rsid w:val="00B46B5A"/>
    <w:rsid w:val="00B50423"/>
    <w:rsid w:val="00B50525"/>
    <w:rsid w:val="00B50FBC"/>
    <w:rsid w:val="00B51807"/>
    <w:rsid w:val="00B53CCA"/>
    <w:rsid w:val="00B54855"/>
    <w:rsid w:val="00B54E39"/>
    <w:rsid w:val="00B54FBD"/>
    <w:rsid w:val="00B554B3"/>
    <w:rsid w:val="00B55A90"/>
    <w:rsid w:val="00B5663A"/>
    <w:rsid w:val="00B56DF0"/>
    <w:rsid w:val="00B57397"/>
    <w:rsid w:val="00B573B5"/>
    <w:rsid w:val="00B57E9A"/>
    <w:rsid w:val="00B625CE"/>
    <w:rsid w:val="00B633FA"/>
    <w:rsid w:val="00B6360D"/>
    <w:rsid w:val="00B63F68"/>
    <w:rsid w:val="00B6435C"/>
    <w:rsid w:val="00B64A73"/>
    <w:rsid w:val="00B65266"/>
    <w:rsid w:val="00B65C67"/>
    <w:rsid w:val="00B6636E"/>
    <w:rsid w:val="00B6639F"/>
    <w:rsid w:val="00B66CCA"/>
    <w:rsid w:val="00B67779"/>
    <w:rsid w:val="00B71B4B"/>
    <w:rsid w:val="00B71E67"/>
    <w:rsid w:val="00B723B8"/>
    <w:rsid w:val="00B73FCB"/>
    <w:rsid w:val="00B74598"/>
    <w:rsid w:val="00B76BB9"/>
    <w:rsid w:val="00B80EEE"/>
    <w:rsid w:val="00B824AE"/>
    <w:rsid w:val="00B83405"/>
    <w:rsid w:val="00B8476B"/>
    <w:rsid w:val="00B84D7C"/>
    <w:rsid w:val="00B84D9E"/>
    <w:rsid w:val="00B8520A"/>
    <w:rsid w:val="00B86C80"/>
    <w:rsid w:val="00B90EC0"/>
    <w:rsid w:val="00B912E7"/>
    <w:rsid w:val="00B91F6C"/>
    <w:rsid w:val="00B92282"/>
    <w:rsid w:val="00B92368"/>
    <w:rsid w:val="00B92FCB"/>
    <w:rsid w:val="00B94DD2"/>
    <w:rsid w:val="00B9556D"/>
    <w:rsid w:val="00B96402"/>
    <w:rsid w:val="00B96930"/>
    <w:rsid w:val="00B96CD2"/>
    <w:rsid w:val="00B96D89"/>
    <w:rsid w:val="00B978EF"/>
    <w:rsid w:val="00B97F68"/>
    <w:rsid w:val="00BA1B54"/>
    <w:rsid w:val="00BA2432"/>
    <w:rsid w:val="00BA2FD5"/>
    <w:rsid w:val="00BA335C"/>
    <w:rsid w:val="00BA3C76"/>
    <w:rsid w:val="00BA482E"/>
    <w:rsid w:val="00BA51A9"/>
    <w:rsid w:val="00BA6431"/>
    <w:rsid w:val="00BA69C1"/>
    <w:rsid w:val="00BA703E"/>
    <w:rsid w:val="00BB0A1F"/>
    <w:rsid w:val="00BB0FCB"/>
    <w:rsid w:val="00BB1B35"/>
    <w:rsid w:val="00BB211B"/>
    <w:rsid w:val="00BB3CC4"/>
    <w:rsid w:val="00BB3DB2"/>
    <w:rsid w:val="00BB4172"/>
    <w:rsid w:val="00BB46E5"/>
    <w:rsid w:val="00BB6990"/>
    <w:rsid w:val="00BB6AD1"/>
    <w:rsid w:val="00BB6CA1"/>
    <w:rsid w:val="00BC0B9D"/>
    <w:rsid w:val="00BC0E03"/>
    <w:rsid w:val="00BC1562"/>
    <w:rsid w:val="00BC1B12"/>
    <w:rsid w:val="00BC26EA"/>
    <w:rsid w:val="00BC2CA4"/>
    <w:rsid w:val="00BC30E6"/>
    <w:rsid w:val="00BC3634"/>
    <w:rsid w:val="00BC5770"/>
    <w:rsid w:val="00BC5C77"/>
    <w:rsid w:val="00BC7140"/>
    <w:rsid w:val="00BC7AC9"/>
    <w:rsid w:val="00BD1CFF"/>
    <w:rsid w:val="00BD21BE"/>
    <w:rsid w:val="00BD27F8"/>
    <w:rsid w:val="00BD3E76"/>
    <w:rsid w:val="00BD43B4"/>
    <w:rsid w:val="00BD4BAD"/>
    <w:rsid w:val="00BD4C3A"/>
    <w:rsid w:val="00BD5487"/>
    <w:rsid w:val="00BD5495"/>
    <w:rsid w:val="00BD5DC0"/>
    <w:rsid w:val="00BD5EB3"/>
    <w:rsid w:val="00BD5F80"/>
    <w:rsid w:val="00BD69DD"/>
    <w:rsid w:val="00BD75C0"/>
    <w:rsid w:val="00BD76C0"/>
    <w:rsid w:val="00BD7993"/>
    <w:rsid w:val="00BD7BE6"/>
    <w:rsid w:val="00BE0D04"/>
    <w:rsid w:val="00BE23CD"/>
    <w:rsid w:val="00BE28E6"/>
    <w:rsid w:val="00BE2F2F"/>
    <w:rsid w:val="00BE300B"/>
    <w:rsid w:val="00BE3196"/>
    <w:rsid w:val="00BE31DE"/>
    <w:rsid w:val="00BE3768"/>
    <w:rsid w:val="00BE3A0A"/>
    <w:rsid w:val="00BE4213"/>
    <w:rsid w:val="00BE66E4"/>
    <w:rsid w:val="00BE70CC"/>
    <w:rsid w:val="00BE7387"/>
    <w:rsid w:val="00BE774B"/>
    <w:rsid w:val="00BE776E"/>
    <w:rsid w:val="00BE7A82"/>
    <w:rsid w:val="00BE7C10"/>
    <w:rsid w:val="00BF02D3"/>
    <w:rsid w:val="00BF0B4E"/>
    <w:rsid w:val="00BF0D5E"/>
    <w:rsid w:val="00BF1EF4"/>
    <w:rsid w:val="00BF2988"/>
    <w:rsid w:val="00BF2F61"/>
    <w:rsid w:val="00BF440F"/>
    <w:rsid w:val="00BF4B59"/>
    <w:rsid w:val="00BF5AC3"/>
    <w:rsid w:val="00BF5C9D"/>
    <w:rsid w:val="00BF71AB"/>
    <w:rsid w:val="00C0015D"/>
    <w:rsid w:val="00C00619"/>
    <w:rsid w:val="00C0062B"/>
    <w:rsid w:val="00C00B75"/>
    <w:rsid w:val="00C00E2A"/>
    <w:rsid w:val="00C02F99"/>
    <w:rsid w:val="00C0387F"/>
    <w:rsid w:val="00C03A16"/>
    <w:rsid w:val="00C03DDE"/>
    <w:rsid w:val="00C03F7C"/>
    <w:rsid w:val="00C04B77"/>
    <w:rsid w:val="00C0570D"/>
    <w:rsid w:val="00C05793"/>
    <w:rsid w:val="00C05A3E"/>
    <w:rsid w:val="00C111C5"/>
    <w:rsid w:val="00C12A3A"/>
    <w:rsid w:val="00C13187"/>
    <w:rsid w:val="00C13969"/>
    <w:rsid w:val="00C15371"/>
    <w:rsid w:val="00C15A20"/>
    <w:rsid w:val="00C16B47"/>
    <w:rsid w:val="00C1714A"/>
    <w:rsid w:val="00C177D3"/>
    <w:rsid w:val="00C2059C"/>
    <w:rsid w:val="00C20E57"/>
    <w:rsid w:val="00C22715"/>
    <w:rsid w:val="00C23BAC"/>
    <w:rsid w:val="00C26F9E"/>
    <w:rsid w:val="00C27922"/>
    <w:rsid w:val="00C305FF"/>
    <w:rsid w:val="00C329E0"/>
    <w:rsid w:val="00C32B6A"/>
    <w:rsid w:val="00C353D1"/>
    <w:rsid w:val="00C356DD"/>
    <w:rsid w:val="00C35841"/>
    <w:rsid w:val="00C35D9C"/>
    <w:rsid w:val="00C37541"/>
    <w:rsid w:val="00C40FE5"/>
    <w:rsid w:val="00C413C6"/>
    <w:rsid w:val="00C44091"/>
    <w:rsid w:val="00C4548A"/>
    <w:rsid w:val="00C45C56"/>
    <w:rsid w:val="00C47469"/>
    <w:rsid w:val="00C4763E"/>
    <w:rsid w:val="00C5003A"/>
    <w:rsid w:val="00C50093"/>
    <w:rsid w:val="00C519E2"/>
    <w:rsid w:val="00C5279C"/>
    <w:rsid w:val="00C52F77"/>
    <w:rsid w:val="00C5342E"/>
    <w:rsid w:val="00C53494"/>
    <w:rsid w:val="00C53ED4"/>
    <w:rsid w:val="00C5651F"/>
    <w:rsid w:val="00C56DF0"/>
    <w:rsid w:val="00C576AA"/>
    <w:rsid w:val="00C57714"/>
    <w:rsid w:val="00C57B38"/>
    <w:rsid w:val="00C57C1C"/>
    <w:rsid w:val="00C60FA4"/>
    <w:rsid w:val="00C620F6"/>
    <w:rsid w:val="00C623EF"/>
    <w:rsid w:val="00C6332D"/>
    <w:rsid w:val="00C656C9"/>
    <w:rsid w:val="00C661B3"/>
    <w:rsid w:val="00C6675B"/>
    <w:rsid w:val="00C6680E"/>
    <w:rsid w:val="00C67E8C"/>
    <w:rsid w:val="00C70450"/>
    <w:rsid w:val="00C706C2"/>
    <w:rsid w:val="00C71C6D"/>
    <w:rsid w:val="00C737AC"/>
    <w:rsid w:val="00C73DC8"/>
    <w:rsid w:val="00C7408A"/>
    <w:rsid w:val="00C7474E"/>
    <w:rsid w:val="00C74EEE"/>
    <w:rsid w:val="00C75116"/>
    <w:rsid w:val="00C75EBB"/>
    <w:rsid w:val="00C768F1"/>
    <w:rsid w:val="00C77030"/>
    <w:rsid w:val="00C77097"/>
    <w:rsid w:val="00C80E85"/>
    <w:rsid w:val="00C81021"/>
    <w:rsid w:val="00C81513"/>
    <w:rsid w:val="00C82180"/>
    <w:rsid w:val="00C82F71"/>
    <w:rsid w:val="00C84331"/>
    <w:rsid w:val="00C849C3"/>
    <w:rsid w:val="00C85056"/>
    <w:rsid w:val="00C85C2E"/>
    <w:rsid w:val="00C86F07"/>
    <w:rsid w:val="00C87603"/>
    <w:rsid w:val="00C903DE"/>
    <w:rsid w:val="00C90863"/>
    <w:rsid w:val="00C90C77"/>
    <w:rsid w:val="00C9214A"/>
    <w:rsid w:val="00C9257A"/>
    <w:rsid w:val="00C92C1F"/>
    <w:rsid w:val="00C93500"/>
    <w:rsid w:val="00C937B9"/>
    <w:rsid w:val="00C93C68"/>
    <w:rsid w:val="00C947F9"/>
    <w:rsid w:val="00C95D62"/>
    <w:rsid w:val="00C95ED3"/>
    <w:rsid w:val="00C970B0"/>
    <w:rsid w:val="00CA062E"/>
    <w:rsid w:val="00CA094E"/>
    <w:rsid w:val="00CA14D6"/>
    <w:rsid w:val="00CA189E"/>
    <w:rsid w:val="00CA221C"/>
    <w:rsid w:val="00CA2B45"/>
    <w:rsid w:val="00CA2FBC"/>
    <w:rsid w:val="00CA738E"/>
    <w:rsid w:val="00CA7A9F"/>
    <w:rsid w:val="00CA7C10"/>
    <w:rsid w:val="00CB02E3"/>
    <w:rsid w:val="00CB03CC"/>
    <w:rsid w:val="00CB03F8"/>
    <w:rsid w:val="00CB160E"/>
    <w:rsid w:val="00CB38D3"/>
    <w:rsid w:val="00CB6137"/>
    <w:rsid w:val="00CB6993"/>
    <w:rsid w:val="00CC1B61"/>
    <w:rsid w:val="00CC2C08"/>
    <w:rsid w:val="00CC3946"/>
    <w:rsid w:val="00CC3AB5"/>
    <w:rsid w:val="00CC3E4F"/>
    <w:rsid w:val="00CC4B68"/>
    <w:rsid w:val="00CC5BBE"/>
    <w:rsid w:val="00CC6B0D"/>
    <w:rsid w:val="00CC75B9"/>
    <w:rsid w:val="00CD03FF"/>
    <w:rsid w:val="00CD0E13"/>
    <w:rsid w:val="00CD1534"/>
    <w:rsid w:val="00CD21C7"/>
    <w:rsid w:val="00CD27F8"/>
    <w:rsid w:val="00CD30DB"/>
    <w:rsid w:val="00CD38BD"/>
    <w:rsid w:val="00CD44AB"/>
    <w:rsid w:val="00CD5473"/>
    <w:rsid w:val="00CD5F62"/>
    <w:rsid w:val="00CD629D"/>
    <w:rsid w:val="00CD636F"/>
    <w:rsid w:val="00CD6A15"/>
    <w:rsid w:val="00CD71A2"/>
    <w:rsid w:val="00CD77EC"/>
    <w:rsid w:val="00CE0A93"/>
    <w:rsid w:val="00CE2E64"/>
    <w:rsid w:val="00CE3C07"/>
    <w:rsid w:val="00CE3C08"/>
    <w:rsid w:val="00CE421E"/>
    <w:rsid w:val="00CE6046"/>
    <w:rsid w:val="00CE6C28"/>
    <w:rsid w:val="00CE6C35"/>
    <w:rsid w:val="00CE734A"/>
    <w:rsid w:val="00CE7782"/>
    <w:rsid w:val="00CE7B77"/>
    <w:rsid w:val="00CF175E"/>
    <w:rsid w:val="00CF21AB"/>
    <w:rsid w:val="00CF28FB"/>
    <w:rsid w:val="00CF3200"/>
    <w:rsid w:val="00CF3DD0"/>
    <w:rsid w:val="00CF3E6C"/>
    <w:rsid w:val="00CF59CE"/>
    <w:rsid w:val="00CF5B84"/>
    <w:rsid w:val="00CF5FDB"/>
    <w:rsid w:val="00CF725F"/>
    <w:rsid w:val="00CF740E"/>
    <w:rsid w:val="00D01ABA"/>
    <w:rsid w:val="00D01BA0"/>
    <w:rsid w:val="00D037DF"/>
    <w:rsid w:val="00D048BB"/>
    <w:rsid w:val="00D05270"/>
    <w:rsid w:val="00D07BE0"/>
    <w:rsid w:val="00D11664"/>
    <w:rsid w:val="00D11DFF"/>
    <w:rsid w:val="00D12F37"/>
    <w:rsid w:val="00D13179"/>
    <w:rsid w:val="00D13206"/>
    <w:rsid w:val="00D1471A"/>
    <w:rsid w:val="00D15D0F"/>
    <w:rsid w:val="00D15D30"/>
    <w:rsid w:val="00D162C4"/>
    <w:rsid w:val="00D17447"/>
    <w:rsid w:val="00D174A4"/>
    <w:rsid w:val="00D17F46"/>
    <w:rsid w:val="00D2163F"/>
    <w:rsid w:val="00D220E4"/>
    <w:rsid w:val="00D22FAE"/>
    <w:rsid w:val="00D23A8D"/>
    <w:rsid w:val="00D243D1"/>
    <w:rsid w:val="00D2479F"/>
    <w:rsid w:val="00D26879"/>
    <w:rsid w:val="00D272ED"/>
    <w:rsid w:val="00D27398"/>
    <w:rsid w:val="00D30B2B"/>
    <w:rsid w:val="00D30D61"/>
    <w:rsid w:val="00D31837"/>
    <w:rsid w:val="00D31B86"/>
    <w:rsid w:val="00D32045"/>
    <w:rsid w:val="00D323FE"/>
    <w:rsid w:val="00D33C7E"/>
    <w:rsid w:val="00D33F2D"/>
    <w:rsid w:val="00D342A8"/>
    <w:rsid w:val="00D35787"/>
    <w:rsid w:val="00D362DE"/>
    <w:rsid w:val="00D36D48"/>
    <w:rsid w:val="00D372EC"/>
    <w:rsid w:val="00D40002"/>
    <w:rsid w:val="00D4152B"/>
    <w:rsid w:val="00D41930"/>
    <w:rsid w:val="00D41AEF"/>
    <w:rsid w:val="00D430C0"/>
    <w:rsid w:val="00D45486"/>
    <w:rsid w:val="00D45913"/>
    <w:rsid w:val="00D46282"/>
    <w:rsid w:val="00D47A6B"/>
    <w:rsid w:val="00D50103"/>
    <w:rsid w:val="00D50C5D"/>
    <w:rsid w:val="00D50D17"/>
    <w:rsid w:val="00D51A21"/>
    <w:rsid w:val="00D5243E"/>
    <w:rsid w:val="00D525E3"/>
    <w:rsid w:val="00D552EA"/>
    <w:rsid w:val="00D55CAA"/>
    <w:rsid w:val="00D570A3"/>
    <w:rsid w:val="00D573AA"/>
    <w:rsid w:val="00D574EC"/>
    <w:rsid w:val="00D6004D"/>
    <w:rsid w:val="00D602BF"/>
    <w:rsid w:val="00D6072E"/>
    <w:rsid w:val="00D60852"/>
    <w:rsid w:val="00D60E91"/>
    <w:rsid w:val="00D611E4"/>
    <w:rsid w:val="00D613CE"/>
    <w:rsid w:val="00D6251D"/>
    <w:rsid w:val="00D6488D"/>
    <w:rsid w:val="00D65135"/>
    <w:rsid w:val="00D6557E"/>
    <w:rsid w:val="00D674B1"/>
    <w:rsid w:val="00D67619"/>
    <w:rsid w:val="00D706CA"/>
    <w:rsid w:val="00D719A5"/>
    <w:rsid w:val="00D72094"/>
    <w:rsid w:val="00D72B3F"/>
    <w:rsid w:val="00D72B5A"/>
    <w:rsid w:val="00D751B9"/>
    <w:rsid w:val="00D77B69"/>
    <w:rsid w:val="00D80584"/>
    <w:rsid w:val="00D80B14"/>
    <w:rsid w:val="00D8118C"/>
    <w:rsid w:val="00D81797"/>
    <w:rsid w:val="00D82DDD"/>
    <w:rsid w:val="00D83C7C"/>
    <w:rsid w:val="00D84AD5"/>
    <w:rsid w:val="00D906D5"/>
    <w:rsid w:val="00D907C2"/>
    <w:rsid w:val="00D93D53"/>
    <w:rsid w:val="00D954DA"/>
    <w:rsid w:val="00D9586E"/>
    <w:rsid w:val="00D96D66"/>
    <w:rsid w:val="00D97D9F"/>
    <w:rsid w:val="00DA0AD2"/>
    <w:rsid w:val="00DA2B4B"/>
    <w:rsid w:val="00DA2D18"/>
    <w:rsid w:val="00DA363D"/>
    <w:rsid w:val="00DA430E"/>
    <w:rsid w:val="00DA4804"/>
    <w:rsid w:val="00DA4908"/>
    <w:rsid w:val="00DA5A3F"/>
    <w:rsid w:val="00DA66A6"/>
    <w:rsid w:val="00DA70E3"/>
    <w:rsid w:val="00DA7128"/>
    <w:rsid w:val="00DA7DD0"/>
    <w:rsid w:val="00DB0B0E"/>
    <w:rsid w:val="00DB1539"/>
    <w:rsid w:val="00DB1C0F"/>
    <w:rsid w:val="00DB1E38"/>
    <w:rsid w:val="00DB2513"/>
    <w:rsid w:val="00DB2ACC"/>
    <w:rsid w:val="00DB352E"/>
    <w:rsid w:val="00DB45F3"/>
    <w:rsid w:val="00DC00A4"/>
    <w:rsid w:val="00DC06AF"/>
    <w:rsid w:val="00DC17DC"/>
    <w:rsid w:val="00DC26E6"/>
    <w:rsid w:val="00DC57FB"/>
    <w:rsid w:val="00DC6A59"/>
    <w:rsid w:val="00DC73D9"/>
    <w:rsid w:val="00DC7CC2"/>
    <w:rsid w:val="00DD002A"/>
    <w:rsid w:val="00DD0617"/>
    <w:rsid w:val="00DD24E4"/>
    <w:rsid w:val="00DD282B"/>
    <w:rsid w:val="00DD355C"/>
    <w:rsid w:val="00DD3A5F"/>
    <w:rsid w:val="00DD3B54"/>
    <w:rsid w:val="00DD3BF4"/>
    <w:rsid w:val="00DD3C4D"/>
    <w:rsid w:val="00DD6825"/>
    <w:rsid w:val="00DD6A2C"/>
    <w:rsid w:val="00DD7EBD"/>
    <w:rsid w:val="00DE0040"/>
    <w:rsid w:val="00DE0093"/>
    <w:rsid w:val="00DE0946"/>
    <w:rsid w:val="00DE1A51"/>
    <w:rsid w:val="00DE1FD4"/>
    <w:rsid w:val="00DE3916"/>
    <w:rsid w:val="00DE3C8E"/>
    <w:rsid w:val="00DE40E6"/>
    <w:rsid w:val="00DE4930"/>
    <w:rsid w:val="00DE7800"/>
    <w:rsid w:val="00DE7C8A"/>
    <w:rsid w:val="00DE7D79"/>
    <w:rsid w:val="00DF05BD"/>
    <w:rsid w:val="00DF276E"/>
    <w:rsid w:val="00DF4544"/>
    <w:rsid w:val="00DF4B8B"/>
    <w:rsid w:val="00DF5F44"/>
    <w:rsid w:val="00DF5FA7"/>
    <w:rsid w:val="00DF6229"/>
    <w:rsid w:val="00DF66F4"/>
    <w:rsid w:val="00DF7D59"/>
    <w:rsid w:val="00E006B8"/>
    <w:rsid w:val="00E00A6B"/>
    <w:rsid w:val="00E00D78"/>
    <w:rsid w:val="00E0252D"/>
    <w:rsid w:val="00E02843"/>
    <w:rsid w:val="00E03C0E"/>
    <w:rsid w:val="00E03CAF"/>
    <w:rsid w:val="00E040DF"/>
    <w:rsid w:val="00E0468C"/>
    <w:rsid w:val="00E0665C"/>
    <w:rsid w:val="00E067F1"/>
    <w:rsid w:val="00E07113"/>
    <w:rsid w:val="00E077E4"/>
    <w:rsid w:val="00E101F2"/>
    <w:rsid w:val="00E124DD"/>
    <w:rsid w:val="00E126B3"/>
    <w:rsid w:val="00E129AB"/>
    <w:rsid w:val="00E13483"/>
    <w:rsid w:val="00E135AA"/>
    <w:rsid w:val="00E13AB1"/>
    <w:rsid w:val="00E1544E"/>
    <w:rsid w:val="00E156F3"/>
    <w:rsid w:val="00E15C9A"/>
    <w:rsid w:val="00E16335"/>
    <w:rsid w:val="00E20E21"/>
    <w:rsid w:val="00E20EEA"/>
    <w:rsid w:val="00E20F3D"/>
    <w:rsid w:val="00E21E6B"/>
    <w:rsid w:val="00E2473A"/>
    <w:rsid w:val="00E25663"/>
    <w:rsid w:val="00E2589C"/>
    <w:rsid w:val="00E25DC9"/>
    <w:rsid w:val="00E2633B"/>
    <w:rsid w:val="00E26873"/>
    <w:rsid w:val="00E26A4D"/>
    <w:rsid w:val="00E26FF4"/>
    <w:rsid w:val="00E270EA"/>
    <w:rsid w:val="00E2760A"/>
    <w:rsid w:val="00E31566"/>
    <w:rsid w:val="00E318B7"/>
    <w:rsid w:val="00E329CC"/>
    <w:rsid w:val="00E32B06"/>
    <w:rsid w:val="00E338DD"/>
    <w:rsid w:val="00E33E6B"/>
    <w:rsid w:val="00E33F05"/>
    <w:rsid w:val="00E33F46"/>
    <w:rsid w:val="00E341F5"/>
    <w:rsid w:val="00E34650"/>
    <w:rsid w:val="00E35C50"/>
    <w:rsid w:val="00E36A40"/>
    <w:rsid w:val="00E37914"/>
    <w:rsid w:val="00E43A17"/>
    <w:rsid w:val="00E43C21"/>
    <w:rsid w:val="00E4508F"/>
    <w:rsid w:val="00E45238"/>
    <w:rsid w:val="00E45613"/>
    <w:rsid w:val="00E46A3D"/>
    <w:rsid w:val="00E4756E"/>
    <w:rsid w:val="00E4760B"/>
    <w:rsid w:val="00E47BD8"/>
    <w:rsid w:val="00E52F4A"/>
    <w:rsid w:val="00E535BA"/>
    <w:rsid w:val="00E552C1"/>
    <w:rsid w:val="00E55519"/>
    <w:rsid w:val="00E56F22"/>
    <w:rsid w:val="00E60B44"/>
    <w:rsid w:val="00E61141"/>
    <w:rsid w:val="00E61A37"/>
    <w:rsid w:val="00E6378F"/>
    <w:rsid w:val="00E63BDF"/>
    <w:rsid w:val="00E652BB"/>
    <w:rsid w:val="00E654E5"/>
    <w:rsid w:val="00E65F6E"/>
    <w:rsid w:val="00E70943"/>
    <w:rsid w:val="00E70AF2"/>
    <w:rsid w:val="00E70C39"/>
    <w:rsid w:val="00E70E6E"/>
    <w:rsid w:val="00E7198D"/>
    <w:rsid w:val="00E72213"/>
    <w:rsid w:val="00E72AFF"/>
    <w:rsid w:val="00E742DD"/>
    <w:rsid w:val="00E74928"/>
    <w:rsid w:val="00E75A78"/>
    <w:rsid w:val="00E7727F"/>
    <w:rsid w:val="00E77910"/>
    <w:rsid w:val="00E80D8C"/>
    <w:rsid w:val="00E81250"/>
    <w:rsid w:val="00E817B7"/>
    <w:rsid w:val="00E823D8"/>
    <w:rsid w:val="00E827C6"/>
    <w:rsid w:val="00E827FA"/>
    <w:rsid w:val="00E82989"/>
    <w:rsid w:val="00E82B30"/>
    <w:rsid w:val="00E82C93"/>
    <w:rsid w:val="00E83A34"/>
    <w:rsid w:val="00E85BB7"/>
    <w:rsid w:val="00E85EA4"/>
    <w:rsid w:val="00E85F55"/>
    <w:rsid w:val="00E867A6"/>
    <w:rsid w:val="00E87275"/>
    <w:rsid w:val="00E875B3"/>
    <w:rsid w:val="00E87FD6"/>
    <w:rsid w:val="00E90B95"/>
    <w:rsid w:val="00E90CC3"/>
    <w:rsid w:val="00E91B2B"/>
    <w:rsid w:val="00E923FB"/>
    <w:rsid w:val="00E924E6"/>
    <w:rsid w:val="00E92DDA"/>
    <w:rsid w:val="00E93050"/>
    <w:rsid w:val="00E934BA"/>
    <w:rsid w:val="00E93703"/>
    <w:rsid w:val="00E93800"/>
    <w:rsid w:val="00E954E4"/>
    <w:rsid w:val="00E966D6"/>
    <w:rsid w:val="00E96930"/>
    <w:rsid w:val="00E975C9"/>
    <w:rsid w:val="00EA08CF"/>
    <w:rsid w:val="00EA0934"/>
    <w:rsid w:val="00EA0A57"/>
    <w:rsid w:val="00EA0D7F"/>
    <w:rsid w:val="00EA0EF4"/>
    <w:rsid w:val="00EA0FFC"/>
    <w:rsid w:val="00EA1354"/>
    <w:rsid w:val="00EA17F0"/>
    <w:rsid w:val="00EA1BB3"/>
    <w:rsid w:val="00EA2246"/>
    <w:rsid w:val="00EA2639"/>
    <w:rsid w:val="00EA46D7"/>
    <w:rsid w:val="00EA4B4B"/>
    <w:rsid w:val="00EA5EC6"/>
    <w:rsid w:val="00EA6DFB"/>
    <w:rsid w:val="00EA75CA"/>
    <w:rsid w:val="00EA7B19"/>
    <w:rsid w:val="00EA7F02"/>
    <w:rsid w:val="00EB115E"/>
    <w:rsid w:val="00EB1F7C"/>
    <w:rsid w:val="00EB3422"/>
    <w:rsid w:val="00EB5A86"/>
    <w:rsid w:val="00EB5E66"/>
    <w:rsid w:val="00EB5FB4"/>
    <w:rsid w:val="00EB625B"/>
    <w:rsid w:val="00EB65DD"/>
    <w:rsid w:val="00EB6661"/>
    <w:rsid w:val="00EB6674"/>
    <w:rsid w:val="00EB798C"/>
    <w:rsid w:val="00EB7B3D"/>
    <w:rsid w:val="00EB7ECB"/>
    <w:rsid w:val="00EC04EA"/>
    <w:rsid w:val="00EC1CEB"/>
    <w:rsid w:val="00EC28DE"/>
    <w:rsid w:val="00EC2D9D"/>
    <w:rsid w:val="00EC2E95"/>
    <w:rsid w:val="00EC3688"/>
    <w:rsid w:val="00EC384D"/>
    <w:rsid w:val="00EC3FD5"/>
    <w:rsid w:val="00EC475B"/>
    <w:rsid w:val="00EC4A24"/>
    <w:rsid w:val="00EC6308"/>
    <w:rsid w:val="00EC63F5"/>
    <w:rsid w:val="00EC724E"/>
    <w:rsid w:val="00EC7E04"/>
    <w:rsid w:val="00ED0964"/>
    <w:rsid w:val="00ED0CEF"/>
    <w:rsid w:val="00ED1A27"/>
    <w:rsid w:val="00ED1DC6"/>
    <w:rsid w:val="00ED2004"/>
    <w:rsid w:val="00ED213C"/>
    <w:rsid w:val="00ED26CE"/>
    <w:rsid w:val="00ED2DA8"/>
    <w:rsid w:val="00ED2EDA"/>
    <w:rsid w:val="00ED7565"/>
    <w:rsid w:val="00EE03F9"/>
    <w:rsid w:val="00EE05DB"/>
    <w:rsid w:val="00EE3830"/>
    <w:rsid w:val="00EE4155"/>
    <w:rsid w:val="00EE4539"/>
    <w:rsid w:val="00EE5D93"/>
    <w:rsid w:val="00EE6AAE"/>
    <w:rsid w:val="00EE705A"/>
    <w:rsid w:val="00EE754F"/>
    <w:rsid w:val="00EE796B"/>
    <w:rsid w:val="00EF0575"/>
    <w:rsid w:val="00EF1EED"/>
    <w:rsid w:val="00EF25BF"/>
    <w:rsid w:val="00EF2C77"/>
    <w:rsid w:val="00EF46C4"/>
    <w:rsid w:val="00EF5937"/>
    <w:rsid w:val="00EF63DB"/>
    <w:rsid w:val="00EF719A"/>
    <w:rsid w:val="00EF7AC5"/>
    <w:rsid w:val="00F00171"/>
    <w:rsid w:val="00F00399"/>
    <w:rsid w:val="00F01959"/>
    <w:rsid w:val="00F031E3"/>
    <w:rsid w:val="00F03BF1"/>
    <w:rsid w:val="00F052E7"/>
    <w:rsid w:val="00F052F3"/>
    <w:rsid w:val="00F05741"/>
    <w:rsid w:val="00F067DC"/>
    <w:rsid w:val="00F06DD4"/>
    <w:rsid w:val="00F10C84"/>
    <w:rsid w:val="00F1132F"/>
    <w:rsid w:val="00F1158F"/>
    <w:rsid w:val="00F14685"/>
    <w:rsid w:val="00F15103"/>
    <w:rsid w:val="00F160F7"/>
    <w:rsid w:val="00F1691F"/>
    <w:rsid w:val="00F174C6"/>
    <w:rsid w:val="00F20124"/>
    <w:rsid w:val="00F20ED6"/>
    <w:rsid w:val="00F21062"/>
    <w:rsid w:val="00F21BF2"/>
    <w:rsid w:val="00F23170"/>
    <w:rsid w:val="00F23415"/>
    <w:rsid w:val="00F2402D"/>
    <w:rsid w:val="00F24D7C"/>
    <w:rsid w:val="00F251AA"/>
    <w:rsid w:val="00F2610A"/>
    <w:rsid w:val="00F26CB9"/>
    <w:rsid w:val="00F26E60"/>
    <w:rsid w:val="00F27DB8"/>
    <w:rsid w:val="00F3105C"/>
    <w:rsid w:val="00F32CF2"/>
    <w:rsid w:val="00F32DAB"/>
    <w:rsid w:val="00F3341F"/>
    <w:rsid w:val="00F336C3"/>
    <w:rsid w:val="00F35511"/>
    <w:rsid w:val="00F35E04"/>
    <w:rsid w:val="00F3637A"/>
    <w:rsid w:val="00F36680"/>
    <w:rsid w:val="00F36FE7"/>
    <w:rsid w:val="00F372D4"/>
    <w:rsid w:val="00F41725"/>
    <w:rsid w:val="00F430CF"/>
    <w:rsid w:val="00F4312A"/>
    <w:rsid w:val="00F43C65"/>
    <w:rsid w:val="00F43C85"/>
    <w:rsid w:val="00F44D9B"/>
    <w:rsid w:val="00F44E88"/>
    <w:rsid w:val="00F45D23"/>
    <w:rsid w:val="00F46A58"/>
    <w:rsid w:val="00F4710D"/>
    <w:rsid w:val="00F50570"/>
    <w:rsid w:val="00F51BCD"/>
    <w:rsid w:val="00F52259"/>
    <w:rsid w:val="00F5300A"/>
    <w:rsid w:val="00F542E6"/>
    <w:rsid w:val="00F55906"/>
    <w:rsid w:val="00F55B83"/>
    <w:rsid w:val="00F55C54"/>
    <w:rsid w:val="00F56020"/>
    <w:rsid w:val="00F565CF"/>
    <w:rsid w:val="00F56608"/>
    <w:rsid w:val="00F56A7F"/>
    <w:rsid w:val="00F6056B"/>
    <w:rsid w:val="00F6066C"/>
    <w:rsid w:val="00F61564"/>
    <w:rsid w:val="00F618CF"/>
    <w:rsid w:val="00F61DE7"/>
    <w:rsid w:val="00F6250F"/>
    <w:rsid w:val="00F63B4A"/>
    <w:rsid w:val="00F63FE1"/>
    <w:rsid w:val="00F64915"/>
    <w:rsid w:val="00F661B9"/>
    <w:rsid w:val="00F662E8"/>
    <w:rsid w:val="00F66CF8"/>
    <w:rsid w:val="00F70367"/>
    <w:rsid w:val="00F70BEF"/>
    <w:rsid w:val="00F729DE"/>
    <w:rsid w:val="00F73045"/>
    <w:rsid w:val="00F74A76"/>
    <w:rsid w:val="00F754E9"/>
    <w:rsid w:val="00F75F86"/>
    <w:rsid w:val="00F767A1"/>
    <w:rsid w:val="00F8125E"/>
    <w:rsid w:val="00F82341"/>
    <w:rsid w:val="00F824DC"/>
    <w:rsid w:val="00F833A2"/>
    <w:rsid w:val="00F83F9B"/>
    <w:rsid w:val="00F84C96"/>
    <w:rsid w:val="00F84C9A"/>
    <w:rsid w:val="00F84F53"/>
    <w:rsid w:val="00F852BA"/>
    <w:rsid w:val="00F854BF"/>
    <w:rsid w:val="00F854C7"/>
    <w:rsid w:val="00F856E9"/>
    <w:rsid w:val="00F85B00"/>
    <w:rsid w:val="00F86086"/>
    <w:rsid w:val="00F862BB"/>
    <w:rsid w:val="00F87911"/>
    <w:rsid w:val="00F87A21"/>
    <w:rsid w:val="00F91B9F"/>
    <w:rsid w:val="00F93317"/>
    <w:rsid w:val="00F935D5"/>
    <w:rsid w:val="00F93F5D"/>
    <w:rsid w:val="00F93FFB"/>
    <w:rsid w:val="00F94DFC"/>
    <w:rsid w:val="00F94F9B"/>
    <w:rsid w:val="00F95511"/>
    <w:rsid w:val="00F95B63"/>
    <w:rsid w:val="00F96FA9"/>
    <w:rsid w:val="00FA13CD"/>
    <w:rsid w:val="00FA228E"/>
    <w:rsid w:val="00FA2952"/>
    <w:rsid w:val="00FA2BFA"/>
    <w:rsid w:val="00FA40B6"/>
    <w:rsid w:val="00FA4457"/>
    <w:rsid w:val="00FA4D34"/>
    <w:rsid w:val="00FA6695"/>
    <w:rsid w:val="00FA676D"/>
    <w:rsid w:val="00FA7037"/>
    <w:rsid w:val="00FA7162"/>
    <w:rsid w:val="00FB2432"/>
    <w:rsid w:val="00FB3443"/>
    <w:rsid w:val="00FB4074"/>
    <w:rsid w:val="00FB5342"/>
    <w:rsid w:val="00FB55C5"/>
    <w:rsid w:val="00FB5D52"/>
    <w:rsid w:val="00FB7159"/>
    <w:rsid w:val="00FB74F0"/>
    <w:rsid w:val="00FB7AB6"/>
    <w:rsid w:val="00FC0889"/>
    <w:rsid w:val="00FC096D"/>
    <w:rsid w:val="00FC259E"/>
    <w:rsid w:val="00FC4D77"/>
    <w:rsid w:val="00FC4F5B"/>
    <w:rsid w:val="00FC51DE"/>
    <w:rsid w:val="00FC5224"/>
    <w:rsid w:val="00FC6145"/>
    <w:rsid w:val="00FD041E"/>
    <w:rsid w:val="00FD08FA"/>
    <w:rsid w:val="00FD0B43"/>
    <w:rsid w:val="00FD0EF0"/>
    <w:rsid w:val="00FD22BB"/>
    <w:rsid w:val="00FD29F4"/>
    <w:rsid w:val="00FD2A01"/>
    <w:rsid w:val="00FD3F1A"/>
    <w:rsid w:val="00FD41EB"/>
    <w:rsid w:val="00FD4591"/>
    <w:rsid w:val="00FD4890"/>
    <w:rsid w:val="00FD497D"/>
    <w:rsid w:val="00FD6B90"/>
    <w:rsid w:val="00FD7218"/>
    <w:rsid w:val="00FD768A"/>
    <w:rsid w:val="00FE19C0"/>
    <w:rsid w:val="00FE1CD1"/>
    <w:rsid w:val="00FE52E5"/>
    <w:rsid w:val="00FF02C4"/>
    <w:rsid w:val="00FF0647"/>
    <w:rsid w:val="00FF0CC2"/>
    <w:rsid w:val="00FF10B5"/>
    <w:rsid w:val="00FF1136"/>
    <w:rsid w:val="00FF32FC"/>
    <w:rsid w:val="00FF4BC1"/>
    <w:rsid w:val="00FF6034"/>
    <w:rsid w:val="00FF7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A98F124-36C7-4C86-B2D6-C5F07E9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1A"/>
    <w:pPr>
      <w:autoSpaceDE w:val="0"/>
      <w:autoSpaceDN w:val="0"/>
      <w:adjustRightInd w:val="0"/>
      <w:spacing w:after="120"/>
      <w:jc w:val="both"/>
    </w:pPr>
    <w:rPr>
      <w:rFonts w:ascii="Garamond" w:eastAsiaTheme="minorHAnsi" w:hAnsi="Garamond" w:cs="Garamond"/>
      <w:color w:val="000000"/>
      <w:szCs w:val="26"/>
      <w:lang w:val="en-GB" w:eastAsia="en-US"/>
    </w:rPr>
  </w:style>
  <w:style w:type="paragraph" w:styleId="Overskrift1">
    <w:name w:val="heading 1"/>
    <w:basedOn w:val="Normal"/>
    <w:next w:val="Normal"/>
    <w:link w:val="Overskrift1Tegn"/>
    <w:autoRedefine/>
    <w:uiPriority w:val="9"/>
    <w:qFormat/>
    <w:rsid w:val="007B2E4E"/>
    <w:pPr>
      <w:pageBreakBefore/>
      <w:numPr>
        <w:numId w:val="36"/>
      </w:numPr>
      <w:spacing w:before="240"/>
      <w:outlineLvl w:val="0"/>
    </w:pPr>
    <w:rPr>
      <w:b/>
      <w:noProof/>
      <w:sz w:val="30"/>
      <w:szCs w:val="30"/>
      <w:lang w:val="da-DK" w:eastAsia="da-DK"/>
    </w:rPr>
  </w:style>
  <w:style w:type="paragraph" w:styleId="Overskrift2">
    <w:name w:val="heading 2"/>
    <w:basedOn w:val="Normal"/>
    <w:next w:val="Normal"/>
    <w:link w:val="Overskrift2Tegn"/>
    <w:uiPriority w:val="99"/>
    <w:unhideWhenUsed/>
    <w:qFormat/>
    <w:rsid w:val="004E501A"/>
    <w:pPr>
      <w:numPr>
        <w:ilvl w:val="1"/>
        <w:numId w:val="36"/>
      </w:numPr>
      <w:spacing w:before="240"/>
      <w:jc w:val="left"/>
      <w:outlineLvl w:val="1"/>
    </w:pPr>
    <w:rPr>
      <w:b/>
      <w:sz w:val="28"/>
    </w:rPr>
  </w:style>
  <w:style w:type="paragraph" w:styleId="Overskrift3">
    <w:name w:val="heading 3"/>
    <w:basedOn w:val="Overskrift2"/>
    <w:next w:val="Normal"/>
    <w:link w:val="Overskrift3Tegn"/>
    <w:uiPriority w:val="99"/>
    <w:unhideWhenUsed/>
    <w:qFormat/>
    <w:rsid w:val="008770FD"/>
    <w:pPr>
      <w:keepNext/>
      <w:keepLines/>
      <w:numPr>
        <w:ilvl w:val="2"/>
      </w:numPr>
      <w:autoSpaceDE/>
      <w:autoSpaceDN/>
      <w:adjustRightInd/>
      <w:spacing w:before="200"/>
      <w:jc w:val="both"/>
      <w:outlineLvl w:val="2"/>
    </w:pPr>
    <w:rPr>
      <w:sz w:val="26"/>
    </w:rPr>
  </w:style>
  <w:style w:type="paragraph" w:styleId="Overskrift4">
    <w:name w:val="heading 4"/>
    <w:basedOn w:val="Normal"/>
    <w:next w:val="Normal"/>
    <w:link w:val="Overskrift4Tegn"/>
    <w:uiPriority w:val="99"/>
    <w:unhideWhenUsed/>
    <w:qFormat/>
    <w:rsid w:val="003B2BE3"/>
    <w:pPr>
      <w:keepNext/>
      <w:keepLines/>
      <w:spacing w:before="120"/>
      <w:outlineLvl w:val="3"/>
    </w:pPr>
    <w:rPr>
      <w:rFonts w:ascii="MetaBold" w:eastAsiaTheme="majorEastAsia" w:hAnsi="MetaBold" w:cstheme="majorBidi"/>
      <w:b/>
      <w:bCs/>
      <w:i/>
      <w:iCs/>
      <w:color w:val="auto"/>
      <w:sz w:val="20"/>
      <w:szCs w:val="20"/>
    </w:rPr>
  </w:style>
  <w:style w:type="paragraph" w:styleId="Overskrift5">
    <w:name w:val="heading 5"/>
    <w:basedOn w:val="Normal"/>
    <w:next w:val="Normal"/>
    <w:link w:val="Overskrift5Tegn"/>
    <w:uiPriority w:val="99"/>
    <w:unhideWhenUsed/>
    <w:qFormat/>
    <w:rsid w:val="00C4763E"/>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unhideWhenUsed/>
    <w:qFormat/>
    <w:rsid w:val="00C4763E"/>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9"/>
    <w:unhideWhenUsed/>
    <w:qFormat/>
    <w:rsid w:val="00C4763E"/>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C4763E"/>
    <w:pPr>
      <w:keepNext/>
      <w:keepLines/>
      <w:numPr>
        <w:ilvl w:val="7"/>
        <w:numId w:val="36"/>
      </w:numPr>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C4763E"/>
    <w:pPr>
      <w:keepNext/>
      <w:keepLines/>
      <w:numPr>
        <w:ilvl w:val="8"/>
        <w:numId w:val="36"/>
      </w:numPr>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2E4E"/>
    <w:rPr>
      <w:rFonts w:ascii="Garamond" w:eastAsiaTheme="minorHAnsi" w:hAnsi="Garamond" w:cs="Garamond"/>
      <w:b/>
      <w:noProof/>
      <w:color w:val="000000"/>
      <w:sz w:val="30"/>
      <w:szCs w:val="30"/>
      <w:lang w:val="da-DK"/>
    </w:rPr>
  </w:style>
  <w:style w:type="character" w:customStyle="1" w:styleId="Overskrift2Tegn">
    <w:name w:val="Overskrift 2 Tegn"/>
    <w:basedOn w:val="Standardskrifttypeiafsnit"/>
    <w:link w:val="Overskrift2"/>
    <w:uiPriority w:val="99"/>
    <w:rsid w:val="004E501A"/>
    <w:rPr>
      <w:rFonts w:ascii="Garamond" w:eastAsiaTheme="minorHAnsi" w:hAnsi="Garamond" w:cs="Garamond"/>
      <w:b/>
      <w:color w:val="000000"/>
      <w:sz w:val="28"/>
      <w:szCs w:val="26"/>
      <w:lang w:val="en-GB" w:eastAsia="en-US"/>
    </w:rPr>
  </w:style>
  <w:style w:type="paragraph" w:styleId="Listeafsnit">
    <w:name w:val="List Paragraph"/>
    <w:aliases w:val="Bullets,List Paragraph (numbered (a)),Scriptoria bullet points"/>
    <w:basedOn w:val="Normal"/>
    <w:link w:val="ListeafsnitTegn"/>
    <w:uiPriority w:val="34"/>
    <w:qFormat/>
    <w:rsid w:val="009661DE"/>
    <w:pPr>
      <w:ind w:left="720"/>
      <w:contextualSpacing/>
    </w:pPr>
  </w:style>
  <w:style w:type="table" w:styleId="Tabel-Gitter">
    <w:name w:val="Table Grid"/>
    <w:basedOn w:val="Tabel-Normal"/>
    <w:uiPriority w:val="59"/>
    <w:rsid w:val="00F4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9"/>
    <w:rsid w:val="008770FD"/>
    <w:rPr>
      <w:rFonts w:ascii="Garamond" w:eastAsiaTheme="minorHAnsi" w:hAnsi="Garamond" w:cs="Garamond"/>
      <w:b/>
      <w:color w:val="000000"/>
      <w:sz w:val="26"/>
      <w:szCs w:val="26"/>
      <w:lang w:val="en-GB" w:eastAsia="en-US"/>
    </w:rPr>
  </w:style>
  <w:style w:type="character" w:customStyle="1" w:styleId="Overskrift4Tegn">
    <w:name w:val="Overskrift 4 Tegn"/>
    <w:basedOn w:val="Standardskrifttypeiafsnit"/>
    <w:link w:val="Overskrift4"/>
    <w:uiPriority w:val="99"/>
    <w:rsid w:val="003B2BE3"/>
    <w:rPr>
      <w:rFonts w:ascii="MetaBold" w:eastAsiaTheme="majorEastAsia" w:hAnsi="MetaBold" w:cstheme="majorBidi"/>
      <w:b/>
      <w:bCs/>
      <w:i/>
      <w:iCs/>
      <w:sz w:val="20"/>
      <w:szCs w:val="20"/>
      <w:lang w:val="en-GB" w:eastAsia="en-US"/>
    </w:rPr>
  </w:style>
  <w:style w:type="character" w:customStyle="1" w:styleId="Overskrift5Tegn">
    <w:name w:val="Overskrift 5 Tegn"/>
    <w:basedOn w:val="Standardskrifttypeiafsnit"/>
    <w:link w:val="Overskrift5"/>
    <w:uiPriority w:val="99"/>
    <w:rsid w:val="00C4763E"/>
    <w:rPr>
      <w:rFonts w:asciiTheme="majorHAnsi" w:eastAsiaTheme="majorEastAsia" w:hAnsiTheme="majorHAnsi" w:cstheme="majorBidi"/>
      <w:color w:val="243F60" w:themeColor="accent1" w:themeShade="7F"/>
      <w:szCs w:val="26"/>
      <w:lang w:val="en-GB" w:eastAsia="en-US"/>
    </w:rPr>
  </w:style>
  <w:style w:type="character" w:customStyle="1" w:styleId="Overskrift6Tegn">
    <w:name w:val="Overskrift 6 Tegn"/>
    <w:basedOn w:val="Standardskrifttypeiafsnit"/>
    <w:link w:val="Overskrift6"/>
    <w:uiPriority w:val="99"/>
    <w:rsid w:val="00C4763E"/>
    <w:rPr>
      <w:rFonts w:asciiTheme="majorHAnsi" w:eastAsiaTheme="majorEastAsia" w:hAnsiTheme="majorHAnsi" w:cstheme="majorBidi"/>
      <w:i/>
      <w:iCs/>
      <w:color w:val="243F60" w:themeColor="accent1" w:themeShade="7F"/>
      <w:szCs w:val="26"/>
      <w:lang w:val="en-GB" w:eastAsia="en-US"/>
    </w:rPr>
  </w:style>
  <w:style w:type="character" w:customStyle="1" w:styleId="Overskrift7Tegn">
    <w:name w:val="Overskrift 7 Tegn"/>
    <w:basedOn w:val="Standardskrifttypeiafsnit"/>
    <w:link w:val="Overskrift7"/>
    <w:uiPriority w:val="99"/>
    <w:rsid w:val="00C4763E"/>
    <w:rPr>
      <w:rFonts w:asciiTheme="majorHAnsi" w:eastAsiaTheme="majorEastAsia" w:hAnsiTheme="majorHAnsi" w:cstheme="majorBidi"/>
      <w:i/>
      <w:iCs/>
      <w:color w:val="404040" w:themeColor="text1" w:themeTint="BF"/>
      <w:szCs w:val="26"/>
      <w:lang w:val="en-GB" w:eastAsia="en-US"/>
    </w:rPr>
  </w:style>
  <w:style w:type="character" w:customStyle="1" w:styleId="Overskrift8Tegn">
    <w:name w:val="Overskrift 8 Tegn"/>
    <w:basedOn w:val="Standardskrifttypeiafsnit"/>
    <w:link w:val="Overskrift8"/>
    <w:uiPriority w:val="99"/>
    <w:rsid w:val="00C4763E"/>
    <w:rPr>
      <w:rFonts w:asciiTheme="majorHAnsi" w:eastAsiaTheme="majorEastAsia" w:hAnsiTheme="majorHAnsi" w:cstheme="majorBidi"/>
      <w:color w:val="404040" w:themeColor="text1" w:themeTint="BF"/>
      <w:szCs w:val="26"/>
      <w:lang w:val="en-GB" w:eastAsia="en-US"/>
    </w:rPr>
  </w:style>
  <w:style w:type="character" w:customStyle="1" w:styleId="Overskrift9Tegn">
    <w:name w:val="Overskrift 9 Tegn"/>
    <w:basedOn w:val="Standardskrifttypeiafsnit"/>
    <w:link w:val="Overskrift9"/>
    <w:uiPriority w:val="99"/>
    <w:rsid w:val="00C4763E"/>
    <w:rPr>
      <w:rFonts w:asciiTheme="majorHAnsi" w:eastAsiaTheme="majorEastAsia" w:hAnsiTheme="majorHAnsi" w:cstheme="majorBidi"/>
      <w:i/>
      <w:iCs/>
      <w:color w:val="404040" w:themeColor="text1" w:themeTint="BF"/>
      <w:szCs w:val="26"/>
      <w:lang w:val="en-GB" w:eastAsia="en-US"/>
    </w:rPr>
  </w:style>
  <w:style w:type="table" w:styleId="Lysskygge-fremhvningsfarve4">
    <w:name w:val="Light Shading Accent 4"/>
    <w:basedOn w:val="Tabel-Normal"/>
    <w:uiPriority w:val="60"/>
    <w:rsid w:val="00F44E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liste-fremhvningsfarve4">
    <w:name w:val="Light List Accent 4"/>
    <w:basedOn w:val="Tabel-Normal"/>
    <w:uiPriority w:val="61"/>
    <w:rsid w:val="00F44E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
    <w:name w:val="Light List"/>
    <w:basedOn w:val="Tabel-Normal"/>
    <w:uiPriority w:val="61"/>
    <w:rsid w:val="00F44E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kygge1-fremhvningsfarve4">
    <w:name w:val="Medium Shading 1 Accent 4"/>
    <w:basedOn w:val="Tabel-Normal"/>
    <w:uiPriority w:val="63"/>
    <w:rsid w:val="00F44E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453A0D"/>
    <w:pPr>
      <w:autoSpaceDE w:val="0"/>
      <w:autoSpaceDN w:val="0"/>
      <w:adjustRightInd w:val="0"/>
    </w:pPr>
    <w:rPr>
      <w:rFonts w:ascii="Garamond" w:eastAsiaTheme="minorHAnsi" w:hAnsi="Garamond" w:cs="Garamond"/>
      <w:color w:val="000000"/>
      <w:lang w:val="da-DK" w:eastAsia="en-US"/>
    </w:rPr>
  </w:style>
  <w:style w:type="paragraph" w:customStyle="1" w:styleId="Listeafsnit1">
    <w:name w:val="Listeafsnit1"/>
    <w:basedOn w:val="Normal"/>
    <w:rsid w:val="0005295D"/>
    <w:pPr>
      <w:suppressAutoHyphens/>
      <w:spacing w:after="0"/>
      <w:ind w:left="720"/>
    </w:pPr>
    <w:rPr>
      <w:rFonts w:ascii="Tahoma" w:eastAsia="SimSun" w:hAnsi="Tahoma" w:cs="Lucida Sans"/>
      <w:kern w:val="1"/>
      <w:szCs w:val="24"/>
      <w:lang w:eastAsia="hi-IN" w:bidi="hi-IN"/>
    </w:rPr>
  </w:style>
  <w:style w:type="paragraph" w:styleId="Sidefod">
    <w:name w:val="footer"/>
    <w:basedOn w:val="Normal"/>
    <w:link w:val="SidefodTegn"/>
    <w:uiPriority w:val="99"/>
    <w:unhideWhenUsed/>
    <w:rsid w:val="00513BC2"/>
    <w:pPr>
      <w:tabs>
        <w:tab w:val="center" w:pos="4819"/>
        <w:tab w:val="right" w:pos="9638"/>
      </w:tabs>
      <w:spacing w:after="0"/>
    </w:pPr>
  </w:style>
  <w:style w:type="character" w:customStyle="1" w:styleId="SidefodTegn">
    <w:name w:val="Sidefod Tegn"/>
    <w:basedOn w:val="Standardskrifttypeiafsnit"/>
    <w:link w:val="Sidefod"/>
    <w:uiPriority w:val="99"/>
    <w:rsid w:val="00513BC2"/>
    <w:rPr>
      <w:rFonts w:ascii="Garamond" w:eastAsiaTheme="minorHAnsi" w:hAnsi="Garamond" w:cs="Garamond"/>
      <w:color w:val="000000"/>
      <w:sz w:val="26"/>
      <w:szCs w:val="26"/>
      <w:lang w:val="en-GB" w:eastAsia="en-US"/>
    </w:rPr>
  </w:style>
  <w:style w:type="character" w:styleId="Sidetal">
    <w:name w:val="page number"/>
    <w:basedOn w:val="Standardskrifttypeiafsnit"/>
    <w:uiPriority w:val="99"/>
    <w:semiHidden/>
    <w:unhideWhenUsed/>
    <w:rsid w:val="00513BC2"/>
  </w:style>
  <w:style w:type="paragraph" w:styleId="Overskrift">
    <w:name w:val="TOC Heading"/>
    <w:basedOn w:val="Overskrift1"/>
    <w:next w:val="Normal"/>
    <w:uiPriority w:val="39"/>
    <w:unhideWhenUsed/>
    <w:qFormat/>
    <w:rsid w:val="00615AC9"/>
    <w:pPr>
      <w:keepNext/>
      <w:keepLines/>
      <w:numPr>
        <w:numId w:val="0"/>
      </w:numPr>
      <w:autoSpaceDE/>
      <w:autoSpaceDN/>
      <w:adjustRightInd/>
      <w:spacing w:before="480" w:after="0"/>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unhideWhenUsed/>
    <w:rsid w:val="00FD497D"/>
    <w:pPr>
      <w:tabs>
        <w:tab w:val="left" w:pos="370"/>
        <w:tab w:val="right" w:leader="dot" w:pos="9622"/>
      </w:tabs>
      <w:spacing w:before="120" w:after="0"/>
    </w:pPr>
    <w:rPr>
      <w:rFonts w:asciiTheme="minorHAnsi" w:hAnsiTheme="minorHAnsi"/>
      <w:b/>
      <w:caps/>
      <w:sz w:val="22"/>
      <w:szCs w:val="22"/>
    </w:rPr>
  </w:style>
  <w:style w:type="paragraph" w:styleId="Indholdsfortegnelse2">
    <w:name w:val="toc 2"/>
    <w:basedOn w:val="Normal"/>
    <w:next w:val="Normal"/>
    <w:autoRedefine/>
    <w:uiPriority w:val="39"/>
    <w:unhideWhenUsed/>
    <w:rsid w:val="00615AC9"/>
    <w:pPr>
      <w:spacing w:after="0"/>
      <w:ind w:left="260"/>
    </w:pPr>
    <w:rPr>
      <w:rFonts w:asciiTheme="minorHAnsi" w:hAnsiTheme="minorHAnsi"/>
      <w:smallCaps/>
      <w:sz w:val="22"/>
      <w:szCs w:val="22"/>
    </w:rPr>
  </w:style>
  <w:style w:type="paragraph" w:styleId="Indholdsfortegnelse3">
    <w:name w:val="toc 3"/>
    <w:basedOn w:val="Normal"/>
    <w:next w:val="Normal"/>
    <w:autoRedefine/>
    <w:uiPriority w:val="39"/>
    <w:unhideWhenUsed/>
    <w:rsid w:val="00FE52E5"/>
    <w:pPr>
      <w:tabs>
        <w:tab w:val="right" w:leader="dot" w:pos="9622"/>
      </w:tabs>
      <w:spacing w:after="0"/>
      <w:ind w:left="1134"/>
    </w:pPr>
    <w:rPr>
      <w:rFonts w:asciiTheme="minorHAnsi" w:hAnsiTheme="minorHAnsi"/>
      <w:i/>
      <w:sz w:val="22"/>
      <w:szCs w:val="22"/>
    </w:rPr>
  </w:style>
  <w:style w:type="paragraph" w:styleId="Markeringsbobletekst">
    <w:name w:val="Balloon Text"/>
    <w:basedOn w:val="Normal"/>
    <w:link w:val="MarkeringsbobletekstTegn"/>
    <w:uiPriority w:val="99"/>
    <w:semiHidden/>
    <w:unhideWhenUsed/>
    <w:rsid w:val="00615AC9"/>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15AC9"/>
    <w:rPr>
      <w:rFonts w:ascii="Lucida Grande" w:eastAsiaTheme="minorHAnsi" w:hAnsi="Lucida Grande" w:cs="Lucida Grande"/>
      <w:color w:val="000000"/>
      <w:sz w:val="18"/>
      <w:szCs w:val="18"/>
      <w:lang w:val="en-GB" w:eastAsia="en-US"/>
    </w:rPr>
  </w:style>
  <w:style w:type="paragraph" w:styleId="Indholdsfortegnelse4">
    <w:name w:val="toc 4"/>
    <w:basedOn w:val="Normal"/>
    <w:next w:val="Normal"/>
    <w:autoRedefine/>
    <w:uiPriority w:val="39"/>
    <w:unhideWhenUsed/>
    <w:rsid w:val="00615AC9"/>
    <w:pPr>
      <w:spacing w:after="0"/>
      <w:ind w:left="780"/>
    </w:pPr>
    <w:rPr>
      <w:rFonts w:asciiTheme="minorHAnsi" w:hAnsiTheme="minorHAnsi"/>
      <w:sz w:val="18"/>
      <w:szCs w:val="18"/>
    </w:rPr>
  </w:style>
  <w:style w:type="paragraph" w:styleId="Indholdsfortegnelse5">
    <w:name w:val="toc 5"/>
    <w:basedOn w:val="Normal"/>
    <w:next w:val="Normal"/>
    <w:autoRedefine/>
    <w:uiPriority w:val="39"/>
    <w:unhideWhenUsed/>
    <w:rsid w:val="00615AC9"/>
    <w:pPr>
      <w:spacing w:after="0"/>
      <w:ind w:left="1040"/>
    </w:pPr>
    <w:rPr>
      <w:rFonts w:asciiTheme="minorHAnsi" w:hAnsiTheme="minorHAnsi"/>
      <w:sz w:val="18"/>
      <w:szCs w:val="18"/>
    </w:rPr>
  </w:style>
  <w:style w:type="paragraph" w:styleId="Indholdsfortegnelse6">
    <w:name w:val="toc 6"/>
    <w:basedOn w:val="Normal"/>
    <w:next w:val="Normal"/>
    <w:autoRedefine/>
    <w:uiPriority w:val="39"/>
    <w:unhideWhenUsed/>
    <w:rsid w:val="00615AC9"/>
    <w:pPr>
      <w:spacing w:after="0"/>
      <w:ind w:left="1300"/>
    </w:pPr>
    <w:rPr>
      <w:rFonts w:asciiTheme="minorHAnsi" w:hAnsiTheme="minorHAnsi"/>
      <w:sz w:val="18"/>
      <w:szCs w:val="18"/>
    </w:rPr>
  </w:style>
  <w:style w:type="paragraph" w:styleId="Indholdsfortegnelse7">
    <w:name w:val="toc 7"/>
    <w:basedOn w:val="Normal"/>
    <w:next w:val="Normal"/>
    <w:autoRedefine/>
    <w:uiPriority w:val="39"/>
    <w:unhideWhenUsed/>
    <w:rsid w:val="00615AC9"/>
    <w:pPr>
      <w:spacing w:after="0"/>
      <w:ind w:left="1560"/>
    </w:pPr>
    <w:rPr>
      <w:rFonts w:asciiTheme="minorHAnsi" w:hAnsiTheme="minorHAnsi"/>
      <w:sz w:val="18"/>
      <w:szCs w:val="18"/>
    </w:rPr>
  </w:style>
  <w:style w:type="paragraph" w:styleId="Indholdsfortegnelse8">
    <w:name w:val="toc 8"/>
    <w:basedOn w:val="Normal"/>
    <w:next w:val="Normal"/>
    <w:autoRedefine/>
    <w:uiPriority w:val="39"/>
    <w:unhideWhenUsed/>
    <w:rsid w:val="00615AC9"/>
    <w:pPr>
      <w:spacing w:after="0"/>
      <w:ind w:left="1820"/>
    </w:pPr>
    <w:rPr>
      <w:rFonts w:asciiTheme="minorHAnsi" w:hAnsiTheme="minorHAnsi"/>
      <w:sz w:val="18"/>
      <w:szCs w:val="18"/>
    </w:rPr>
  </w:style>
  <w:style w:type="paragraph" w:styleId="Indholdsfortegnelse9">
    <w:name w:val="toc 9"/>
    <w:basedOn w:val="Normal"/>
    <w:next w:val="Normal"/>
    <w:autoRedefine/>
    <w:uiPriority w:val="39"/>
    <w:unhideWhenUsed/>
    <w:rsid w:val="00615AC9"/>
    <w:pPr>
      <w:spacing w:after="0"/>
      <w:ind w:left="2080"/>
    </w:pPr>
    <w:rPr>
      <w:rFonts w:asciiTheme="minorHAnsi" w:hAnsiTheme="minorHAnsi"/>
      <w:sz w:val="18"/>
      <w:szCs w:val="18"/>
    </w:rPr>
  </w:style>
  <w:style w:type="paragraph" w:styleId="Sidehoved">
    <w:name w:val="header"/>
    <w:basedOn w:val="Normal"/>
    <w:link w:val="SidehovedTegn"/>
    <w:uiPriority w:val="99"/>
    <w:unhideWhenUsed/>
    <w:rsid w:val="008B42A6"/>
    <w:pPr>
      <w:tabs>
        <w:tab w:val="center" w:pos="4819"/>
        <w:tab w:val="right" w:pos="9638"/>
      </w:tabs>
      <w:spacing w:after="0"/>
    </w:pPr>
  </w:style>
  <w:style w:type="character" w:customStyle="1" w:styleId="SidehovedTegn">
    <w:name w:val="Sidehoved Tegn"/>
    <w:basedOn w:val="Standardskrifttypeiafsnit"/>
    <w:link w:val="Sidehoved"/>
    <w:uiPriority w:val="99"/>
    <w:rsid w:val="008B42A6"/>
    <w:rPr>
      <w:rFonts w:ascii="Garamond" w:eastAsiaTheme="minorHAnsi" w:hAnsi="Garamond" w:cs="Garamond"/>
      <w:color w:val="000000"/>
      <w:sz w:val="26"/>
      <w:szCs w:val="26"/>
      <w:lang w:val="en-GB" w:eastAsia="en-US"/>
    </w:rPr>
  </w:style>
  <w:style w:type="paragraph" w:customStyle="1" w:styleId="Tabeloverskift">
    <w:name w:val="Tabel overskift"/>
    <w:basedOn w:val="Normal"/>
    <w:qFormat/>
    <w:rsid w:val="005D1336"/>
    <w:pPr>
      <w:tabs>
        <w:tab w:val="left" w:pos="2708"/>
      </w:tabs>
      <w:spacing w:after="0"/>
      <w:jc w:val="left"/>
    </w:pPr>
    <w:rPr>
      <w:b/>
      <w:color w:val="FFFFFF" w:themeColor="background1"/>
    </w:rPr>
  </w:style>
  <w:style w:type="paragraph" w:customStyle="1" w:styleId="Tabeltekst">
    <w:name w:val="Tabel tekst"/>
    <w:basedOn w:val="Normal"/>
    <w:qFormat/>
    <w:rsid w:val="005D1336"/>
    <w:pPr>
      <w:spacing w:after="0"/>
      <w:jc w:val="left"/>
    </w:pPr>
  </w:style>
  <w:style w:type="paragraph" w:styleId="Fodnotetekst">
    <w:name w:val="footnote text"/>
    <w:aliases w:val="f,Footnote Text Char Char,Geneva 9,Font: Geneva 9,Boston 10,ft,ADB,single space,FOOTNOTES,fn,Footnote Text1 Char,Footnote Text2,Footnote Text Char Char Char1 Char,Footnote Text Char Char Char1,ALTS FOOTNOTE,Char Char,Char1,WB-Fußnotentext"/>
    <w:basedOn w:val="Normal"/>
    <w:link w:val="FodnotetekstTegn"/>
    <w:autoRedefine/>
    <w:uiPriority w:val="99"/>
    <w:qFormat/>
    <w:rsid w:val="004F3430"/>
    <w:pPr>
      <w:autoSpaceDE/>
      <w:autoSpaceDN/>
      <w:adjustRightInd/>
      <w:spacing w:after="0"/>
    </w:pPr>
    <w:rPr>
      <w:rFonts w:eastAsia="SimSun" w:cs="Times New Roman"/>
      <w:color w:val="auto"/>
      <w:sz w:val="18"/>
      <w:szCs w:val="18"/>
      <w:lang w:val="da-DK" w:eastAsia="da-DK"/>
    </w:rPr>
  </w:style>
  <w:style w:type="character" w:customStyle="1" w:styleId="FodnotetekstTegn">
    <w:name w:val="Fodnotetekst Tegn"/>
    <w:aliases w:val="f Tegn,Footnote Text Char Char Tegn,Geneva 9 Tegn,Font: Geneva 9 Tegn,Boston 10 Tegn,ft Tegn,ADB Tegn,single space Tegn,FOOTNOTES Tegn,fn Tegn,Footnote Text1 Char Tegn,Footnote Text2 Tegn,Footnote Text Char Char Char1 Char Tegn"/>
    <w:basedOn w:val="Standardskrifttypeiafsnit"/>
    <w:link w:val="Fodnotetekst"/>
    <w:uiPriority w:val="99"/>
    <w:rsid w:val="004F3430"/>
    <w:rPr>
      <w:rFonts w:ascii="Garamond" w:eastAsia="SimSun" w:hAnsi="Garamond" w:cs="Times New Roman"/>
      <w:sz w:val="18"/>
      <w:szCs w:val="18"/>
      <w:lang w:val="da-DK"/>
    </w:rPr>
  </w:style>
  <w:style w:type="character" w:styleId="Fodnotehenvisning">
    <w:name w:val="footnote reference"/>
    <w:aliases w:val="Char Char1 Char Char Char Char1 Char Char Char Char Char Char Char Char Char Char Char Char Char Char Char Char Char Char Tegn Tegn Char Char Char Char Char Char Char Char Char,BVI fnr Char Char Char,BVI fnr,ftref,16 Point, BVI fnr,4_"/>
    <w:link w:val="BVIfnrCarattereCharCharCharCarattereCharCharCharCharCharChar1CharCharCharCarattereChar"/>
    <w:uiPriority w:val="99"/>
    <w:qFormat/>
    <w:rsid w:val="00F36FE7"/>
    <w:rPr>
      <w:rFonts w:ascii="Calibri" w:hAnsi="Calibri" w:cs="Times New Roman"/>
      <w:sz w:val="26"/>
      <w:vertAlign w:val="superscript"/>
      <w:lang w:val="en-GB" w:eastAsia="en-GB"/>
    </w:rPr>
  </w:style>
  <w:style w:type="character" w:styleId="Hyperlink">
    <w:name w:val="Hyperlink"/>
    <w:basedOn w:val="Standardskrifttypeiafsnit"/>
    <w:uiPriority w:val="99"/>
    <w:unhideWhenUsed/>
    <w:rsid w:val="004D64B5"/>
    <w:rPr>
      <w:color w:val="0000FF" w:themeColor="hyperlink"/>
      <w:u w:val="single"/>
    </w:rPr>
  </w:style>
  <w:style w:type="character" w:styleId="Kommentarhenvisning">
    <w:name w:val="annotation reference"/>
    <w:basedOn w:val="Standardskrifttypeiafsnit"/>
    <w:uiPriority w:val="99"/>
    <w:semiHidden/>
    <w:unhideWhenUsed/>
    <w:rsid w:val="00D72B5A"/>
    <w:rPr>
      <w:sz w:val="16"/>
      <w:szCs w:val="16"/>
    </w:rPr>
  </w:style>
  <w:style w:type="paragraph" w:styleId="Kommentartekst">
    <w:name w:val="annotation text"/>
    <w:basedOn w:val="Normal"/>
    <w:link w:val="KommentartekstTegn"/>
    <w:uiPriority w:val="99"/>
    <w:unhideWhenUsed/>
    <w:rsid w:val="00D72B5A"/>
    <w:rPr>
      <w:sz w:val="20"/>
      <w:szCs w:val="20"/>
    </w:rPr>
  </w:style>
  <w:style w:type="character" w:customStyle="1" w:styleId="KommentartekstTegn">
    <w:name w:val="Kommentartekst Tegn"/>
    <w:basedOn w:val="Standardskrifttypeiafsnit"/>
    <w:link w:val="Kommentartekst"/>
    <w:uiPriority w:val="99"/>
    <w:rsid w:val="00D72B5A"/>
    <w:rPr>
      <w:rFonts w:ascii="Garamond" w:eastAsiaTheme="minorHAnsi" w:hAnsi="Garamond" w:cs="Garamond"/>
      <w:color w:val="000000"/>
      <w:sz w:val="20"/>
      <w:szCs w:val="20"/>
      <w:lang w:val="en-GB" w:eastAsia="en-US"/>
    </w:rPr>
  </w:style>
  <w:style w:type="paragraph" w:styleId="Kommentaremne">
    <w:name w:val="annotation subject"/>
    <w:basedOn w:val="Kommentartekst"/>
    <w:next w:val="Kommentartekst"/>
    <w:link w:val="KommentaremneTegn"/>
    <w:uiPriority w:val="99"/>
    <w:semiHidden/>
    <w:unhideWhenUsed/>
    <w:rsid w:val="00D72B5A"/>
    <w:rPr>
      <w:b/>
      <w:bCs/>
    </w:rPr>
  </w:style>
  <w:style w:type="character" w:customStyle="1" w:styleId="KommentaremneTegn">
    <w:name w:val="Kommentaremne Tegn"/>
    <w:basedOn w:val="KommentartekstTegn"/>
    <w:link w:val="Kommentaremne"/>
    <w:uiPriority w:val="99"/>
    <w:semiHidden/>
    <w:rsid w:val="00D72B5A"/>
    <w:rPr>
      <w:rFonts w:ascii="Garamond" w:eastAsiaTheme="minorHAnsi" w:hAnsi="Garamond" w:cs="Garamond"/>
      <w:b/>
      <w:bCs/>
      <w:color w:val="000000"/>
      <w:sz w:val="20"/>
      <w:szCs w:val="20"/>
      <w:lang w:val="en-GB" w:eastAsia="en-US"/>
    </w:rPr>
  </w:style>
  <w:style w:type="paragraph" w:styleId="Korrektur">
    <w:name w:val="Revision"/>
    <w:hidden/>
    <w:uiPriority w:val="99"/>
    <w:semiHidden/>
    <w:rsid w:val="00516707"/>
    <w:rPr>
      <w:rFonts w:ascii="Garamond" w:eastAsiaTheme="minorHAnsi" w:hAnsi="Garamond" w:cs="Garamond"/>
      <w:color w:val="000000"/>
      <w:sz w:val="26"/>
      <w:szCs w:val="26"/>
      <w:lang w:val="en-GB" w:eastAsia="en-US"/>
    </w:rPr>
  </w:style>
  <w:style w:type="paragraph" w:styleId="NormalWeb">
    <w:name w:val="Normal (Web)"/>
    <w:basedOn w:val="Normal"/>
    <w:uiPriority w:val="99"/>
    <w:unhideWhenUsed/>
    <w:rsid w:val="00FD22BB"/>
    <w:pPr>
      <w:autoSpaceDE/>
      <w:autoSpaceDN/>
      <w:adjustRightInd/>
      <w:spacing w:before="100" w:beforeAutospacing="1" w:after="100" w:afterAutospacing="1"/>
      <w:jc w:val="left"/>
    </w:pPr>
    <w:rPr>
      <w:rFonts w:ascii="Times" w:eastAsiaTheme="minorEastAsia" w:hAnsi="Times" w:cs="Times New Roman"/>
      <w:color w:val="auto"/>
      <w:sz w:val="20"/>
      <w:szCs w:val="20"/>
      <w:lang w:val="da-DK" w:eastAsia="da-DK"/>
    </w:rPr>
  </w:style>
  <w:style w:type="paragraph" w:customStyle="1" w:styleId="Contenudetableau">
    <w:name w:val="Contenu de tableau"/>
    <w:basedOn w:val="Normal"/>
    <w:rsid w:val="0018704F"/>
    <w:pPr>
      <w:widowControl w:val="0"/>
      <w:suppressLineNumbers/>
      <w:suppressAutoHyphens/>
      <w:autoSpaceDE/>
      <w:autoSpaceDN/>
      <w:adjustRightInd/>
      <w:spacing w:after="0"/>
      <w:jc w:val="left"/>
    </w:pPr>
    <w:rPr>
      <w:rFonts w:ascii="Times New Roman" w:eastAsia="WenQuanYi Micro Hei" w:hAnsi="Times New Roman" w:cs="Lohit Hindi"/>
      <w:color w:val="auto"/>
      <w:kern w:val="1"/>
      <w:szCs w:val="24"/>
      <w:lang w:val="en-US" w:eastAsia="zh-CN" w:bidi="hi-IN"/>
    </w:rPr>
  </w:style>
  <w:style w:type="paragraph" w:customStyle="1" w:styleId="Footnote1Aktis">
    <w:name w:val="Footnote 1 Aktis"/>
    <w:basedOn w:val="Fodnotetekst"/>
    <w:link w:val="Footnote1AktisChar"/>
    <w:qFormat/>
    <w:rsid w:val="005E17D1"/>
    <w:pPr>
      <w:tabs>
        <w:tab w:val="left" w:pos="142"/>
      </w:tabs>
      <w:ind w:left="142" w:hanging="142"/>
      <w:jc w:val="left"/>
    </w:pPr>
    <w:rPr>
      <w:rFonts w:ascii="Open Sans" w:eastAsiaTheme="minorHAnsi" w:hAnsi="Open Sans"/>
      <w:sz w:val="16"/>
      <w:szCs w:val="16"/>
      <w:lang w:val="en-GB" w:eastAsia="en-US"/>
    </w:rPr>
  </w:style>
  <w:style w:type="character" w:customStyle="1" w:styleId="Footnote1AktisChar">
    <w:name w:val="Footnote 1 Aktis Char"/>
    <w:basedOn w:val="FodnotetekstTegn"/>
    <w:link w:val="Footnote1Aktis"/>
    <w:rsid w:val="005E17D1"/>
    <w:rPr>
      <w:rFonts w:ascii="Open Sans" w:eastAsiaTheme="minorHAnsi" w:hAnsi="Open Sans" w:cs="Times New Roman"/>
      <w:sz w:val="16"/>
      <w:szCs w:val="16"/>
      <w:lang w:val="en-GB" w:eastAsia="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dnotehenvisning"/>
    <w:uiPriority w:val="99"/>
    <w:rsid w:val="00D93D53"/>
    <w:pPr>
      <w:autoSpaceDE/>
      <w:autoSpaceDN/>
      <w:adjustRightInd/>
      <w:spacing w:after="160" w:line="240" w:lineRule="exact"/>
    </w:pPr>
    <w:rPr>
      <w:rFonts w:ascii="Calibri" w:eastAsiaTheme="minorEastAsia" w:hAnsi="Calibri" w:cs="Times New Roman"/>
      <w:color w:val="auto"/>
      <w:szCs w:val="24"/>
      <w:vertAlign w:val="superscript"/>
      <w:lang w:eastAsia="en-GB"/>
    </w:rPr>
  </w:style>
  <w:style w:type="character" w:customStyle="1" w:styleId="ListeafsnitTegn">
    <w:name w:val="Listeafsnit Tegn"/>
    <w:aliases w:val="Bullets Tegn,List Paragraph (numbered (a)) Tegn,Scriptoria bullet points Tegn"/>
    <w:link w:val="Listeafsnit"/>
    <w:uiPriority w:val="34"/>
    <w:rsid w:val="00D93D53"/>
    <w:rPr>
      <w:rFonts w:ascii="Garamond" w:eastAsiaTheme="minorHAnsi" w:hAnsi="Garamond" w:cs="Garamond"/>
      <w:color w:val="000000"/>
      <w:sz w:val="26"/>
      <w:szCs w:val="26"/>
      <w:lang w:val="en-GB" w:eastAsia="en-US"/>
    </w:rPr>
  </w:style>
  <w:style w:type="table" w:styleId="Mediumgitter3-fremhvningsfarve5">
    <w:name w:val="Medium Grid 3 Accent 5"/>
    <w:basedOn w:val="Tabel-Normal"/>
    <w:uiPriority w:val="69"/>
    <w:rsid w:val="003A77EC"/>
    <w:rPr>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itel">
    <w:name w:val="Title"/>
    <w:basedOn w:val="Normal"/>
    <w:next w:val="Normal"/>
    <w:link w:val="TitelTegn"/>
    <w:uiPriority w:val="10"/>
    <w:qFormat/>
    <w:rsid w:val="006923F0"/>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6923F0"/>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993">
      <w:bodyDiv w:val="1"/>
      <w:marLeft w:val="0"/>
      <w:marRight w:val="0"/>
      <w:marTop w:val="0"/>
      <w:marBottom w:val="0"/>
      <w:divBdr>
        <w:top w:val="none" w:sz="0" w:space="0" w:color="auto"/>
        <w:left w:val="none" w:sz="0" w:space="0" w:color="auto"/>
        <w:bottom w:val="none" w:sz="0" w:space="0" w:color="auto"/>
        <w:right w:val="none" w:sz="0" w:space="0" w:color="auto"/>
      </w:divBdr>
    </w:div>
    <w:div w:id="164639273">
      <w:bodyDiv w:val="1"/>
      <w:marLeft w:val="0"/>
      <w:marRight w:val="0"/>
      <w:marTop w:val="0"/>
      <w:marBottom w:val="0"/>
      <w:divBdr>
        <w:top w:val="none" w:sz="0" w:space="0" w:color="auto"/>
        <w:left w:val="none" w:sz="0" w:space="0" w:color="auto"/>
        <w:bottom w:val="none" w:sz="0" w:space="0" w:color="auto"/>
        <w:right w:val="none" w:sz="0" w:space="0" w:color="auto"/>
      </w:divBdr>
    </w:div>
    <w:div w:id="171729569">
      <w:bodyDiv w:val="1"/>
      <w:marLeft w:val="0"/>
      <w:marRight w:val="0"/>
      <w:marTop w:val="0"/>
      <w:marBottom w:val="0"/>
      <w:divBdr>
        <w:top w:val="none" w:sz="0" w:space="0" w:color="auto"/>
        <w:left w:val="none" w:sz="0" w:space="0" w:color="auto"/>
        <w:bottom w:val="none" w:sz="0" w:space="0" w:color="auto"/>
        <w:right w:val="none" w:sz="0" w:space="0" w:color="auto"/>
      </w:divBdr>
    </w:div>
    <w:div w:id="399593269">
      <w:bodyDiv w:val="1"/>
      <w:marLeft w:val="0"/>
      <w:marRight w:val="0"/>
      <w:marTop w:val="0"/>
      <w:marBottom w:val="0"/>
      <w:divBdr>
        <w:top w:val="none" w:sz="0" w:space="0" w:color="auto"/>
        <w:left w:val="none" w:sz="0" w:space="0" w:color="auto"/>
        <w:bottom w:val="none" w:sz="0" w:space="0" w:color="auto"/>
        <w:right w:val="none" w:sz="0" w:space="0" w:color="auto"/>
      </w:divBdr>
    </w:div>
    <w:div w:id="517276063">
      <w:bodyDiv w:val="1"/>
      <w:marLeft w:val="0"/>
      <w:marRight w:val="0"/>
      <w:marTop w:val="0"/>
      <w:marBottom w:val="0"/>
      <w:divBdr>
        <w:top w:val="none" w:sz="0" w:space="0" w:color="auto"/>
        <w:left w:val="none" w:sz="0" w:space="0" w:color="auto"/>
        <w:bottom w:val="none" w:sz="0" w:space="0" w:color="auto"/>
        <w:right w:val="none" w:sz="0" w:space="0" w:color="auto"/>
      </w:divBdr>
    </w:div>
    <w:div w:id="587154904">
      <w:bodyDiv w:val="1"/>
      <w:marLeft w:val="0"/>
      <w:marRight w:val="0"/>
      <w:marTop w:val="0"/>
      <w:marBottom w:val="0"/>
      <w:divBdr>
        <w:top w:val="none" w:sz="0" w:space="0" w:color="auto"/>
        <w:left w:val="none" w:sz="0" w:space="0" w:color="auto"/>
        <w:bottom w:val="none" w:sz="0" w:space="0" w:color="auto"/>
        <w:right w:val="none" w:sz="0" w:space="0" w:color="auto"/>
      </w:divBdr>
    </w:div>
    <w:div w:id="698506766">
      <w:bodyDiv w:val="1"/>
      <w:marLeft w:val="0"/>
      <w:marRight w:val="0"/>
      <w:marTop w:val="0"/>
      <w:marBottom w:val="0"/>
      <w:divBdr>
        <w:top w:val="none" w:sz="0" w:space="0" w:color="auto"/>
        <w:left w:val="none" w:sz="0" w:space="0" w:color="auto"/>
        <w:bottom w:val="none" w:sz="0" w:space="0" w:color="auto"/>
        <w:right w:val="none" w:sz="0" w:space="0" w:color="auto"/>
      </w:divBdr>
    </w:div>
    <w:div w:id="878859104">
      <w:bodyDiv w:val="1"/>
      <w:marLeft w:val="0"/>
      <w:marRight w:val="0"/>
      <w:marTop w:val="0"/>
      <w:marBottom w:val="0"/>
      <w:divBdr>
        <w:top w:val="none" w:sz="0" w:space="0" w:color="auto"/>
        <w:left w:val="none" w:sz="0" w:space="0" w:color="auto"/>
        <w:bottom w:val="none" w:sz="0" w:space="0" w:color="auto"/>
        <w:right w:val="none" w:sz="0" w:space="0" w:color="auto"/>
      </w:divBdr>
    </w:div>
    <w:div w:id="1030303904">
      <w:bodyDiv w:val="1"/>
      <w:marLeft w:val="0"/>
      <w:marRight w:val="0"/>
      <w:marTop w:val="0"/>
      <w:marBottom w:val="0"/>
      <w:divBdr>
        <w:top w:val="none" w:sz="0" w:space="0" w:color="auto"/>
        <w:left w:val="none" w:sz="0" w:space="0" w:color="auto"/>
        <w:bottom w:val="none" w:sz="0" w:space="0" w:color="auto"/>
        <w:right w:val="none" w:sz="0" w:space="0" w:color="auto"/>
      </w:divBdr>
    </w:div>
    <w:div w:id="1072313980">
      <w:bodyDiv w:val="1"/>
      <w:marLeft w:val="0"/>
      <w:marRight w:val="0"/>
      <w:marTop w:val="0"/>
      <w:marBottom w:val="0"/>
      <w:divBdr>
        <w:top w:val="none" w:sz="0" w:space="0" w:color="auto"/>
        <w:left w:val="none" w:sz="0" w:space="0" w:color="auto"/>
        <w:bottom w:val="none" w:sz="0" w:space="0" w:color="auto"/>
        <w:right w:val="none" w:sz="0" w:space="0" w:color="auto"/>
      </w:divBdr>
    </w:div>
    <w:div w:id="1183201217">
      <w:bodyDiv w:val="1"/>
      <w:marLeft w:val="0"/>
      <w:marRight w:val="0"/>
      <w:marTop w:val="0"/>
      <w:marBottom w:val="0"/>
      <w:divBdr>
        <w:top w:val="none" w:sz="0" w:space="0" w:color="auto"/>
        <w:left w:val="none" w:sz="0" w:space="0" w:color="auto"/>
        <w:bottom w:val="none" w:sz="0" w:space="0" w:color="auto"/>
        <w:right w:val="none" w:sz="0" w:space="0" w:color="auto"/>
      </w:divBdr>
    </w:div>
    <w:div w:id="1257905645">
      <w:bodyDiv w:val="1"/>
      <w:marLeft w:val="0"/>
      <w:marRight w:val="0"/>
      <w:marTop w:val="0"/>
      <w:marBottom w:val="0"/>
      <w:divBdr>
        <w:top w:val="none" w:sz="0" w:space="0" w:color="auto"/>
        <w:left w:val="none" w:sz="0" w:space="0" w:color="auto"/>
        <w:bottom w:val="none" w:sz="0" w:space="0" w:color="auto"/>
        <w:right w:val="none" w:sz="0" w:space="0" w:color="auto"/>
      </w:divBdr>
    </w:div>
    <w:div w:id="1337538332">
      <w:bodyDiv w:val="1"/>
      <w:marLeft w:val="0"/>
      <w:marRight w:val="0"/>
      <w:marTop w:val="0"/>
      <w:marBottom w:val="0"/>
      <w:divBdr>
        <w:top w:val="none" w:sz="0" w:space="0" w:color="auto"/>
        <w:left w:val="none" w:sz="0" w:space="0" w:color="auto"/>
        <w:bottom w:val="none" w:sz="0" w:space="0" w:color="auto"/>
        <w:right w:val="none" w:sz="0" w:space="0" w:color="auto"/>
      </w:divBdr>
    </w:div>
    <w:div w:id="1446536320">
      <w:bodyDiv w:val="1"/>
      <w:marLeft w:val="0"/>
      <w:marRight w:val="0"/>
      <w:marTop w:val="0"/>
      <w:marBottom w:val="0"/>
      <w:divBdr>
        <w:top w:val="none" w:sz="0" w:space="0" w:color="auto"/>
        <w:left w:val="none" w:sz="0" w:space="0" w:color="auto"/>
        <w:bottom w:val="none" w:sz="0" w:space="0" w:color="auto"/>
        <w:right w:val="none" w:sz="0" w:space="0" w:color="auto"/>
      </w:divBdr>
    </w:div>
    <w:div w:id="1509952379">
      <w:bodyDiv w:val="1"/>
      <w:marLeft w:val="0"/>
      <w:marRight w:val="0"/>
      <w:marTop w:val="0"/>
      <w:marBottom w:val="0"/>
      <w:divBdr>
        <w:top w:val="none" w:sz="0" w:space="0" w:color="auto"/>
        <w:left w:val="none" w:sz="0" w:space="0" w:color="auto"/>
        <w:bottom w:val="none" w:sz="0" w:space="0" w:color="auto"/>
        <w:right w:val="none" w:sz="0" w:space="0" w:color="auto"/>
      </w:divBdr>
    </w:div>
    <w:div w:id="1550452099">
      <w:bodyDiv w:val="1"/>
      <w:marLeft w:val="0"/>
      <w:marRight w:val="0"/>
      <w:marTop w:val="0"/>
      <w:marBottom w:val="0"/>
      <w:divBdr>
        <w:top w:val="none" w:sz="0" w:space="0" w:color="auto"/>
        <w:left w:val="none" w:sz="0" w:space="0" w:color="auto"/>
        <w:bottom w:val="none" w:sz="0" w:space="0" w:color="auto"/>
        <w:right w:val="none" w:sz="0" w:space="0" w:color="auto"/>
      </w:divBdr>
    </w:div>
    <w:div w:id="1647735179">
      <w:bodyDiv w:val="1"/>
      <w:marLeft w:val="0"/>
      <w:marRight w:val="0"/>
      <w:marTop w:val="0"/>
      <w:marBottom w:val="0"/>
      <w:divBdr>
        <w:top w:val="none" w:sz="0" w:space="0" w:color="auto"/>
        <w:left w:val="none" w:sz="0" w:space="0" w:color="auto"/>
        <w:bottom w:val="none" w:sz="0" w:space="0" w:color="auto"/>
        <w:right w:val="none" w:sz="0" w:space="0" w:color="auto"/>
      </w:divBdr>
    </w:div>
    <w:div w:id="1699040147">
      <w:bodyDiv w:val="1"/>
      <w:marLeft w:val="0"/>
      <w:marRight w:val="0"/>
      <w:marTop w:val="0"/>
      <w:marBottom w:val="0"/>
      <w:divBdr>
        <w:top w:val="none" w:sz="0" w:space="0" w:color="auto"/>
        <w:left w:val="none" w:sz="0" w:space="0" w:color="auto"/>
        <w:bottom w:val="none" w:sz="0" w:space="0" w:color="auto"/>
        <w:right w:val="none" w:sz="0" w:space="0" w:color="auto"/>
      </w:divBdr>
    </w:div>
    <w:div w:id="1749501175">
      <w:bodyDiv w:val="1"/>
      <w:marLeft w:val="0"/>
      <w:marRight w:val="0"/>
      <w:marTop w:val="0"/>
      <w:marBottom w:val="0"/>
      <w:divBdr>
        <w:top w:val="none" w:sz="0" w:space="0" w:color="auto"/>
        <w:left w:val="none" w:sz="0" w:space="0" w:color="auto"/>
        <w:bottom w:val="none" w:sz="0" w:space="0" w:color="auto"/>
        <w:right w:val="none" w:sz="0" w:space="0" w:color="auto"/>
      </w:divBdr>
    </w:div>
    <w:div w:id="1849365734">
      <w:bodyDiv w:val="1"/>
      <w:marLeft w:val="0"/>
      <w:marRight w:val="0"/>
      <w:marTop w:val="0"/>
      <w:marBottom w:val="0"/>
      <w:divBdr>
        <w:top w:val="none" w:sz="0" w:space="0" w:color="auto"/>
        <w:left w:val="none" w:sz="0" w:space="0" w:color="auto"/>
        <w:bottom w:val="none" w:sz="0" w:space="0" w:color="auto"/>
        <w:right w:val="none" w:sz="0" w:space="0" w:color="auto"/>
      </w:divBdr>
    </w:div>
    <w:div w:id="1853033623">
      <w:bodyDiv w:val="1"/>
      <w:marLeft w:val="0"/>
      <w:marRight w:val="0"/>
      <w:marTop w:val="0"/>
      <w:marBottom w:val="0"/>
      <w:divBdr>
        <w:top w:val="none" w:sz="0" w:space="0" w:color="auto"/>
        <w:left w:val="none" w:sz="0" w:space="0" w:color="auto"/>
        <w:bottom w:val="none" w:sz="0" w:space="0" w:color="auto"/>
        <w:right w:val="none" w:sz="0" w:space="0" w:color="auto"/>
      </w:divBdr>
      <w:divsChild>
        <w:div w:id="1829706870">
          <w:marLeft w:val="0"/>
          <w:marRight w:val="0"/>
          <w:marTop w:val="0"/>
          <w:marBottom w:val="0"/>
          <w:divBdr>
            <w:top w:val="none" w:sz="0" w:space="0" w:color="auto"/>
            <w:left w:val="none" w:sz="0" w:space="0" w:color="auto"/>
            <w:bottom w:val="none" w:sz="0" w:space="0" w:color="auto"/>
            <w:right w:val="none" w:sz="0" w:space="0" w:color="auto"/>
          </w:divBdr>
          <w:divsChild>
            <w:div w:id="1114862683">
              <w:marLeft w:val="0"/>
              <w:marRight w:val="0"/>
              <w:marTop w:val="0"/>
              <w:marBottom w:val="0"/>
              <w:divBdr>
                <w:top w:val="none" w:sz="0" w:space="0" w:color="auto"/>
                <w:left w:val="none" w:sz="0" w:space="0" w:color="auto"/>
                <w:bottom w:val="none" w:sz="0" w:space="0" w:color="auto"/>
                <w:right w:val="none" w:sz="0" w:space="0" w:color="auto"/>
              </w:divBdr>
              <w:divsChild>
                <w:div w:id="1427002095">
                  <w:marLeft w:val="0"/>
                  <w:marRight w:val="0"/>
                  <w:marTop w:val="0"/>
                  <w:marBottom w:val="0"/>
                  <w:divBdr>
                    <w:top w:val="none" w:sz="0" w:space="0" w:color="auto"/>
                    <w:left w:val="none" w:sz="0" w:space="0" w:color="auto"/>
                    <w:bottom w:val="none" w:sz="0" w:space="0" w:color="auto"/>
                    <w:right w:val="none" w:sz="0" w:space="0" w:color="auto"/>
                  </w:divBdr>
                  <w:divsChild>
                    <w:div w:id="1089885259">
                      <w:marLeft w:val="0"/>
                      <w:marRight w:val="0"/>
                      <w:marTop w:val="0"/>
                      <w:marBottom w:val="0"/>
                      <w:divBdr>
                        <w:top w:val="none" w:sz="0" w:space="0" w:color="auto"/>
                        <w:left w:val="none" w:sz="0" w:space="0" w:color="auto"/>
                        <w:bottom w:val="none" w:sz="0" w:space="0" w:color="auto"/>
                        <w:right w:val="none" w:sz="0" w:space="0" w:color="auto"/>
                      </w:divBdr>
                      <w:divsChild>
                        <w:div w:id="1554387103">
                          <w:marLeft w:val="0"/>
                          <w:marRight w:val="0"/>
                          <w:marTop w:val="0"/>
                          <w:marBottom w:val="0"/>
                          <w:divBdr>
                            <w:top w:val="none" w:sz="0" w:space="0" w:color="auto"/>
                            <w:left w:val="none" w:sz="0" w:space="0" w:color="auto"/>
                            <w:bottom w:val="none" w:sz="0" w:space="0" w:color="auto"/>
                            <w:right w:val="none" w:sz="0" w:space="0" w:color="auto"/>
                          </w:divBdr>
                          <w:divsChild>
                            <w:div w:id="1892039640">
                              <w:marLeft w:val="0"/>
                              <w:marRight w:val="0"/>
                              <w:marTop w:val="0"/>
                              <w:marBottom w:val="0"/>
                              <w:divBdr>
                                <w:top w:val="none" w:sz="0" w:space="0" w:color="auto"/>
                                <w:left w:val="none" w:sz="0" w:space="0" w:color="auto"/>
                                <w:bottom w:val="none" w:sz="0" w:space="0" w:color="auto"/>
                                <w:right w:val="none" w:sz="0" w:space="0" w:color="auto"/>
                              </w:divBdr>
                              <w:divsChild>
                                <w:div w:id="1049917251">
                                  <w:marLeft w:val="0"/>
                                  <w:marRight w:val="0"/>
                                  <w:marTop w:val="0"/>
                                  <w:marBottom w:val="0"/>
                                  <w:divBdr>
                                    <w:top w:val="none" w:sz="0" w:space="0" w:color="auto"/>
                                    <w:left w:val="none" w:sz="0" w:space="0" w:color="auto"/>
                                    <w:bottom w:val="none" w:sz="0" w:space="0" w:color="auto"/>
                                    <w:right w:val="none" w:sz="0" w:space="0" w:color="auto"/>
                                  </w:divBdr>
                                  <w:divsChild>
                                    <w:div w:id="1552228546">
                                      <w:marLeft w:val="0"/>
                                      <w:marRight w:val="0"/>
                                      <w:marTop w:val="0"/>
                                      <w:marBottom w:val="0"/>
                                      <w:divBdr>
                                        <w:top w:val="none" w:sz="0" w:space="0" w:color="auto"/>
                                        <w:left w:val="none" w:sz="0" w:space="0" w:color="auto"/>
                                        <w:bottom w:val="none" w:sz="0" w:space="0" w:color="auto"/>
                                        <w:right w:val="none" w:sz="0" w:space="0" w:color="auto"/>
                                      </w:divBdr>
                                      <w:divsChild>
                                        <w:div w:id="58137114">
                                          <w:marLeft w:val="0"/>
                                          <w:marRight w:val="0"/>
                                          <w:marTop w:val="0"/>
                                          <w:marBottom w:val="0"/>
                                          <w:divBdr>
                                            <w:top w:val="none" w:sz="0" w:space="0" w:color="auto"/>
                                            <w:left w:val="none" w:sz="0" w:space="0" w:color="auto"/>
                                            <w:bottom w:val="none" w:sz="0" w:space="0" w:color="auto"/>
                                            <w:right w:val="none" w:sz="0" w:space="0" w:color="auto"/>
                                          </w:divBdr>
                                          <w:divsChild>
                                            <w:div w:id="1371422294">
                                              <w:marLeft w:val="0"/>
                                              <w:marRight w:val="0"/>
                                              <w:marTop w:val="0"/>
                                              <w:marBottom w:val="300"/>
                                              <w:divBdr>
                                                <w:top w:val="none" w:sz="0" w:space="0" w:color="auto"/>
                                                <w:left w:val="none" w:sz="0" w:space="0" w:color="auto"/>
                                                <w:bottom w:val="none" w:sz="0" w:space="0" w:color="auto"/>
                                                <w:right w:val="none" w:sz="0" w:space="0" w:color="auto"/>
                                              </w:divBdr>
                                              <w:divsChild>
                                                <w:div w:id="947587925">
                                                  <w:marLeft w:val="0"/>
                                                  <w:marRight w:val="0"/>
                                                  <w:marTop w:val="0"/>
                                                  <w:marBottom w:val="0"/>
                                                  <w:divBdr>
                                                    <w:top w:val="none" w:sz="0" w:space="0" w:color="auto"/>
                                                    <w:left w:val="none" w:sz="0" w:space="0" w:color="auto"/>
                                                    <w:bottom w:val="none" w:sz="0" w:space="0" w:color="auto"/>
                                                    <w:right w:val="none" w:sz="0" w:space="0" w:color="auto"/>
                                                  </w:divBdr>
                                                  <w:divsChild>
                                                    <w:div w:id="13408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729901">
      <w:bodyDiv w:val="1"/>
      <w:marLeft w:val="0"/>
      <w:marRight w:val="0"/>
      <w:marTop w:val="0"/>
      <w:marBottom w:val="0"/>
      <w:divBdr>
        <w:top w:val="none" w:sz="0" w:space="0" w:color="auto"/>
        <w:left w:val="none" w:sz="0" w:space="0" w:color="auto"/>
        <w:bottom w:val="none" w:sz="0" w:space="0" w:color="auto"/>
        <w:right w:val="none" w:sz="0" w:space="0" w:color="auto"/>
      </w:divBdr>
    </w:div>
    <w:div w:id="2005232249">
      <w:bodyDiv w:val="1"/>
      <w:marLeft w:val="0"/>
      <w:marRight w:val="0"/>
      <w:marTop w:val="0"/>
      <w:marBottom w:val="0"/>
      <w:divBdr>
        <w:top w:val="none" w:sz="0" w:space="0" w:color="auto"/>
        <w:left w:val="none" w:sz="0" w:space="0" w:color="auto"/>
        <w:bottom w:val="none" w:sz="0" w:space="0" w:color="auto"/>
        <w:right w:val="none" w:sz="0" w:space="0" w:color="auto"/>
      </w:divBdr>
    </w:div>
    <w:div w:id="203202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footer" Target="foot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67A89-1356-4FAC-A5CD-5EC54FBE6F1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4658556-86D6-49D9-B483-430D707698F8}">
      <dgm:prSet phldrT="[Text]" custT="1"/>
      <dgm:spPr>
        <a:solidFill>
          <a:srgbClr val="EBD9E2"/>
        </a:solidFill>
        <a:ln w="9525">
          <a:solidFill>
            <a:srgbClr val="3E2C42"/>
          </a:solidFill>
        </a:ln>
      </dgm:spPr>
      <dgm:t>
        <a:bodyPr/>
        <a:lstStyle/>
        <a:p>
          <a:r>
            <a:rPr lang="en-US" sz="1100" b="0">
              <a:solidFill>
                <a:srgbClr val="3E2C42"/>
              </a:solidFill>
              <a:latin typeface="Garamond" panose="02020404030301010803" pitchFamily="18" charset="0"/>
            </a:rPr>
            <a:t>JaN's dominant military and political role increases risk to international actors</a:t>
          </a:r>
        </a:p>
      </dgm:t>
    </dgm:pt>
    <dgm:pt modelId="{887AF21D-6FBE-4246-899C-3D83345BBAEC}" type="parTrans" cxnId="{838B2378-2EDF-4E96-A17B-8B69215CE15D}">
      <dgm:prSet/>
      <dgm:spPr/>
      <dgm:t>
        <a:bodyPr/>
        <a:lstStyle/>
        <a:p>
          <a:endParaRPr lang="en-US" sz="1100" b="0">
            <a:solidFill>
              <a:srgbClr val="3E2C42"/>
            </a:solidFill>
            <a:latin typeface="Garamond" panose="02020404030301010803" pitchFamily="18" charset="0"/>
          </a:endParaRPr>
        </a:p>
      </dgm:t>
    </dgm:pt>
    <dgm:pt modelId="{455167EB-ACDF-434B-A5E7-0BC7B4484D34}" type="sibTrans" cxnId="{838B2378-2EDF-4E96-A17B-8B69215CE15D}">
      <dgm:prSet/>
      <dgm:spPr/>
      <dgm:t>
        <a:bodyPr/>
        <a:lstStyle/>
        <a:p>
          <a:endParaRPr lang="en-US" sz="1100" b="0">
            <a:solidFill>
              <a:srgbClr val="3E2C42"/>
            </a:solidFill>
            <a:latin typeface="Garamond" panose="02020404030301010803" pitchFamily="18" charset="0"/>
          </a:endParaRPr>
        </a:p>
      </dgm:t>
    </dgm:pt>
    <dgm:pt modelId="{55013F19-C298-4C4D-A03F-B185C6B13797}">
      <dgm:prSet phldrT="[Text]" custT="1"/>
      <dgm:spPr>
        <a:solidFill>
          <a:srgbClr val="EBD9E2"/>
        </a:solidFill>
        <a:ln w="9525">
          <a:solidFill>
            <a:srgbClr val="3E2C42"/>
          </a:solidFill>
        </a:ln>
      </dgm:spPr>
      <dgm:t>
        <a:bodyPr/>
        <a:lstStyle/>
        <a:p>
          <a:pPr rtl="0"/>
          <a:r>
            <a:rPr lang="en-US" sz="1100" b="0">
              <a:solidFill>
                <a:srgbClr val="3E2C42"/>
              </a:solidFill>
              <a:latin typeface="Garamond" panose="02020404030301010803" pitchFamily="18" charset="0"/>
            </a:rPr>
            <a:t>Political and military support to the regime by Russia and Iran</a:t>
          </a:r>
        </a:p>
      </dgm:t>
    </dgm:pt>
    <dgm:pt modelId="{8251F4F7-267C-4E79-947D-6637E2074E43}" type="parTrans" cxnId="{8B9BE4C0-D455-446D-AA49-3C0C33EECB56}">
      <dgm:prSet/>
      <dgm:spPr/>
      <dgm:t>
        <a:bodyPr/>
        <a:lstStyle/>
        <a:p>
          <a:endParaRPr lang="en-US" sz="1100" b="0">
            <a:solidFill>
              <a:srgbClr val="3E2C42"/>
            </a:solidFill>
            <a:latin typeface="Garamond" panose="02020404030301010803" pitchFamily="18" charset="0"/>
          </a:endParaRPr>
        </a:p>
      </dgm:t>
    </dgm:pt>
    <dgm:pt modelId="{56BD0793-100F-44F3-BDA0-1E34FC585C78}" type="sibTrans" cxnId="{8B9BE4C0-D455-446D-AA49-3C0C33EECB56}">
      <dgm:prSet/>
      <dgm:spPr/>
      <dgm:t>
        <a:bodyPr/>
        <a:lstStyle/>
        <a:p>
          <a:endParaRPr lang="en-US" sz="1100" b="0">
            <a:solidFill>
              <a:srgbClr val="3E2C42"/>
            </a:solidFill>
            <a:latin typeface="Garamond" panose="02020404030301010803" pitchFamily="18" charset="0"/>
          </a:endParaRPr>
        </a:p>
      </dgm:t>
    </dgm:pt>
    <dgm:pt modelId="{0523B952-06EA-4AAD-9921-18D4718818A6}">
      <dgm:prSet phldrT="[Text]" custT="1"/>
      <dgm:spPr>
        <a:solidFill>
          <a:srgbClr val="EBD9E2"/>
        </a:solidFill>
        <a:ln w="9525">
          <a:solidFill>
            <a:srgbClr val="3E2C42"/>
          </a:solidFill>
        </a:ln>
      </dgm:spPr>
      <dgm:t>
        <a:bodyPr/>
        <a:lstStyle/>
        <a:p>
          <a:r>
            <a:rPr lang="en-GB" sz="1100" b="0">
              <a:solidFill>
                <a:srgbClr val="3E2C42"/>
              </a:solidFill>
              <a:latin typeface="Garamond" panose="02020404030301010803" pitchFamily="18" charset="0"/>
            </a:rPr>
            <a:t>Rivalries undermine opposition cohesion</a:t>
          </a:r>
          <a:endParaRPr lang="en-US" sz="1100" b="0">
            <a:solidFill>
              <a:srgbClr val="3E2C42"/>
            </a:solidFill>
            <a:latin typeface="Garamond" panose="02020404030301010803" pitchFamily="18" charset="0"/>
          </a:endParaRPr>
        </a:p>
      </dgm:t>
    </dgm:pt>
    <dgm:pt modelId="{12D52BD1-0B90-4E1A-B803-606E2FFDBA90}" type="parTrans" cxnId="{BD60E192-DC18-4C4D-9FD2-E6A242863F81}">
      <dgm:prSet/>
      <dgm:spPr/>
      <dgm:t>
        <a:bodyPr/>
        <a:lstStyle/>
        <a:p>
          <a:endParaRPr lang="en-US" sz="1100" b="0">
            <a:solidFill>
              <a:srgbClr val="3E2C42"/>
            </a:solidFill>
            <a:latin typeface="Garamond" panose="02020404030301010803" pitchFamily="18" charset="0"/>
          </a:endParaRPr>
        </a:p>
      </dgm:t>
    </dgm:pt>
    <dgm:pt modelId="{704B211C-0305-475F-9A0B-160F22AFFD84}" type="sibTrans" cxnId="{BD60E192-DC18-4C4D-9FD2-E6A242863F81}">
      <dgm:prSet/>
      <dgm:spPr/>
      <dgm:t>
        <a:bodyPr/>
        <a:lstStyle/>
        <a:p>
          <a:endParaRPr lang="en-US" sz="1100" b="0">
            <a:solidFill>
              <a:srgbClr val="3E2C42"/>
            </a:solidFill>
            <a:latin typeface="Garamond" panose="02020404030301010803" pitchFamily="18" charset="0"/>
          </a:endParaRPr>
        </a:p>
      </dgm:t>
    </dgm:pt>
    <dgm:pt modelId="{7DF809F3-5182-434A-8CAC-70EB6F2310B8}" type="pres">
      <dgm:prSet presAssocID="{44167A89-1356-4FAC-A5CD-5EC54FBE6F13}" presName="diagram" presStyleCnt="0">
        <dgm:presLayoutVars>
          <dgm:dir/>
          <dgm:resizeHandles val="exact"/>
        </dgm:presLayoutVars>
      </dgm:prSet>
      <dgm:spPr/>
      <dgm:t>
        <a:bodyPr/>
        <a:lstStyle/>
        <a:p>
          <a:endParaRPr lang="en-GB"/>
        </a:p>
      </dgm:t>
    </dgm:pt>
    <dgm:pt modelId="{924BF28D-9680-4870-8872-F050F2DC7FEB}" type="pres">
      <dgm:prSet presAssocID="{0523B952-06EA-4AAD-9921-18D4718818A6}" presName="node" presStyleLbl="node1" presStyleIdx="0" presStyleCnt="3" custScaleX="264639" custScaleY="123355">
        <dgm:presLayoutVars>
          <dgm:bulletEnabled val="1"/>
        </dgm:presLayoutVars>
      </dgm:prSet>
      <dgm:spPr/>
      <dgm:t>
        <a:bodyPr/>
        <a:lstStyle/>
        <a:p>
          <a:endParaRPr lang="en-GB"/>
        </a:p>
      </dgm:t>
    </dgm:pt>
    <dgm:pt modelId="{9B071123-642E-452F-A878-5551C461BB37}" type="pres">
      <dgm:prSet presAssocID="{704B211C-0305-475F-9A0B-160F22AFFD84}" presName="sibTrans" presStyleCnt="0"/>
      <dgm:spPr/>
    </dgm:pt>
    <dgm:pt modelId="{7EA4619D-91DE-4C6B-9202-AC37C5C8708E}" type="pres">
      <dgm:prSet presAssocID="{24658556-86D6-49D9-B483-430D707698F8}" presName="node" presStyleLbl="node1" presStyleIdx="1" presStyleCnt="3" custScaleX="264639" custScaleY="123355">
        <dgm:presLayoutVars>
          <dgm:bulletEnabled val="1"/>
        </dgm:presLayoutVars>
      </dgm:prSet>
      <dgm:spPr/>
      <dgm:t>
        <a:bodyPr/>
        <a:lstStyle/>
        <a:p>
          <a:endParaRPr lang="en-GB"/>
        </a:p>
      </dgm:t>
    </dgm:pt>
    <dgm:pt modelId="{179FF4FC-7B62-4280-9E68-CC70EFB893AF}" type="pres">
      <dgm:prSet presAssocID="{455167EB-ACDF-434B-A5E7-0BC7B4484D34}" presName="sibTrans" presStyleCnt="0"/>
      <dgm:spPr/>
    </dgm:pt>
    <dgm:pt modelId="{04DF72CF-C23F-4CC2-8EFB-34D8EDFA41E6}" type="pres">
      <dgm:prSet presAssocID="{55013F19-C298-4C4D-A03F-B185C6B13797}" presName="node" presStyleLbl="node1" presStyleIdx="2" presStyleCnt="3" custScaleX="264639" custScaleY="123355">
        <dgm:presLayoutVars>
          <dgm:bulletEnabled val="1"/>
        </dgm:presLayoutVars>
      </dgm:prSet>
      <dgm:spPr/>
      <dgm:t>
        <a:bodyPr/>
        <a:lstStyle/>
        <a:p>
          <a:endParaRPr lang="en-GB"/>
        </a:p>
      </dgm:t>
    </dgm:pt>
  </dgm:ptLst>
  <dgm:cxnLst>
    <dgm:cxn modelId="{838B2378-2EDF-4E96-A17B-8B69215CE15D}" srcId="{44167A89-1356-4FAC-A5CD-5EC54FBE6F13}" destId="{24658556-86D6-49D9-B483-430D707698F8}" srcOrd="1" destOrd="0" parTransId="{887AF21D-6FBE-4246-899C-3D83345BBAEC}" sibTransId="{455167EB-ACDF-434B-A5E7-0BC7B4484D34}"/>
    <dgm:cxn modelId="{E76612B3-E32F-4EF1-96DF-1E000E62E937}" type="presOf" srcId="{44167A89-1356-4FAC-A5CD-5EC54FBE6F13}" destId="{7DF809F3-5182-434A-8CAC-70EB6F2310B8}" srcOrd="0" destOrd="0" presId="urn:microsoft.com/office/officeart/2005/8/layout/default"/>
    <dgm:cxn modelId="{BD60E192-DC18-4C4D-9FD2-E6A242863F81}" srcId="{44167A89-1356-4FAC-A5CD-5EC54FBE6F13}" destId="{0523B952-06EA-4AAD-9921-18D4718818A6}" srcOrd="0" destOrd="0" parTransId="{12D52BD1-0B90-4E1A-B803-606E2FFDBA90}" sibTransId="{704B211C-0305-475F-9A0B-160F22AFFD84}"/>
    <dgm:cxn modelId="{F71C4121-8A62-412A-A57B-0BEBCF36DD62}" type="presOf" srcId="{55013F19-C298-4C4D-A03F-B185C6B13797}" destId="{04DF72CF-C23F-4CC2-8EFB-34D8EDFA41E6}" srcOrd="0" destOrd="0" presId="urn:microsoft.com/office/officeart/2005/8/layout/default"/>
    <dgm:cxn modelId="{7D2363F4-69F7-4B21-AEBF-F89F3C085710}" type="presOf" srcId="{0523B952-06EA-4AAD-9921-18D4718818A6}" destId="{924BF28D-9680-4870-8872-F050F2DC7FEB}" srcOrd="0" destOrd="0" presId="urn:microsoft.com/office/officeart/2005/8/layout/default"/>
    <dgm:cxn modelId="{8B9BE4C0-D455-446D-AA49-3C0C33EECB56}" srcId="{44167A89-1356-4FAC-A5CD-5EC54FBE6F13}" destId="{55013F19-C298-4C4D-A03F-B185C6B13797}" srcOrd="2" destOrd="0" parTransId="{8251F4F7-267C-4E79-947D-6637E2074E43}" sibTransId="{56BD0793-100F-44F3-BDA0-1E34FC585C78}"/>
    <dgm:cxn modelId="{7C2C4A5D-F497-4EE2-8710-320013798A2D}" type="presOf" srcId="{24658556-86D6-49D9-B483-430D707698F8}" destId="{7EA4619D-91DE-4C6B-9202-AC37C5C8708E}" srcOrd="0" destOrd="0" presId="urn:microsoft.com/office/officeart/2005/8/layout/default"/>
    <dgm:cxn modelId="{79607959-31E7-4676-9DCC-11B5BBC204A2}" type="presParOf" srcId="{7DF809F3-5182-434A-8CAC-70EB6F2310B8}" destId="{924BF28D-9680-4870-8872-F050F2DC7FEB}" srcOrd="0" destOrd="0" presId="urn:microsoft.com/office/officeart/2005/8/layout/default"/>
    <dgm:cxn modelId="{EFA79495-AD11-440B-9278-A9E8B485921F}" type="presParOf" srcId="{7DF809F3-5182-434A-8CAC-70EB6F2310B8}" destId="{9B071123-642E-452F-A878-5551C461BB37}" srcOrd="1" destOrd="0" presId="urn:microsoft.com/office/officeart/2005/8/layout/default"/>
    <dgm:cxn modelId="{21885F57-2BEE-48FF-9052-FBC4DD6F8D58}" type="presParOf" srcId="{7DF809F3-5182-434A-8CAC-70EB6F2310B8}" destId="{7EA4619D-91DE-4C6B-9202-AC37C5C8708E}" srcOrd="2" destOrd="0" presId="urn:microsoft.com/office/officeart/2005/8/layout/default"/>
    <dgm:cxn modelId="{9A29BC4A-F74F-4640-A3DC-46BE907FD93F}" type="presParOf" srcId="{7DF809F3-5182-434A-8CAC-70EB6F2310B8}" destId="{179FF4FC-7B62-4280-9E68-CC70EFB893AF}" srcOrd="3" destOrd="0" presId="urn:microsoft.com/office/officeart/2005/8/layout/default"/>
    <dgm:cxn modelId="{303E7D5F-B740-46DA-A523-A226BACB3C8F}" type="presParOf" srcId="{7DF809F3-5182-434A-8CAC-70EB6F2310B8}" destId="{04DF72CF-C23F-4CC2-8EFB-34D8EDFA41E6}" srcOrd="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167A89-1356-4FAC-A5CD-5EC54FBE6F1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4658556-86D6-49D9-B483-430D707698F8}">
      <dgm:prSet phldrT="[Text]" custT="1"/>
      <dgm:spPr>
        <a:solidFill>
          <a:srgbClr val="EBD9E2"/>
        </a:solidFill>
        <a:ln w="9525">
          <a:solidFill>
            <a:srgbClr val="3E2C42"/>
          </a:solidFill>
        </a:ln>
      </dgm:spPr>
      <dgm:t>
        <a:bodyPr/>
        <a:lstStyle/>
        <a:p>
          <a:r>
            <a:rPr lang="en-US" sz="1100">
              <a:solidFill>
                <a:srgbClr val="3E2C42"/>
              </a:solidFill>
              <a:latin typeface="Garamond" panose="02020404030301010803" pitchFamily="18" charset="0"/>
            </a:rPr>
            <a:t>Marginalisation of Sunni communities</a:t>
          </a:r>
        </a:p>
      </dgm:t>
    </dgm:pt>
    <dgm:pt modelId="{887AF21D-6FBE-4246-899C-3D83345BBAEC}" type="parTrans" cxnId="{838B2378-2EDF-4E96-A17B-8B69215CE15D}">
      <dgm:prSet/>
      <dgm:spPr/>
      <dgm:t>
        <a:bodyPr/>
        <a:lstStyle/>
        <a:p>
          <a:endParaRPr lang="en-US" sz="1100">
            <a:latin typeface="Garamond" panose="02020404030301010803" pitchFamily="18" charset="0"/>
          </a:endParaRPr>
        </a:p>
      </dgm:t>
    </dgm:pt>
    <dgm:pt modelId="{455167EB-ACDF-434B-A5E7-0BC7B4484D34}" type="sibTrans" cxnId="{838B2378-2EDF-4E96-A17B-8B69215CE15D}">
      <dgm:prSet/>
      <dgm:spPr/>
      <dgm:t>
        <a:bodyPr/>
        <a:lstStyle/>
        <a:p>
          <a:endParaRPr lang="en-US" sz="1100">
            <a:latin typeface="Garamond" panose="02020404030301010803" pitchFamily="18" charset="0"/>
          </a:endParaRPr>
        </a:p>
      </dgm:t>
    </dgm:pt>
    <dgm:pt modelId="{0523B952-06EA-4AAD-9921-18D4718818A6}">
      <dgm:prSet phldrT="[Text]" custT="1"/>
      <dgm:spPr>
        <a:solidFill>
          <a:srgbClr val="EBD9E2"/>
        </a:solidFill>
        <a:ln w="9525">
          <a:solidFill>
            <a:srgbClr val="3E2C42"/>
          </a:solidFill>
        </a:ln>
      </dgm:spPr>
      <dgm:t>
        <a:bodyPr/>
        <a:lstStyle/>
        <a:p>
          <a:r>
            <a:rPr lang="en-GB" sz="1100">
              <a:solidFill>
                <a:srgbClr val="3E2C42"/>
              </a:solidFill>
              <a:latin typeface="Garamond" panose="02020404030301010803" pitchFamily="18" charset="0"/>
            </a:rPr>
            <a:t>Absence of a political settlement</a:t>
          </a:r>
          <a:endParaRPr lang="en-US" sz="1100">
            <a:solidFill>
              <a:srgbClr val="3E2C42"/>
            </a:solidFill>
            <a:latin typeface="Garamond" panose="02020404030301010803" pitchFamily="18" charset="0"/>
          </a:endParaRPr>
        </a:p>
      </dgm:t>
    </dgm:pt>
    <dgm:pt modelId="{12D52BD1-0B90-4E1A-B803-606E2FFDBA90}" type="parTrans" cxnId="{BD60E192-DC18-4C4D-9FD2-E6A242863F81}">
      <dgm:prSet/>
      <dgm:spPr/>
      <dgm:t>
        <a:bodyPr/>
        <a:lstStyle/>
        <a:p>
          <a:endParaRPr lang="en-US" sz="1100">
            <a:latin typeface="Garamond" panose="02020404030301010803" pitchFamily="18" charset="0"/>
          </a:endParaRPr>
        </a:p>
      </dgm:t>
    </dgm:pt>
    <dgm:pt modelId="{704B211C-0305-475F-9A0B-160F22AFFD84}" type="sibTrans" cxnId="{BD60E192-DC18-4C4D-9FD2-E6A242863F81}">
      <dgm:prSet/>
      <dgm:spPr/>
      <dgm:t>
        <a:bodyPr/>
        <a:lstStyle/>
        <a:p>
          <a:endParaRPr lang="en-US" sz="1100">
            <a:latin typeface="Garamond" panose="02020404030301010803" pitchFamily="18" charset="0"/>
          </a:endParaRPr>
        </a:p>
      </dgm:t>
    </dgm:pt>
    <dgm:pt modelId="{4F143425-18A7-4F5E-BCF6-D8FA3E89D627}">
      <dgm:prSet phldrT="[Text]" custT="1"/>
      <dgm:spPr>
        <a:solidFill>
          <a:srgbClr val="EBD9E2"/>
        </a:solidFill>
        <a:ln w="9525">
          <a:solidFill>
            <a:srgbClr val="3E2C42"/>
          </a:solidFill>
        </a:ln>
      </dgm:spPr>
      <dgm:t>
        <a:bodyPr/>
        <a:lstStyle/>
        <a:p>
          <a:r>
            <a:rPr lang="en-US" sz="1100">
              <a:solidFill>
                <a:srgbClr val="3E2C42"/>
              </a:solidFill>
              <a:latin typeface="Garamond" panose="02020404030301010803" pitchFamily="18" charset="0"/>
            </a:rPr>
            <a:t>Weak government institutions</a:t>
          </a:r>
        </a:p>
      </dgm:t>
    </dgm:pt>
    <dgm:pt modelId="{C6386B14-11B7-4C77-8D20-68EDD5588CDC}" type="parTrans" cxnId="{16C65E9D-2C30-444B-8C38-4247D68B79C3}">
      <dgm:prSet/>
      <dgm:spPr/>
      <dgm:t>
        <a:bodyPr/>
        <a:lstStyle/>
        <a:p>
          <a:endParaRPr lang="en-US" sz="1100">
            <a:latin typeface="Garamond" panose="02020404030301010803" pitchFamily="18" charset="0"/>
          </a:endParaRPr>
        </a:p>
      </dgm:t>
    </dgm:pt>
    <dgm:pt modelId="{5E15BC45-FC70-4691-AE3A-F0E1A0AACF36}" type="sibTrans" cxnId="{16C65E9D-2C30-444B-8C38-4247D68B79C3}">
      <dgm:prSet/>
      <dgm:spPr/>
      <dgm:t>
        <a:bodyPr/>
        <a:lstStyle/>
        <a:p>
          <a:endParaRPr lang="en-US" sz="1100">
            <a:latin typeface="Garamond" panose="02020404030301010803" pitchFamily="18" charset="0"/>
          </a:endParaRPr>
        </a:p>
      </dgm:t>
    </dgm:pt>
    <dgm:pt modelId="{45679B79-C226-4E03-A706-FE20127F00E9}">
      <dgm:prSet phldrT="[Text]" custT="1"/>
      <dgm:spPr>
        <a:solidFill>
          <a:srgbClr val="EBD9E2"/>
        </a:solidFill>
        <a:ln w="9525">
          <a:solidFill>
            <a:srgbClr val="3E2C42"/>
          </a:solidFill>
        </a:ln>
      </dgm:spPr>
      <dgm:t>
        <a:bodyPr/>
        <a:lstStyle/>
        <a:p>
          <a:r>
            <a:rPr lang="en-US" sz="1100">
              <a:solidFill>
                <a:srgbClr val="3E2C42"/>
              </a:solidFill>
              <a:latin typeface="Garamond" panose="02020404030301010803" pitchFamily="18" charset="0"/>
            </a:rPr>
            <a:t>Competition for Mosul</a:t>
          </a:r>
        </a:p>
      </dgm:t>
    </dgm:pt>
    <dgm:pt modelId="{75F6C740-EE79-4284-9D02-79928D6309D0}" type="parTrans" cxnId="{CBE9A409-2A2F-459F-BA9F-1973C89EBD70}">
      <dgm:prSet/>
      <dgm:spPr/>
      <dgm:t>
        <a:bodyPr/>
        <a:lstStyle/>
        <a:p>
          <a:endParaRPr lang="en-US" sz="1100">
            <a:latin typeface="Garamond" panose="02020404030301010803" pitchFamily="18" charset="0"/>
          </a:endParaRPr>
        </a:p>
      </dgm:t>
    </dgm:pt>
    <dgm:pt modelId="{DBCCE0AC-A973-44DC-9B13-48A4138FBE0B}" type="sibTrans" cxnId="{CBE9A409-2A2F-459F-BA9F-1973C89EBD70}">
      <dgm:prSet/>
      <dgm:spPr/>
      <dgm:t>
        <a:bodyPr/>
        <a:lstStyle/>
        <a:p>
          <a:endParaRPr lang="en-US" sz="1100">
            <a:latin typeface="Garamond" panose="02020404030301010803" pitchFamily="18" charset="0"/>
          </a:endParaRPr>
        </a:p>
      </dgm:t>
    </dgm:pt>
    <dgm:pt modelId="{7DF809F3-5182-434A-8CAC-70EB6F2310B8}" type="pres">
      <dgm:prSet presAssocID="{44167A89-1356-4FAC-A5CD-5EC54FBE6F13}" presName="diagram" presStyleCnt="0">
        <dgm:presLayoutVars>
          <dgm:dir/>
          <dgm:resizeHandles val="exact"/>
        </dgm:presLayoutVars>
      </dgm:prSet>
      <dgm:spPr/>
      <dgm:t>
        <a:bodyPr/>
        <a:lstStyle/>
        <a:p>
          <a:endParaRPr lang="en-GB"/>
        </a:p>
      </dgm:t>
    </dgm:pt>
    <dgm:pt modelId="{924BF28D-9680-4870-8872-F050F2DC7FEB}" type="pres">
      <dgm:prSet presAssocID="{0523B952-06EA-4AAD-9921-18D4718818A6}" presName="node" presStyleLbl="node1" presStyleIdx="0" presStyleCnt="4" custScaleX="206341">
        <dgm:presLayoutVars>
          <dgm:bulletEnabled val="1"/>
        </dgm:presLayoutVars>
      </dgm:prSet>
      <dgm:spPr/>
      <dgm:t>
        <a:bodyPr/>
        <a:lstStyle/>
        <a:p>
          <a:endParaRPr lang="en-GB"/>
        </a:p>
      </dgm:t>
    </dgm:pt>
    <dgm:pt modelId="{9B071123-642E-452F-A878-5551C461BB37}" type="pres">
      <dgm:prSet presAssocID="{704B211C-0305-475F-9A0B-160F22AFFD84}" presName="sibTrans" presStyleCnt="0"/>
      <dgm:spPr/>
    </dgm:pt>
    <dgm:pt modelId="{7EA4619D-91DE-4C6B-9202-AC37C5C8708E}" type="pres">
      <dgm:prSet presAssocID="{24658556-86D6-49D9-B483-430D707698F8}" presName="node" presStyleLbl="node1" presStyleIdx="1" presStyleCnt="4" custScaleX="206341">
        <dgm:presLayoutVars>
          <dgm:bulletEnabled val="1"/>
        </dgm:presLayoutVars>
      </dgm:prSet>
      <dgm:spPr/>
      <dgm:t>
        <a:bodyPr/>
        <a:lstStyle/>
        <a:p>
          <a:endParaRPr lang="en-GB"/>
        </a:p>
      </dgm:t>
    </dgm:pt>
    <dgm:pt modelId="{0227F065-221E-4B48-9204-4AECF5283E27}" type="pres">
      <dgm:prSet presAssocID="{455167EB-ACDF-434B-A5E7-0BC7B4484D34}" presName="sibTrans" presStyleCnt="0"/>
      <dgm:spPr/>
    </dgm:pt>
    <dgm:pt modelId="{02B9483B-C209-46BD-AAC1-F600C2123C34}" type="pres">
      <dgm:prSet presAssocID="{4F143425-18A7-4F5E-BCF6-D8FA3E89D627}" presName="node" presStyleLbl="node1" presStyleIdx="2" presStyleCnt="4" custScaleX="206341">
        <dgm:presLayoutVars>
          <dgm:bulletEnabled val="1"/>
        </dgm:presLayoutVars>
      </dgm:prSet>
      <dgm:spPr/>
      <dgm:t>
        <a:bodyPr/>
        <a:lstStyle/>
        <a:p>
          <a:endParaRPr lang="en-GB"/>
        </a:p>
      </dgm:t>
    </dgm:pt>
    <dgm:pt modelId="{0F39A17E-A900-4A16-9E09-B2081293A21A}" type="pres">
      <dgm:prSet presAssocID="{5E15BC45-FC70-4691-AE3A-F0E1A0AACF36}" presName="sibTrans" presStyleCnt="0"/>
      <dgm:spPr/>
    </dgm:pt>
    <dgm:pt modelId="{FADAE008-6E7C-420C-BDDE-47030C54890B}" type="pres">
      <dgm:prSet presAssocID="{45679B79-C226-4E03-A706-FE20127F00E9}" presName="node" presStyleLbl="node1" presStyleIdx="3" presStyleCnt="4" custScaleX="206341">
        <dgm:presLayoutVars>
          <dgm:bulletEnabled val="1"/>
        </dgm:presLayoutVars>
      </dgm:prSet>
      <dgm:spPr/>
      <dgm:t>
        <a:bodyPr/>
        <a:lstStyle/>
        <a:p>
          <a:endParaRPr lang="en-GB"/>
        </a:p>
      </dgm:t>
    </dgm:pt>
  </dgm:ptLst>
  <dgm:cxnLst>
    <dgm:cxn modelId="{16C65E9D-2C30-444B-8C38-4247D68B79C3}" srcId="{44167A89-1356-4FAC-A5CD-5EC54FBE6F13}" destId="{4F143425-18A7-4F5E-BCF6-D8FA3E89D627}" srcOrd="2" destOrd="0" parTransId="{C6386B14-11B7-4C77-8D20-68EDD5588CDC}" sibTransId="{5E15BC45-FC70-4691-AE3A-F0E1A0AACF36}"/>
    <dgm:cxn modelId="{838B2378-2EDF-4E96-A17B-8B69215CE15D}" srcId="{44167A89-1356-4FAC-A5CD-5EC54FBE6F13}" destId="{24658556-86D6-49D9-B483-430D707698F8}" srcOrd="1" destOrd="0" parTransId="{887AF21D-6FBE-4246-899C-3D83345BBAEC}" sibTransId="{455167EB-ACDF-434B-A5E7-0BC7B4484D34}"/>
    <dgm:cxn modelId="{BD60E192-DC18-4C4D-9FD2-E6A242863F81}" srcId="{44167A89-1356-4FAC-A5CD-5EC54FBE6F13}" destId="{0523B952-06EA-4AAD-9921-18D4718818A6}" srcOrd="0" destOrd="0" parTransId="{12D52BD1-0B90-4E1A-B803-606E2FFDBA90}" sibTransId="{704B211C-0305-475F-9A0B-160F22AFFD84}"/>
    <dgm:cxn modelId="{CC617083-B2DA-4D92-B9AE-003D227DBCD8}" type="presOf" srcId="{44167A89-1356-4FAC-A5CD-5EC54FBE6F13}" destId="{7DF809F3-5182-434A-8CAC-70EB6F2310B8}" srcOrd="0" destOrd="0" presId="urn:microsoft.com/office/officeart/2005/8/layout/default"/>
    <dgm:cxn modelId="{934812D5-86DF-4E26-8D47-C4011FEAD379}" type="presOf" srcId="{24658556-86D6-49D9-B483-430D707698F8}" destId="{7EA4619D-91DE-4C6B-9202-AC37C5C8708E}" srcOrd="0" destOrd="0" presId="urn:microsoft.com/office/officeart/2005/8/layout/default"/>
    <dgm:cxn modelId="{7BDFC172-18F0-4923-A535-3B5C544AFD87}" type="presOf" srcId="{45679B79-C226-4E03-A706-FE20127F00E9}" destId="{FADAE008-6E7C-420C-BDDE-47030C54890B}" srcOrd="0" destOrd="0" presId="urn:microsoft.com/office/officeart/2005/8/layout/default"/>
    <dgm:cxn modelId="{FFC3ECBC-D06D-4868-8A8C-1B199ED65B5A}" type="presOf" srcId="{0523B952-06EA-4AAD-9921-18D4718818A6}" destId="{924BF28D-9680-4870-8872-F050F2DC7FEB}" srcOrd="0" destOrd="0" presId="urn:microsoft.com/office/officeart/2005/8/layout/default"/>
    <dgm:cxn modelId="{CBE9A409-2A2F-459F-BA9F-1973C89EBD70}" srcId="{44167A89-1356-4FAC-A5CD-5EC54FBE6F13}" destId="{45679B79-C226-4E03-A706-FE20127F00E9}" srcOrd="3" destOrd="0" parTransId="{75F6C740-EE79-4284-9D02-79928D6309D0}" sibTransId="{DBCCE0AC-A973-44DC-9B13-48A4138FBE0B}"/>
    <dgm:cxn modelId="{0819CCCB-2A63-40D1-A20B-D6A3055CABF7}" type="presOf" srcId="{4F143425-18A7-4F5E-BCF6-D8FA3E89D627}" destId="{02B9483B-C209-46BD-AAC1-F600C2123C34}" srcOrd="0" destOrd="0" presId="urn:microsoft.com/office/officeart/2005/8/layout/default"/>
    <dgm:cxn modelId="{6A141748-A352-45B3-B792-F5E9847EBFF2}" type="presParOf" srcId="{7DF809F3-5182-434A-8CAC-70EB6F2310B8}" destId="{924BF28D-9680-4870-8872-F050F2DC7FEB}" srcOrd="0" destOrd="0" presId="urn:microsoft.com/office/officeart/2005/8/layout/default"/>
    <dgm:cxn modelId="{7FAACB41-5D91-4445-BB4F-6898E20A5F2B}" type="presParOf" srcId="{7DF809F3-5182-434A-8CAC-70EB6F2310B8}" destId="{9B071123-642E-452F-A878-5551C461BB37}" srcOrd="1" destOrd="0" presId="urn:microsoft.com/office/officeart/2005/8/layout/default"/>
    <dgm:cxn modelId="{8A0E549F-918A-4D27-AAF0-8A9CE29F0BF2}" type="presParOf" srcId="{7DF809F3-5182-434A-8CAC-70EB6F2310B8}" destId="{7EA4619D-91DE-4C6B-9202-AC37C5C8708E}" srcOrd="2" destOrd="0" presId="urn:microsoft.com/office/officeart/2005/8/layout/default"/>
    <dgm:cxn modelId="{EB9AEED3-B90C-4E07-A616-F3A1D795DFB7}" type="presParOf" srcId="{7DF809F3-5182-434A-8CAC-70EB6F2310B8}" destId="{0227F065-221E-4B48-9204-4AECF5283E27}" srcOrd="3" destOrd="0" presId="urn:microsoft.com/office/officeart/2005/8/layout/default"/>
    <dgm:cxn modelId="{FF99F626-FEA5-4281-B2DC-DAABA4CD269B}" type="presParOf" srcId="{7DF809F3-5182-434A-8CAC-70EB6F2310B8}" destId="{02B9483B-C209-46BD-AAC1-F600C2123C34}" srcOrd="4" destOrd="0" presId="urn:microsoft.com/office/officeart/2005/8/layout/default"/>
    <dgm:cxn modelId="{8B33363A-2A18-479F-B8E6-6FE02034F1D9}" type="presParOf" srcId="{7DF809F3-5182-434A-8CAC-70EB6F2310B8}" destId="{0F39A17E-A900-4A16-9E09-B2081293A21A}" srcOrd="5" destOrd="0" presId="urn:microsoft.com/office/officeart/2005/8/layout/default"/>
    <dgm:cxn modelId="{1921F0DD-2DCE-4747-902D-798AC213F48E}" type="presParOf" srcId="{7DF809F3-5182-434A-8CAC-70EB6F2310B8}" destId="{FADAE008-6E7C-420C-BDDE-47030C54890B}" srcOrd="6"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FFE718-D1E6-4BD3-81C2-9E2B1201100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13E7E57B-7E0F-4AEF-AB45-961DC3A8B9D6}">
      <dgm:prSet phldrT="[Text]" custT="1"/>
      <dgm:spPr>
        <a:solidFill>
          <a:srgbClr val="3E2C42"/>
        </a:solidFill>
        <a:ln w="6350">
          <a:solidFill>
            <a:srgbClr val="3E2C42"/>
          </a:solidFill>
        </a:ln>
      </dgm:spPr>
      <dgm:t>
        <a:bodyPr/>
        <a:lstStyle/>
        <a:p>
          <a:pPr algn="ctr" rtl="0"/>
          <a:r>
            <a:rPr lang="en-US" sz="1200">
              <a:latin typeface="Garamond" panose="02020404030301010803" pitchFamily="18" charset="0"/>
            </a:rPr>
            <a:t>Scenario 1: Static</a:t>
          </a:r>
          <a:endParaRPr lang="en-GB" sz="1200">
            <a:latin typeface="Garamond" panose="02020404030301010803" pitchFamily="18" charset="0"/>
          </a:endParaRPr>
        </a:p>
        <a:p>
          <a:pPr algn="ctr" rtl="0"/>
          <a:r>
            <a:rPr lang="en-GB" sz="1200" i="1">
              <a:latin typeface="Garamond" panose="02020404030301010803" pitchFamily="18" charset="0"/>
            </a:rPr>
            <a:t>Parties continue dialogue processes and CoH is partially implemented enabling the regime to consolidate and incrementally enhance its sphere of influence. </a:t>
          </a:r>
          <a:endParaRPr lang="en-US" sz="1200" i="1">
            <a:latin typeface="Garamond" panose="02020404030301010803" pitchFamily="18" charset="0"/>
          </a:endParaRPr>
        </a:p>
      </dgm:t>
    </dgm:pt>
    <dgm:pt modelId="{042CFCF1-3C5A-4265-972F-F19112A9F0CE}" type="parTrans" cxnId="{129BC32E-6FD1-43B2-95A3-26798D81D4AE}">
      <dgm:prSet/>
      <dgm:spPr/>
      <dgm:t>
        <a:bodyPr/>
        <a:lstStyle/>
        <a:p>
          <a:endParaRPr lang="en-US" sz="1200">
            <a:latin typeface="Garamond" panose="02020404030301010803" pitchFamily="18" charset="0"/>
          </a:endParaRPr>
        </a:p>
      </dgm:t>
    </dgm:pt>
    <dgm:pt modelId="{C67B6C56-26B1-4E73-9DD8-2C9BB7D60E2D}" type="sibTrans" cxnId="{129BC32E-6FD1-43B2-95A3-26798D81D4AE}">
      <dgm:prSet/>
      <dgm:spPr>
        <a:solidFill>
          <a:srgbClr val="3E2C42"/>
        </a:solidFill>
      </dgm:spPr>
      <dgm:t>
        <a:bodyPr/>
        <a:lstStyle/>
        <a:p>
          <a:endParaRPr lang="en-US" sz="1200">
            <a:latin typeface="Garamond" panose="02020404030301010803" pitchFamily="18" charset="0"/>
          </a:endParaRPr>
        </a:p>
      </dgm:t>
    </dgm:pt>
    <dgm:pt modelId="{8787873E-66D2-46D6-999D-D0E7BD116F35}">
      <dgm:prSet phldrT="[Text]" custT="1"/>
      <dgm:spPr>
        <a:solidFill>
          <a:srgbClr val="EBD9E2"/>
        </a:solidFill>
        <a:ln w="6350">
          <a:solidFill>
            <a:srgbClr val="3E2C42"/>
          </a:solidFill>
        </a:ln>
      </dgm:spPr>
      <dgm:t>
        <a:bodyPr/>
        <a:lstStyle/>
        <a:p>
          <a:pPr rtl="0"/>
          <a:r>
            <a:rPr lang="en-US" sz="1200">
              <a:solidFill>
                <a:srgbClr val="3E2C42"/>
              </a:solidFill>
              <a:latin typeface="Garamond" panose="02020404030301010803" pitchFamily="18" charset="0"/>
            </a:rPr>
            <a:t>Scenario 2: Regressive </a:t>
          </a:r>
        </a:p>
        <a:p>
          <a:pPr rtl="0"/>
          <a:r>
            <a:rPr lang="en-GB" sz="1200" i="1">
              <a:solidFill>
                <a:srgbClr val="3E2C42"/>
              </a:solidFill>
              <a:latin typeface="Garamond" panose="02020404030301010803" pitchFamily="18" charset="0"/>
            </a:rPr>
            <a:t>Parties show no appetite to de-escalate &amp; CoH agreement breaks down leading to the eventual collapse of the moderate opposition as a credible military force.</a:t>
          </a:r>
          <a:endParaRPr lang="en-US" sz="1200">
            <a:solidFill>
              <a:srgbClr val="3E2C42"/>
            </a:solidFill>
            <a:latin typeface="Garamond" panose="02020404030301010803" pitchFamily="18" charset="0"/>
          </a:endParaRPr>
        </a:p>
      </dgm:t>
    </dgm:pt>
    <dgm:pt modelId="{8A49BE8D-D8C7-48D9-A14C-E8664CAFCE55}" type="parTrans" cxnId="{21CF6063-F76D-4D8E-9070-200CA1CC821D}">
      <dgm:prSet/>
      <dgm:spPr/>
      <dgm:t>
        <a:bodyPr/>
        <a:lstStyle/>
        <a:p>
          <a:endParaRPr lang="en-US" sz="1200">
            <a:latin typeface="Garamond" panose="02020404030301010803" pitchFamily="18" charset="0"/>
          </a:endParaRPr>
        </a:p>
      </dgm:t>
    </dgm:pt>
    <dgm:pt modelId="{B2AA5D2D-F577-4439-AD79-F3A8E4DC8A4A}" type="sibTrans" cxnId="{21CF6063-F76D-4D8E-9070-200CA1CC821D}">
      <dgm:prSet/>
      <dgm:spPr>
        <a:solidFill>
          <a:srgbClr val="3E2C42"/>
        </a:solidFill>
      </dgm:spPr>
      <dgm:t>
        <a:bodyPr/>
        <a:lstStyle/>
        <a:p>
          <a:endParaRPr lang="en-US" sz="1200">
            <a:latin typeface="Garamond" panose="02020404030301010803" pitchFamily="18" charset="0"/>
          </a:endParaRPr>
        </a:p>
      </dgm:t>
    </dgm:pt>
    <dgm:pt modelId="{75F22309-A649-45F9-B0AC-84BD22CE7511}">
      <dgm:prSet phldrT="[Text]" custT="1"/>
      <dgm:spPr>
        <a:solidFill>
          <a:srgbClr val="F2F2F2"/>
        </a:solidFill>
        <a:ln w="6350">
          <a:solidFill>
            <a:srgbClr val="3E2C42"/>
          </a:solidFill>
        </a:ln>
      </dgm:spPr>
      <dgm:t>
        <a:bodyPr/>
        <a:lstStyle/>
        <a:p>
          <a:pPr rtl="0"/>
          <a:r>
            <a:rPr lang="en-US" sz="1200">
              <a:solidFill>
                <a:srgbClr val="3E2C42"/>
              </a:solidFill>
              <a:latin typeface="Garamond" panose="02020404030301010803" pitchFamily="18" charset="0"/>
            </a:rPr>
            <a:t>Scenario 3: Progressive</a:t>
          </a:r>
        </a:p>
        <a:p>
          <a:pPr rtl="0"/>
          <a:r>
            <a:rPr lang="en-GB" sz="1200" i="1">
              <a:solidFill>
                <a:srgbClr val="3E2C42"/>
              </a:solidFill>
              <a:latin typeface="Garamond" panose="02020404030301010803" pitchFamily="18" charset="0"/>
            </a:rPr>
            <a:t>CoH implemented fully and political concessions provided by regime; Russia is unwilling to sustain the intensity of airstrikes and Turkey and the GCC are willing to de-escalate.</a:t>
          </a:r>
          <a:endParaRPr lang="en-US" sz="1200">
            <a:solidFill>
              <a:srgbClr val="3E2C42"/>
            </a:solidFill>
            <a:latin typeface="Garamond" panose="02020404030301010803" pitchFamily="18" charset="0"/>
          </a:endParaRPr>
        </a:p>
      </dgm:t>
    </dgm:pt>
    <dgm:pt modelId="{FA85EC5A-B02A-4A0F-9D78-25C368D28FEB}" type="parTrans" cxnId="{470FA93F-284D-43E4-9F02-7FD6B6B46235}">
      <dgm:prSet/>
      <dgm:spPr/>
      <dgm:t>
        <a:bodyPr/>
        <a:lstStyle/>
        <a:p>
          <a:endParaRPr lang="en-US" sz="1200">
            <a:latin typeface="Garamond" panose="02020404030301010803" pitchFamily="18" charset="0"/>
          </a:endParaRPr>
        </a:p>
      </dgm:t>
    </dgm:pt>
    <dgm:pt modelId="{A45847FC-E2BF-4F49-A6F1-377EA758D760}" type="sibTrans" cxnId="{470FA93F-284D-43E4-9F02-7FD6B6B46235}">
      <dgm:prSet/>
      <dgm:spPr/>
      <dgm:t>
        <a:bodyPr/>
        <a:lstStyle/>
        <a:p>
          <a:endParaRPr lang="en-US" sz="1200">
            <a:latin typeface="Garamond" panose="02020404030301010803" pitchFamily="18" charset="0"/>
          </a:endParaRPr>
        </a:p>
      </dgm:t>
    </dgm:pt>
    <dgm:pt modelId="{96C01921-ACE8-4FAF-87F6-ACD29C97CD8E}" type="pres">
      <dgm:prSet presAssocID="{E9FFE718-D1E6-4BD3-81C2-9E2B1201100B}" presName="Name0" presStyleCnt="0">
        <dgm:presLayoutVars>
          <dgm:dir/>
          <dgm:resizeHandles val="exact"/>
        </dgm:presLayoutVars>
      </dgm:prSet>
      <dgm:spPr/>
      <dgm:t>
        <a:bodyPr/>
        <a:lstStyle/>
        <a:p>
          <a:endParaRPr lang="en-GB"/>
        </a:p>
      </dgm:t>
    </dgm:pt>
    <dgm:pt modelId="{03F5818E-A208-4555-99C2-9AC06F9E615F}" type="pres">
      <dgm:prSet presAssocID="{13E7E57B-7E0F-4AEF-AB45-961DC3A8B9D6}" presName="node" presStyleLbl="node1" presStyleIdx="0" presStyleCnt="3" custScaleX="173797">
        <dgm:presLayoutVars>
          <dgm:bulletEnabled val="1"/>
        </dgm:presLayoutVars>
      </dgm:prSet>
      <dgm:spPr>
        <a:prstGeom prst="rect">
          <a:avLst/>
        </a:prstGeom>
      </dgm:spPr>
      <dgm:t>
        <a:bodyPr/>
        <a:lstStyle/>
        <a:p>
          <a:endParaRPr lang="en-GB"/>
        </a:p>
      </dgm:t>
    </dgm:pt>
    <dgm:pt modelId="{0924A3B4-884D-450B-BBC4-DA8333DF1FD7}" type="pres">
      <dgm:prSet presAssocID="{C67B6C56-26B1-4E73-9DD8-2C9BB7D60E2D}" presName="sibTrans" presStyleLbl="sibTrans2D1" presStyleIdx="0" presStyleCnt="2"/>
      <dgm:spPr/>
      <dgm:t>
        <a:bodyPr/>
        <a:lstStyle/>
        <a:p>
          <a:endParaRPr lang="en-GB"/>
        </a:p>
      </dgm:t>
    </dgm:pt>
    <dgm:pt modelId="{5861473B-F7AA-44B1-AA04-6E0AA52E6F64}" type="pres">
      <dgm:prSet presAssocID="{C67B6C56-26B1-4E73-9DD8-2C9BB7D60E2D}" presName="connectorText" presStyleLbl="sibTrans2D1" presStyleIdx="0" presStyleCnt="2"/>
      <dgm:spPr/>
      <dgm:t>
        <a:bodyPr/>
        <a:lstStyle/>
        <a:p>
          <a:endParaRPr lang="en-GB"/>
        </a:p>
      </dgm:t>
    </dgm:pt>
    <dgm:pt modelId="{F32BBAAD-6FD0-467D-948C-8DADD5DF2B75}" type="pres">
      <dgm:prSet presAssocID="{8787873E-66D2-46D6-999D-D0E7BD116F35}" presName="node" presStyleLbl="node1" presStyleIdx="1" presStyleCnt="3" custScaleX="173797">
        <dgm:presLayoutVars>
          <dgm:bulletEnabled val="1"/>
        </dgm:presLayoutVars>
      </dgm:prSet>
      <dgm:spPr>
        <a:prstGeom prst="rect">
          <a:avLst/>
        </a:prstGeom>
      </dgm:spPr>
      <dgm:t>
        <a:bodyPr/>
        <a:lstStyle/>
        <a:p>
          <a:endParaRPr lang="en-GB"/>
        </a:p>
      </dgm:t>
    </dgm:pt>
    <dgm:pt modelId="{BBB07979-F20C-47D6-90A0-7D580C1168CD}" type="pres">
      <dgm:prSet presAssocID="{B2AA5D2D-F577-4439-AD79-F3A8E4DC8A4A}" presName="sibTrans" presStyleLbl="sibTrans2D1" presStyleIdx="1" presStyleCnt="2"/>
      <dgm:spPr/>
      <dgm:t>
        <a:bodyPr/>
        <a:lstStyle/>
        <a:p>
          <a:endParaRPr lang="en-GB"/>
        </a:p>
      </dgm:t>
    </dgm:pt>
    <dgm:pt modelId="{A210F1F5-A160-4A2D-BEA7-BADA9C6F82C3}" type="pres">
      <dgm:prSet presAssocID="{B2AA5D2D-F577-4439-AD79-F3A8E4DC8A4A}" presName="connectorText" presStyleLbl="sibTrans2D1" presStyleIdx="1" presStyleCnt="2"/>
      <dgm:spPr/>
      <dgm:t>
        <a:bodyPr/>
        <a:lstStyle/>
        <a:p>
          <a:endParaRPr lang="en-GB"/>
        </a:p>
      </dgm:t>
    </dgm:pt>
    <dgm:pt modelId="{106D86A0-3114-48AC-AE27-4EA3DE1AFF8F}" type="pres">
      <dgm:prSet presAssocID="{75F22309-A649-45F9-B0AC-84BD22CE7511}" presName="node" presStyleLbl="node1" presStyleIdx="2" presStyleCnt="3" custScaleX="173797">
        <dgm:presLayoutVars>
          <dgm:bulletEnabled val="1"/>
        </dgm:presLayoutVars>
      </dgm:prSet>
      <dgm:spPr>
        <a:prstGeom prst="rect">
          <a:avLst/>
        </a:prstGeom>
      </dgm:spPr>
      <dgm:t>
        <a:bodyPr/>
        <a:lstStyle/>
        <a:p>
          <a:endParaRPr lang="en-GB"/>
        </a:p>
      </dgm:t>
    </dgm:pt>
  </dgm:ptLst>
  <dgm:cxnLst>
    <dgm:cxn modelId="{73DB4B97-B4FE-49C6-9B74-A79CD668C37E}" type="presOf" srcId="{C67B6C56-26B1-4E73-9DD8-2C9BB7D60E2D}" destId="{0924A3B4-884D-450B-BBC4-DA8333DF1FD7}" srcOrd="0" destOrd="0" presId="urn:microsoft.com/office/officeart/2005/8/layout/process1"/>
    <dgm:cxn modelId="{129BC32E-6FD1-43B2-95A3-26798D81D4AE}" srcId="{E9FFE718-D1E6-4BD3-81C2-9E2B1201100B}" destId="{13E7E57B-7E0F-4AEF-AB45-961DC3A8B9D6}" srcOrd="0" destOrd="0" parTransId="{042CFCF1-3C5A-4265-972F-F19112A9F0CE}" sibTransId="{C67B6C56-26B1-4E73-9DD8-2C9BB7D60E2D}"/>
    <dgm:cxn modelId="{2479DDA3-5E55-4232-B6AE-4CCE4896CBA3}" type="presOf" srcId="{75F22309-A649-45F9-B0AC-84BD22CE7511}" destId="{106D86A0-3114-48AC-AE27-4EA3DE1AFF8F}" srcOrd="0" destOrd="0" presId="urn:microsoft.com/office/officeart/2005/8/layout/process1"/>
    <dgm:cxn modelId="{408B0EF7-6826-454D-BBD2-0B127CBE3D16}" type="presOf" srcId="{B2AA5D2D-F577-4439-AD79-F3A8E4DC8A4A}" destId="{BBB07979-F20C-47D6-90A0-7D580C1168CD}" srcOrd="0" destOrd="0" presId="urn:microsoft.com/office/officeart/2005/8/layout/process1"/>
    <dgm:cxn modelId="{6205399D-A82A-41A3-8766-C2E68F393FDB}" type="presOf" srcId="{E9FFE718-D1E6-4BD3-81C2-9E2B1201100B}" destId="{96C01921-ACE8-4FAF-87F6-ACD29C97CD8E}" srcOrd="0" destOrd="0" presId="urn:microsoft.com/office/officeart/2005/8/layout/process1"/>
    <dgm:cxn modelId="{C412CBF1-2EEE-4DB1-BFDB-28BD00B7869B}" type="presOf" srcId="{C67B6C56-26B1-4E73-9DD8-2C9BB7D60E2D}" destId="{5861473B-F7AA-44B1-AA04-6E0AA52E6F64}" srcOrd="1" destOrd="0" presId="urn:microsoft.com/office/officeart/2005/8/layout/process1"/>
    <dgm:cxn modelId="{C1202BF4-9AE3-4565-A8ED-4F7E5AEA755D}" type="presOf" srcId="{8787873E-66D2-46D6-999D-D0E7BD116F35}" destId="{F32BBAAD-6FD0-467D-948C-8DADD5DF2B75}" srcOrd="0" destOrd="0" presId="urn:microsoft.com/office/officeart/2005/8/layout/process1"/>
    <dgm:cxn modelId="{470FA93F-284D-43E4-9F02-7FD6B6B46235}" srcId="{E9FFE718-D1E6-4BD3-81C2-9E2B1201100B}" destId="{75F22309-A649-45F9-B0AC-84BD22CE7511}" srcOrd="2" destOrd="0" parTransId="{FA85EC5A-B02A-4A0F-9D78-25C368D28FEB}" sibTransId="{A45847FC-E2BF-4F49-A6F1-377EA758D760}"/>
    <dgm:cxn modelId="{69950374-DAF8-49C6-8ED6-0059421D409C}" type="presOf" srcId="{B2AA5D2D-F577-4439-AD79-F3A8E4DC8A4A}" destId="{A210F1F5-A160-4A2D-BEA7-BADA9C6F82C3}" srcOrd="1" destOrd="0" presId="urn:microsoft.com/office/officeart/2005/8/layout/process1"/>
    <dgm:cxn modelId="{21CF6063-F76D-4D8E-9070-200CA1CC821D}" srcId="{E9FFE718-D1E6-4BD3-81C2-9E2B1201100B}" destId="{8787873E-66D2-46D6-999D-D0E7BD116F35}" srcOrd="1" destOrd="0" parTransId="{8A49BE8D-D8C7-48D9-A14C-E8664CAFCE55}" sibTransId="{B2AA5D2D-F577-4439-AD79-F3A8E4DC8A4A}"/>
    <dgm:cxn modelId="{FEEEB949-A793-43EC-BD7E-3DE24B5BC134}" type="presOf" srcId="{13E7E57B-7E0F-4AEF-AB45-961DC3A8B9D6}" destId="{03F5818E-A208-4555-99C2-9AC06F9E615F}" srcOrd="0" destOrd="0" presId="urn:microsoft.com/office/officeart/2005/8/layout/process1"/>
    <dgm:cxn modelId="{12DBD808-EC51-462B-BE92-F81522D72964}" type="presParOf" srcId="{96C01921-ACE8-4FAF-87F6-ACD29C97CD8E}" destId="{03F5818E-A208-4555-99C2-9AC06F9E615F}" srcOrd="0" destOrd="0" presId="urn:microsoft.com/office/officeart/2005/8/layout/process1"/>
    <dgm:cxn modelId="{185D78E5-82B1-454C-874F-4D91529D9FDF}" type="presParOf" srcId="{96C01921-ACE8-4FAF-87F6-ACD29C97CD8E}" destId="{0924A3B4-884D-450B-BBC4-DA8333DF1FD7}" srcOrd="1" destOrd="0" presId="urn:microsoft.com/office/officeart/2005/8/layout/process1"/>
    <dgm:cxn modelId="{8E17B717-8C86-4D50-A575-90AA0B034F3A}" type="presParOf" srcId="{0924A3B4-884D-450B-BBC4-DA8333DF1FD7}" destId="{5861473B-F7AA-44B1-AA04-6E0AA52E6F64}" srcOrd="0" destOrd="0" presId="urn:microsoft.com/office/officeart/2005/8/layout/process1"/>
    <dgm:cxn modelId="{9F2B27B5-B781-4364-83A6-A2B6715AB2C4}" type="presParOf" srcId="{96C01921-ACE8-4FAF-87F6-ACD29C97CD8E}" destId="{F32BBAAD-6FD0-467D-948C-8DADD5DF2B75}" srcOrd="2" destOrd="0" presId="urn:microsoft.com/office/officeart/2005/8/layout/process1"/>
    <dgm:cxn modelId="{2651A352-DA98-4176-9E93-EF633FFDE4F7}" type="presParOf" srcId="{96C01921-ACE8-4FAF-87F6-ACD29C97CD8E}" destId="{BBB07979-F20C-47D6-90A0-7D580C1168CD}" srcOrd="3" destOrd="0" presId="urn:microsoft.com/office/officeart/2005/8/layout/process1"/>
    <dgm:cxn modelId="{79F1CBBD-6423-488A-914D-CD33A5E5787D}" type="presParOf" srcId="{BBB07979-F20C-47D6-90A0-7D580C1168CD}" destId="{A210F1F5-A160-4A2D-BEA7-BADA9C6F82C3}" srcOrd="0" destOrd="0" presId="urn:microsoft.com/office/officeart/2005/8/layout/process1"/>
    <dgm:cxn modelId="{2E9DD767-F2E8-4116-83AC-EBF32AA38DBD}" type="presParOf" srcId="{96C01921-ACE8-4FAF-87F6-ACD29C97CD8E}" destId="{106D86A0-3114-48AC-AE27-4EA3DE1AFF8F}"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FFE718-D1E6-4BD3-81C2-9E2B1201100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8787873E-66D2-46D6-999D-D0E7BD116F35}">
      <dgm:prSet phldrT="[Text]" custT="1"/>
      <dgm:spPr>
        <a:solidFill>
          <a:srgbClr val="3E2C42"/>
        </a:solidFill>
        <a:ln w="6350">
          <a:solidFill>
            <a:srgbClr val="3E2C42"/>
          </a:solidFill>
        </a:ln>
      </dgm:spPr>
      <dgm:t>
        <a:bodyPr/>
        <a:lstStyle/>
        <a:p>
          <a:r>
            <a:rPr lang="en-US" sz="1200">
              <a:latin typeface="Garamond" panose="02020404030301010803" pitchFamily="18" charset="0"/>
            </a:rPr>
            <a:t>Scenario 1: Static</a:t>
          </a:r>
        </a:p>
        <a:p>
          <a:r>
            <a:rPr lang="en-GB" sz="1200" i="1">
              <a:latin typeface="Garamond" panose="02020404030301010803" pitchFamily="18" charset="0"/>
            </a:rPr>
            <a:t>Da’esh continues to be pushed back; GoI is able to implement limited reforms but is incapable of leading the battle for Mosul. Price of oil remains low limiting government revenue and enhancing popular dissatisfaction. </a:t>
          </a:r>
          <a:endParaRPr lang="en-US" sz="1200" i="1">
            <a:latin typeface="Garamond" panose="02020404030301010803" pitchFamily="18" charset="0"/>
          </a:endParaRPr>
        </a:p>
      </dgm:t>
    </dgm:pt>
    <dgm:pt modelId="{8A49BE8D-D8C7-48D9-A14C-E8664CAFCE55}" type="parTrans" cxnId="{21CF6063-F76D-4D8E-9070-200CA1CC821D}">
      <dgm:prSet/>
      <dgm:spPr/>
      <dgm:t>
        <a:bodyPr/>
        <a:lstStyle/>
        <a:p>
          <a:endParaRPr lang="en-US" sz="1200">
            <a:latin typeface="Garamond" panose="02020404030301010803" pitchFamily="18" charset="0"/>
          </a:endParaRPr>
        </a:p>
      </dgm:t>
    </dgm:pt>
    <dgm:pt modelId="{B2AA5D2D-F577-4439-AD79-F3A8E4DC8A4A}" type="sibTrans" cxnId="{21CF6063-F76D-4D8E-9070-200CA1CC821D}">
      <dgm:prSet custT="1"/>
      <dgm:spPr>
        <a:solidFill>
          <a:srgbClr val="3E2C42"/>
        </a:solidFill>
      </dgm:spPr>
      <dgm:t>
        <a:bodyPr/>
        <a:lstStyle/>
        <a:p>
          <a:endParaRPr lang="en-US" sz="1200">
            <a:latin typeface="Garamond" panose="02020404030301010803" pitchFamily="18" charset="0"/>
          </a:endParaRPr>
        </a:p>
      </dgm:t>
    </dgm:pt>
    <dgm:pt modelId="{75F22309-A649-45F9-B0AC-84BD22CE7511}">
      <dgm:prSet phldrT="[Text]" custT="1"/>
      <dgm:spPr>
        <a:solidFill>
          <a:srgbClr val="EBD9E2"/>
        </a:solidFill>
        <a:ln w="6350">
          <a:solidFill>
            <a:srgbClr val="3E2C42"/>
          </a:solidFill>
        </a:ln>
      </dgm:spPr>
      <dgm:t>
        <a:bodyPr/>
        <a:lstStyle/>
        <a:p>
          <a:r>
            <a:rPr lang="en-US" sz="1200">
              <a:solidFill>
                <a:srgbClr val="3E2C42"/>
              </a:solidFill>
              <a:latin typeface="Garamond" panose="02020404030301010803" pitchFamily="18" charset="0"/>
            </a:rPr>
            <a:t>Scenario 2: Regressive</a:t>
          </a:r>
        </a:p>
        <a:p>
          <a:r>
            <a:rPr lang="en-GB" sz="1200" i="1">
              <a:solidFill>
                <a:srgbClr val="3E2C42"/>
              </a:solidFill>
              <a:latin typeface="Garamond" panose="02020404030301010803" pitchFamily="18" charset="0"/>
            </a:rPr>
            <a:t>Da’esh is pushed back but still able to hold territory or even expand in some areas; economic outlook worsens and the GoI is unable to implement reforms. Protests escalate and the GoI collapses. </a:t>
          </a:r>
          <a:endParaRPr lang="en-US" sz="1200" i="1">
            <a:solidFill>
              <a:srgbClr val="3E2C42"/>
            </a:solidFill>
            <a:latin typeface="Garamond" panose="02020404030301010803" pitchFamily="18" charset="0"/>
          </a:endParaRPr>
        </a:p>
      </dgm:t>
    </dgm:pt>
    <dgm:pt modelId="{FA85EC5A-B02A-4A0F-9D78-25C368D28FEB}" type="parTrans" cxnId="{470FA93F-284D-43E4-9F02-7FD6B6B46235}">
      <dgm:prSet/>
      <dgm:spPr/>
      <dgm:t>
        <a:bodyPr/>
        <a:lstStyle/>
        <a:p>
          <a:endParaRPr lang="en-US" sz="1200">
            <a:latin typeface="Garamond" panose="02020404030301010803" pitchFamily="18" charset="0"/>
          </a:endParaRPr>
        </a:p>
      </dgm:t>
    </dgm:pt>
    <dgm:pt modelId="{A45847FC-E2BF-4F49-A6F1-377EA758D760}" type="sibTrans" cxnId="{470FA93F-284D-43E4-9F02-7FD6B6B46235}">
      <dgm:prSet custT="1"/>
      <dgm:spPr>
        <a:solidFill>
          <a:srgbClr val="3E2C42"/>
        </a:solidFill>
      </dgm:spPr>
      <dgm:t>
        <a:bodyPr/>
        <a:lstStyle/>
        <a:p>
          <a:endParaRPr lang="en-US" sz="1200">
            <a:latin typeface="Garamond" panose="02020404030301010803" pitchFamily="18" charset="0"/>
          </a:endParaRPr>
        </a:p>
      </dgm:t>
    </dgm:pt>
    <dgm:pt modelId="{0702F421-F2AB-45BB-926C-53DFBF23B9D6}">
      <dgm:prSet phldrT="[Text]" custT="1"/>
      <dgm:spPr>
        <a:solidFill>
          <a:srgbClr val="F2F2F2"/>
        </a:solidFill>
        <a:ln w="6350">
          <a:solidFill>
            <a:srgbClr val="3E2C42"/>
          </a:solidFill>
        </a:ln>
      </dgm:spPr>
      <dgm:t>
        <a:bodyPr/>
        <a:lstStyle/>
        <a:p>
          <a:r>
            <a:rPr lang="en-US" sz="1200">
              <a:solidFill>
                <a:srgbClr val="3E2C42"/>
              </a:solidFill>
              <a:latin typeface="Garamond" panose="02020404030301010803" pitchFamily="18" charset="0"/>
            </a:rPr>
            <a:t>Scenario 3: Progressive</a:t>
          </a:r>
        </a:p>
        <a:p>
          <a:pPr rtl="0"/>
          <a:r>
            <a:rPr lang="en-GB" sz="1200" i="1">
              <a:solidFill>
                <a:srgbClr val="3E2C42"/>
              </a:solidFill>
              <a:latin typeface="Garamond" panose="02020404030301010803" pitchFamily="18" charset="0"/>
            </a:rPr>
            <a:t>Da’esh continues to be pushed back; GoI is able to implement reforms and leads the battle against Da'esh in Mosul, reinforcing its legitimacy; price of oil increases, reducing budgetary pressures on the State.</a:t>
          </a:r>
          <a:endParaRPr lang="en-US" sz="1200" i="1">
            <a:solidFill>
              <a:srgbClr val="3E2C42"/>
            </a:solidFill>
            <a:latin typeface="Garamond" panose="02020404030301010803" pitchFamily="18" charset="0"/>
          </a:endParaRPr>
        </a:p>
      </dgm:t>
    </dgm:pt>
    <dgm:pt modelId="{E02A4472-337B-44D0-94A2-EEEBF8D4E1E0}" type="parTrans" cxnId="{3DDE0848-31D2-41C4-9338-899C0534F086}">
      <dgm:prSet/>
      <dgm:spPr/>
      <dgm:t>
        <a:bodyPr/>
        <a:lstStyle/>
        <a:p>
          <a:endParaRPr lang="en-US" sz="1200">
            <a:latin typeface="Garamond" panose="02020404030301010803" pitchFamily="18" charset="0"/>
          </a:endParaRPr>
        </a:p>
      </dgm:t>
    </dgm:pt>
    <dgm:pt modelId="{68243C8E-F215-4FC5-A05E-7247488541C3}" type="sibTrans" cxnId="{3DDE0848-31D2-41C4-9338-899C0534F086}">
      <dgm:prSet/>
      <dgm:spPr/>
      <dgm:t>
        <a:bodyPr/>
        <a:lstStyle/>
        <a:p>
          <a:endParaRPr lang="en-US" sz="1200">
            <a:latin typeface="Garamond" panose="02020404030301010803" pitchFamily="18" charset="0"/>
          </a:endParaRPr>
        </a:p>
      </dgm:t>
    </dgm:pt>
    <dgm:pt modelId="{96C01921-ACE8-4FAF-87F6-ACD29C97CD8E}" type="pres">
      <dgm:prSet presAssocID="{E9FFE718-D1E6-4BD3-81C2-9E2B1201100B}" presName="Name0" presStyleCnt="0">
        <dgm:presLayoutVars>
          <dgm:dir/>
          <dgm:resizeHandles val="exact"/>
        </dgm:presLayoutVars>
      </dgm:prSet>
      <dgm:spPr/>
      <dgm:t>
        <a:bodyPr/>
        <a:lstStyle/>
        <a:p>
          <a:endParaRPr lang="en-GB"/>
        </a:p>
      </dgm:t>
    </dgm:pt>
    <dgm:pt modelId="{F32BBAAD-6FD0-467D-948C-8DADD5DF2B75}" type="pres">
      <dgm:prSet presAssocID="{8787873E-66D2-46D6-999D-D0E7BD116F35}" presName="node" presStyleLbl="node1" presStyleIdx="0" presStyleCnt="3" custScaleX="187661">
        <dgm:presLayoutVars>
          <dgm:bulletEnabled val="1"/>
        </dgm:presLayoutVars>
      </dgm:prSet>
      <dgm:spPr>
        <a:prstGeom prst="rect">
          <a:avLst/>
        </a:prstGeom>
      </dgm:spPr>
      <dgm:t>
        <a:bodyPr/>
        <a:lstStyle/>
        <a:p>
          <a:endParaRPr lang="en-GB"/>
        </a:p>
      </dgm:t>
    </dgm:pt>
    <dgm:pt modelId="{BBB07979-F20C-47D6-90A0-7D580C1168CD}" type="pres">
      <dgm:prSet presAssocID="{B2AA5D2D-F577-4439-AD79-F3A8E4DC8A4A}" presName="sibTrans" presStyleLbl="sibTrans2D1" presStyleIdx="0" presStyleCnt="2"/>
      <dgm:spPr/>
      <dgm:t>
        <a:bodyPr/>
        <a:lstStyle/>
        <a:p>
          <a:endParaRPr lang="en-GB"/>
        </a:p>
      </dgm:t>
    </dgm:pt>
    <dgm:pt modelId="{A210F1F5-A160-4A2D-BEA7-BADA9C6F82C3}" type="pres">
      <dgm:prSet presAssocID="{B2AA5D2D-F577-4439-AD79-F3A8E4DC8A4A}" presName="connectorText" presStyleLbl="sibTrans2D1" presStyleIdx="0" presStyleCnt="2"/>
      <dgm:spPr/>
      <dgm:t>
        <a:bodyPr/>
        <a:lstStyle/>
        <a:p>
          <a:endParaRPr lang="en-GB"/>
        </a:p>
      </dgm:t>
    </dgm:pt>
    <dgm:pt modelId="{106D86A0-3114-48AC-AE27-4EA3DE1AFF8F}" type="pres">
      <dgm:prSet presAssocID="{75F22309-A649-45F9-B0AC-84BD22CE7511}" presName="node" presStyleLbl="node1" presStyleIdx="1" presStyleCnt="3" custScaleX="187661">
        <dgm:presLayoutVars>
          <dgm:bulletEnabled val="1"/>
        </dgm:presLayoutVars>
      </dgm:prSet>
      <dgm:spPr>
        <a:prstGeom prst="rect">
          <a:avLst/>
        </a:prstGeom>
      </dgm:spPr>
      <dgm:t>
        <a:bodyPr/>
        <a:lstStyle/>
        <a:p>
          <a:endParaRPr lang="en-GB"/>
        </a:p>
      </dgm:t>
    </dgm:pt>
    <dgm:pt modelId="{D595DD62-F903-442A-A12A-F8CBFBB0A0C3}" type="pres">
      <dgm:prSet presAssocID="{A45847FC-E2BF-4F49-A6F1-377EA758D760}" presName="sibTrans" presStyleLbl="sibTrans2D1" presStyleIdx="1" presStyleCnt="2"/>
      <dgm:spPr/>
      <dgm:t>
        <a:bodyPr/>
        <a:lstStyle/>
        <a:p>
          <a:endParaRPr lang="en-GB"/>
        </a:p>
      </dgm:t>
    </dgm:pt>
    <dgm:pt modelId="{518CEB1A-843E-4F75-9439-E9871020E5FF}" type="pres">
      <dgm:prSet presAssocID="{A45847FC-E2BF-4F49-A6F1-377EA758D760}" presName="connectorText" presStyleLbl="sibTrans2D1" presStyleIdx="1" presStyleCnt="2"/>
      <dgm:spPr/>
      <dgm:t>
        <a:bodyPr/>
        <a:lstStyle/>
        <a:p>
          <a:endParaRPr lang="en-GB"/>
        </a:p>
      </dgm:t>
    </dgm:pt>
    <dgm:pt modelId="{05805FC0-58A2-4569-862B-32752AD97760}" type="pres">
      <dgm:prSet presAssocID="{0702F421-F2AB-45BB-926C-53DFBF23B9D6}" presName="node" presStyleLbl="node1" presStyleIdx="2" presStyleCnt="3" custScaleX="187661">
        <dgm:presLayoutVars>
          <dgm:bulletEnabled val="1"/>
        </dgm:presLayoutVars>
      </dgm:prSet>
      <dgm:spPr>
        <a:prstGeom prst="rect">
          <a:avLst/>
        </a:prstGeom>
      </dgm:spPr>
      <dgm:t>
        <a:bodyPr/>
        <a:lstStyle/>
        <a:p>
          <a:endParaRPr lang="en-GB"/>
        </a:p>
      </dgm:t>
    </dgm:pt>
  </dgm:ptLst>
  <dgm:cxnLst>
    <dgm:cxn modelId="{F38764E5-D432-49F8-A5BC-143122FE892B}" type="presOf" srcId="{A45847FC-E2BF-4F49-A6F1-377EA758D760}" destId="{D595DD62-F903-442A-A12A-F8CBFBB0A0C3}" srcOrd="0" destOrd="0" presId="urn:microsoft.com/office/officeart/2005/8/layout/process1"/>
    <dgm:cxn modelId="{939D6E57-4C39-47A8-A0E9-8ABD04F8C0A9}" type="presOf" srcId="{0702F421-F2AB-45BB-926C-53DFBF23B9D6}" destId="{05805FC0-58A2-4569-862B-32752AD97760}" srcOrd="0" destOrd="0" presId="urn:microsoft.com/office/officeart/2005/8/layout/process1"/>
    <dgm:cxn modelId="{F5B4A9AA-162E-4009-8A2B-36E77932519E}" type="presOf" srcId="{B2AA5D2D-F577-4439-AD79-F3A8E4DC8A4A}" destId="{BBB07979-F20C-47D6-90A0-7D580C1168CD}" srcOrd="0" destOrd="0" presId="urn:microsoft.com/office/officeart/2005/8/layout/process1"/>
    <dgm:cxn modelId="{2CBE7766-6A44-4264-BB40-67FD4700C5E7}" type="presOf" srcId="{A45847FC-E2BF-4F49-A6F1-377EA758D760}" destId="{518CEB1A-843E-4F75-9439-E9871020E5FF}" srcOrd="1" destOrd="0" presId="urn:microsoft.com/office/officeart/2005/8/layout/process1"/>
    <dgm:cxn modelId="{44F0DC83-12E5-4235-94DA-3A63A4BE0C8E}" type="presOf" srcId="{E9FFE718-D1E6-4BD3-81C2-9E2B1201100B}" destId="{96C01921-ACE8-4FAF-87F6-ACD29C97CD8E}" srcOrd="0" destOrd="0" presId="urn:microsoft.com/office/officeart/2005/8/layout/process1"/>
    <dgm:cxn modelId="{3DDE0848-31D2-41C4-9338-899C0534F086}" srcId="{E9FFE718-D1E6-4BD3-81C2-9E2B1201100B}" destId="{0702F421-F2AB-45BB-926C-53DFBF23B9D6}" srcOrd="2" destOrd="0" parTransId="{E02A4472-337B-44D0-94A2-EEEBF8D4E1E0}" sibTransId="{68243C8E-F215-4FC5-A05E-7247488541C3}"/>
    <dgm:cxn modelId="{2FCFAC86-30D3-4E24-A7AF-9EA132583D91}" type="presOf" srcId="{75F22309-A649-45F9-B0AC-84BD22CE7511}" destId="{106D86A0-3114-48AC-AE27-4EA3DE1AFF8F}" srcOrd="0" destOrd="0" presId="urn:microsoft.com/office/officeart/2005/8/layout/process1"/>
    <dgm:cxn modelId="{223C871E-A250-4811-9A81-36ADE8D7432C}" type="presOf" srcId="{8787873E-66D2-46D6-999D-D0E7BD116F35}" destId="{F32BBAAD-6FD0-467D-948C-8DADD5DF2B75}" srcOrd="0" destOrd="0" presId="urn:microsoft.com/office/officeart/2005/8/layout/process1"/>
    <dgm:cxn modelId="{93266F77-AC2F-415A-ACE7-58A486CFE5C7}" type="presOf" srcId="{B2AA5D2D-F577-4439-AD79-F3A8E4DC8A4A}" destId="{A210F1F5-A160-4A2D-BEA7-BADA9C6F82C3}" srcOrd="1" destOrd="0" presId="urn:microsoft.com/office/officeart/2005/8/layout/process1"/>
    <dgm:cxn modelId="{470FA93F-284D-43E4-9F02-7FD6B6B46235}" srcId="{E9FFE718-D1E6-4BD3-81C2-9E2B1201100B}" destId="{75F22309-A649-45F9-B0AC-84BD22CE7511}" srcOrd="1" destOrd="0" parTransId="{FA85EC5A-B02A-4A0F-9D78-25C368D28FEB}" sibTransId="{A45847FC-E2BF-4F49-A6F1-377EA758D760}"/>
    <dgm:cxn modelId="{21CF6063-F76D-4D8E-9070-200CA1CC821D}" srcId="{E9FFE718-D1E6-4BD3-81C2-9E2B1201100B}" destId="{8787873E-66D2-46D6-999D-D0E7BD116F35}" srcOrd="0" destOrd="0" parTransId="{8A49BE8D-D8C7-48D9-A14C-E8664CAFCE55}" sibTransId="{B2AA5D2D-F577-4439-AD79-F3A8E4DC8A4A}"/>
    <dgm:cxn modelId="{E9D7F468-0C9E-4182-88A8-D4BBCB342D41}" type="presParOf" srcId="{96C01921-ACE8-4FAF-87F6-ACD29C97CD8E}" destId="{F32BBAAD-6FD0-467D-948C-8DADD5DF2B75}" srcOrd="0" destOrd="0" presId="urn:microsoft.com/office/officeart/2005/8/layout/process1"/>
    <dgm:cxn modelId="{9F3DBB77-6BA6-4516-8BFE-1F290113AE15}" type="presParOf" srcId="{96C01921-ACE8-4FAF-87F6-ACD29C97CD8E}" destId="{BBB07979-F20C-47D6-90A0-7D580C1168CD}" srcOrd="1" destOrd="0" presId="urn:microsoft.com/office/officeart/2005/8/layout/process1"/>
    <dgm:cxn modelId="{FF4C6DDF-8149-476A-8C82-EF3141A654A3}" type="presParOf" srcId="{BBB07979-F20C-47D6-90A0-7D580C1168CD}" destId="{A210F1F5-A160-4A2D-BEA7-BADA9C6F82C3}" srcOrd="0" destOrd="0" presId="urn:microsoft.com/office/officeart/2005/8/layout/process1"/>
    <dgm:cxn modelId="{8F6A4704-604B-42AA-B135-D085B87A15FB}" type="presParOf" srcId="{96C01921-ACE8-4FAF-87F6-ACD29C97CD8E}" destId="{106D86A0-3114-48AC-AE27-4EA3DE1AFF8F}" srcOrd="2" destOrd="0" presId="urn:microsoft.com/office/officeart/2005/8/layout/process1"/>
    <dgm:cxn modelId="{63738A93-9546-4648-BE09-2175725336BC}" type="presParOf" srcId="{96C01921-ACE8-4FAF-87F6-ACD29C97CD8E}" destId="{D595DD62-F903-442A-A12A-F8CBFBB0A0C3}" srcOrd="3" destOrd="0" presId="urn:microsoft.com/office/officeart/2005/8/layout/process1"/>
    <dgm:cxn modelId="{320BC197-9350-4B07-ABBD-5A15AA766D93}" type="presParOf" srcId="{D595DD62-F903-442A-A12A-F8CBFBB0A0C3}" destId="{518CEB1A-843E-4F75-9439-E9871020E5FF}" srcOrd="0" destOrd="0" presId="urn:microsoft.com/office/officeart/2005/8/layout/process1"/>
    <dgm:cxn modelId="{14264248-2182-4975-916D-8E3902FC45D7}" type="presParOf" srcId="{96C01921-ACE8-4FAF-87F6-ACD29C97CD8E}" destId="{05805FC0-58A2-4569-862B-32752AD97760}"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4167A89-1356-4FAC-A5CD-5EC54FBE6F1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4658556-86D6-49D9-B483-430D707698F8}">
      <dgm:prSet phldrT="[Text]" custT="1"/>
      <dgm:spPr>
        <a:solidFill>
          <a:srgbClr val="EBD9E2"/>
        </a:solidFill>
        <a:ln w="9525">
          <a:solidFill>
            <a:srgbClr val="3E2C42"/>
          </a:solidFill>
        </a:ln>
      </dgm:spPr>
      <dgm:t>
        <a:bodyPr/>
        <a:lstStyle/>
        <a:p>
          <a:r>
            <a:rPr lang="en-GB" sz="1100" b="1" i="1">
              <a:solidFill>
                <a:srgbClr val="3E2C42"/>
              </a:solidFill>
              <a:latin typeface="Garamond" panose="02020404030301010803" pitchFamily="18" charset="0"/>
            </a:rPr>
            <a:t>b. </a:t>
          </a:r>
          <a:r>
            <a:rPr lang="en-GB" sz="1100" b="0" i="1">
              <a:solidFill>
                <a:srgbClr val="3E2C42"/>
              </a:solidFill>
              <a:latin typeface="Garamond" panose="02020404030301010803" pitchFamily="18" charset="0"/>
            </a:rPr>
            <a:t>Escalated conflict involving regional actors </a:t>
          </a:r>
          <a:r>
            <a:rPr lang="en-GB" sz="1100" b="1" i="1">
              <a:solidFill>
                <a:srgbClr val="3E2C42"/>
              </a:solidFill>
              <a:latin typeface="Garamond" panose="02020404030301010803" pitchFamily="18" charset="0"/>
            </a:rPr>
            <a:t>(Scenario 2 )</a:t>
          </a:r>
          <a:endParaRPr lang="en-US" sz="1100">
            <a:solidFill>
              <a:srgbClr val="3E2C42"/>
            </a:solidFill>
            <a:latin typeface="Garamond" panose="02020404030301010803" pitchFamily="18" charset="0"/>
          </a:endParaRPr>
        </a:p>
      </dgm:t>
    </dgm:pt>
    <dgm:pt modelId="{887AF21D-6FBE-4246-899C-3D83345BBAEC}" type="parTrans" cxnId="{838B2378-2EDF-4E96-A17B-8B69215CE15D}">
      <dgm:prSet/>
      <dgm:spPr/>
      <dgm:t>
        <a:bodyPr/>
        <a:lstStyle/>
        <a:p>
          <a:endParaRPr lang="en-US" sz="1100">
            <a:latin typeface="Garamond" panose="02020404030301010803" pitchFamily="18" charset="0"/>
          </a:endParaRPr>
        </a:p>
      </dgm:t>
    </dgm:pt>
    <dgm:pt modelId="{455167EB-ACDF-434B-A5E7-0BC7B4484D34}" type="sibTrans" cxnId="{838B2378-2EDF-4E96-A17B-8B69215CE15D}">
      <dgm:prSet/>
      <dgm:spPr/>
      <dgm:t>
        <a:bodyPr/>
        <a:lstStyle/>
        <a:p>
          <a:endParaRPr lang="en-US" sz="1100">
            <a:latin typeface="Garamond" panose="02020404030301010803" pitchFamily="18" charset="0"/>
          </a:endParaRPr>
        </a:p>
      </dgm:t>
    </dgm:pt>
    <dgm:pt modelId="{0523B952-06EA-4AAD-9921-18D4718818A6}">
      <dgm:prSet phldrT="[Text]" custT="1"/>
      <dgm:spPr>
        <a:solidFill>
          <a:srgbClr val="EBD9E2"/>
        </a:solidFill>
        <a:ln w="9525">
          <a:solidFill>
            <a:srgbClr val="3E2C42"/>
          </a:solidFill>
        </a:ln>
      </dgm:spPr>
      <dgm:t>
        <a:bodyPr/>
        <a:lstStyle/>
        <a:p>
          <a:r>
            <a:rPr lang="en-GB" sz="1100" b="1" i="1">
              <a:solidFill>
                <a:srgbClr val="3E2C42"/>
              </a:solidFill>
              <a:latin typeface="Garamond" panose="02020404030301010803" pitchFamily="18" charset="0"/>
            </a:rPr>
            <a:t>a. </a:t>
          </a:r>
          <a:r>
            <a:rPr lang="en-GB" sz="1100" b="0" i="1">
              <a:solidFill>
                <a:srgbClr val="3E2C42"/>
              </a:solidFill>
              <a:latin typeface="Garamond" panose="02020404030301010803" pitchFamily="18" charset="0"/>
            </a:rPr>
            <a:t> Reduced space for moderate actors </a:t>
          </a:r>
          <a:r>
            <a:rPr lang="en-GB" sz="1100" b="1" i="1">
              <a:solidFill>
                <a:srgbClr val="3E2C42"/>
              </a:solidFill>
              <a:latin typeface="Garamond" panose="02020404030301010803" pitchFamily="18" charset="0"/>
            </a:rPr>
            <a:t>(all scenarios)</a:t>
          </a:r>
          <a:endParaRPr lang="en-US" sz="1100">
            <a:solidFill>
              <a:srgbClr val="3E2C42"/>
            </a:solidFill>
            <a:latin typeface="Garamond" panose="02020404030301010803" pitchFamily="18" charset="0"/>
          </a:endParaRPr>
        </a:p>
      </dgm:t>
    </dgm:pt>
    <dgm:pt modelId="{12D52BD1-0B90-4E1A-B803-606E2FFDBA90}" type="parTrans" cxnId="{BD60E192-DC18-4C4D-9FD2-E6A242863F81}">
      <dgm:prSet/>
      <dgm:spPr/>
      <dgm:t>
        <a:bodyPr/>
        <a:lstStyle/>
        <a:p>
          <a:endParaRPr lang="en-US" sz="1100">
            <a:latin typeface="Garamond" panose="02020404030301010803" pitchFamily="18" charset="0"/>
          </a:endParaRPr>
        </a:p>
      </dgm:t>
    </dgm:pt>
    <dgm:pt modelId="{704B211C-0305-475F-9A0B-160F22AFFD84}" type="sibTrans" cxnId="{BD60E192-DC18-4C4D-9FD2-E6A242863F81}">
      <dgm:prSet/>
      <dgm:spPr/>
      <dgm:t>
        <a:bodyPr/>
        <a:lstStyle/>
        <a:p>
          <a:endParaRPr lang="en-US" sz="1100">
            <a:latin typeface="Garamond" panose="02020404030301010803" pitchFamily="18" charset="0"/>
          </a:endParaRPr>
        </a:p>
      </dgm:t>
    </dgm:pt>
    <dgm:pt modelId="{4F143425-18A7-4F5E-BCF6-D8FA3E89D627}">
      <dgm:prSet phldrT="[Text]" custT="1"/>
      <dgm:spPr>
        <a:solidFill>
          <a:srgbClr val="EBD9E2"/>
        </a:solidFill>
        <a:ln w="9525">
          <a:solidFill>
            <a:srgbClr val="3E2C42"/>
          </a:solidFill>
        </a:ln>
      </dgm:spPr>
      <dgm:t>
        <a:bodyPr/>
        <a:lstStyle/>
        <a:p>
          <a:r>
            <a:rPr lang="en-GB" sz="1100" b="1" i="1">
              <a:solidFill>
                <a:srgbClr val="3E2C42"/>
              </a:solidFill>
              <a:latin typeface="Garamond" panose="02020404030301010803" pitchFamily="18" charset="0"/>
            </a:rPr>
            <a:t>c. </a:t>
          </a:r>
          <a:r>
            <a:rPr lang="en-GB" sz="1100" b="0" i="1">
              <a:solidFill>
                <a:srgbClr val="3E2C42"/>
              </a:solidFill>
              <a:latin typeface="Garamond" panose="02020404030301010803" pitchFamily="18" charset="0"/>
            </a:rPr>
            <a:t> Flawed political settlement </a:t>
          </a:r>
          <a:r>
            <a:rPr lang="en-GB" sz="1100" b="1" i="1">
              <a:solidFill>
                <a:srgbClr val="3E2C42"/>
              </a:solidFill>
              <a:latin typeface="Garamond" panose="02020404030301010803" pitchFamily="18" charset="0"/>
            </a:rPr>
            <a:t>(Scenario 1 and 3) </a:t>
          </a:r>
          <a:endParaRPr lang="en-US" sz="1100">
            <a:solidFill>
              <a:srgbClr val="3E2C42"/>
            </a:solidFill>
            <a:latin typeface="Garamond" panose="02020404030301010803" pitchFamily="18" charset="0"/>
          </a:endParaRPr>
        </a:p>
      </dgm:t>
    </dgm:pt>
    <dgm:pt modelId="{C6386B14-11B7-4C77-8D20-68EDD5588CDC}" type="parTrans" cxnId="{16C65E9D-2C30-444B-8C38-4247D68B79C3}">
      <dgm:prSet/>
      <dgm:spPr/>
      <dgm:t>
        <a:bodyPr/>
        <a:lstStyle/>
        <a:p>
          <a:endParaRPr lang="en-US" sz="1100">
            <a:latin typeface="Garamond" panose="02020404030301010803" pitchFamily="18" charset="0"/>
          </a:endParaRPr>
        </a:p>
      </dgm:t>
    </dgm:pt>
    <dgm:pt modelId="{5E15BC45-FC70-4691-AE3A-F0E1A0AACF36}" type="sibTrans" cxnId="{16C65E9D-2C30-444B-8C38-4247D68B79C3}">
      <dgm:prSet/>
      <dgm:spPr/>
      <dgm:t>
        <a:bodyPr/>
        <a:lstStyle/>
        <a:p>
          <a:endParaRPr lang="en-US" sz="1100">
            <a:latin typeface="Garamond" panose="02020404030301010803" pitchFamily="18" charset="0"/>
          </a:endParaRPr>
        </a:p>
      </dgm:t>
    </dgm:pt>
    <dgm:pt modelId="{7DF809F3-5182-434A-8CAC-70EB6F2310B8}" type="pres">
      <dgm:prSet presAssocID="{44167A89-1356-4FAC-A5CD-5EC54FBE6F13}" presName="diagram" presStyleCnt="0">
        <dgm:presLayoutVars>
          <dgm:dir/>
          <dgm:resizeHandles val="exact"/>
        </dgm:presLayoutVars>
      </dgm:prSet>
      <dgm:spPr/>
      <dgm:t>
        <a:bodyPr/>
        <a:lstStyle/>
        <a:p>
          <a:endParaRPr lang="en-GB"/>
        </a:p>
      </dgm:t>
    </dgm:pt>
    <dgm:pt modelId="{924BF28D-9680-4870-8872-F050F2DC7FEB}" type="pres">
      <dgm:prSet presAssocID="{0523B952-06EA-4AAD-9921-18D4718818A6}" presName="node" presStyleLbl="node1" presStyleIdx="0" presStyleCnt="3" custScaleX="381756" custScaleY="138153">
        <dgm:presLayoutVars>
          <dgm:bulletEnabled val="1"/>
        </dgm:presLayoutVars>
      </dgm:prSet>
      <dgm:spPr/>
      <dgm:t>
        <a:bodyPr/>
        <a:lstStyle/>
        <a:p>
          <a:endParaRPr lang="en-GB"/>
        </a:p>
      </dgm:t>
    </dgm:pt>
    <dgm:pt modelId="{9B071123-642E-452F-A878-5551C461BB37}" type="pres">
      <dgm:prSet presAssocID="{704B211C-0305-475F-9A0B-160F22AFFD84}" presName="sibTrans" presStyleCnt="0"/>
      <dgm:spPr/>
    </dgm:pt>
    <dgm:pt modelId="{7EA4619D-91DE-4C6B-9202-AC37C5C8708E}" type="pres">
      <dgm:prSet presAssocID="{24658556-86D6-49D9-B483-430D707698F8}" presName="node" presStyleLbl="node1" presStyleIdx="1" presStyleCnt="3" custScaleX="381756" custScaleY="138153">
        <dgm:presLayoutVars>
          <dgm:bulletEnabled val="1"/>
        </dgm:presLayoutVars>
      </dgm:prSet>
      <dgm:spPr/>
      <dgm:t>
        <a:bodyPr/>
        <a:lstStyle/>
        <a:p>
          <a:endParaRPr lang="en-GB"/>
        </a:p>
      </dgm:t>
    </dgm:pt>
    <dgm:pt modelId="{0227F065-221E-4B48-9204-4AECF5283E27}" type="pres">
      <dgm:prSet presAssocID="{455167EB-ACDF-434B-A5E7-0BC7B4484D34}" presName="sibTrans" presStyleCnt="0"/>
      <dgm:spPr/>
    </dgm:pt>
    <dgm:pt modelId="{02B9483B-C209-46BD-AAC1-F600C2123C34}" type="pres">
      <dgm:prSet presAssocID="{4F143425-18A7-4F5E-BCF6-D8FA3E89D627}" presName="node" presStyleLbl="node1" presStyleIdx="2" presStyleCnt="3" custScaleX="381756" custScaleY="138153">
        <dgm:presLayoutVars>
          <dgm:bulletEnabled val="1"/>
        </dgm:presLayoutVars>
      </dgm:prSet>
      <dgm:spPr/>
      <dgm:t>
        <a:bodyPr/>
        <a:lstStyle/>
        <a:p>
          <a:endParaRPr lang="en-GB"/>
        </a:p>
      </dgm:t>
    </dgm:pt>
  </dgm:ptLst>
  <dgm:cxnLst>
    <dgm:cxn modelId="{E28F3BCD-3447-4075-9EB7-2DA3194CEE01}" type="presOf" srcId="{0523B952-06EA-4AAD-9921-18D4718818A6}" destId="{924BF28D-9680-4870-8872-F050F2DC7FEB}" srcOrd="0" destOrd="0" presId="urn:microsoft.com/office/officeart/2005/8/layout/default"/>
    <dgm:cxn modelId="{16C65E9D-2C30-444B-8C38-4247D68B79C3}" srcId="{44167A89-1356-4FAC-A5CD-5EC54FBE6F13}" destId="{4F143425-18A7-4F5E-BCF6-D8FA3E89D627}" srcOrd="2" destOrd="0" parTransId="{C6386B14-11B7-4C77-8D20-68EDD5588CDC}" sibTransId="{5E15BC45-FC70-4691-AE3A-F0E1A0AACF36}"/>
    <dgm:cxn modelId="{8AFE75D3-BD3C-4803-B7BD-03D7F2D00D0A}" type="presOf" srcId="{44167A89-1356-4FAC-A5CD-5EC54FBE6F13}" destId="{7DF809F3-5182-434A-8CAC-70EB6F2310B8}" srcOrd="0" destOrd="0" presId="urn:microsoft.com/office/officeart/2005/8/layout/default"/>
    <dgm:cxn modelId="{838B2378-2EDF-4E96-A17B-8B69215CE15D}" srcId="{44167A89-1356-4FAC-A5CD-5EC54FBE6F13}" destId="{24658556-86D6-49D9-B483-430D707698F8}" srcOrd="1" destOrd="0" parTransId="{887AF21D-6FBE-4246-899C-3D83345BBAEC}" sibTransId="{455167EB-ACDF-434B-A5E7-0BC7B4484D34}"/>
    <dgm:cxn modelId="{BD60E192-DC18-4C4D-9FD2-E6A242863F81}" srcId="{44167A89-1356-4FAC-A5CD-5EC54FBE6F13}" destId="{0523B952-06EA-4AAD-9921-18D4718818A6}" srcOrd="0" destOrd="0" parTransId="{12D52BD1-0B90-4E1A-B803-606E2FFDBA90}" sibTransId="{704B211C-0305-475F-9A0B-160F22AFFD84}"/>
    <dgm:cxn modelId="{36E4F6D1-AC6A-432F-AEF0-39CAD6FE4A43}" type="presOf" srcId="{4F143425-18A7-4F5E-BCF6-D8FA3E89D627}" destId="{02B9483B-C209-46BD-AAC1-F600C2123C34}" srcOrd="0" destOrd="0" presId="urn:microsoft.com/office/officeart/2005/8/layout/default"/>
    <dgm:cxn modelId="{CED86180-2268-46E6-ABF5-88EB6E649DFE}" type="presOf" srcId="{24658556-86D6-49D9-B483-430D707698F8}" destId="{7EA4619D-91DE-4C6B-9202-AC37C5C8708E}" srcOrd="0" destOrd="0" presId="urn:microsoft.com/office/officeart/2005/8/layout/default"/>
    <dgm:cxn modelId="{B577EC01-E3CF-4CDE-AE84-72B3390CEC70}" type="presParOf" srcId="{7DF809F3-5182-434A-8CAC-70EB6F2310B8}" destId="{924BF28D-9680-4870-8872-F050F2DC7FEB}" srcOrd="0" destOrd="0" presId="urn:microsoft.com/office/officeart/2005/8/layout/default"/>
    <dgm:cxn modelId="{516C74BF-804A-46E7-AFCE-54D553CE4FC2}" type="presParOf" srcId="{7DF809F3-5182-434A-8CAC-70EB6F2310B8}" destId="{9B071123-642E-452F-A878-5551C461BB37}" srcOrd="1" destOrd="0" presId="urn:microsoft.com/office/officeart/2005/8/layout/default"/>
    <dgm:cxn modelId="{4172AD45-05D3-4A6B-BF58-8012885333FB}" type="presParOf" srcId="{7DF809F3-5182-434A-8CAC-70EB6F2310B8}" destId="{7EA4619D-91DE-4C6B-9202-AC37C5C8708E}" srcOrd="2" destOrd="0" presId="urn:microsoft.com/office/officeart/2005/8/layout/default"/>
    <dgm:cxn modelId="{82452BF2-6421-4949-BA19-4A6DC4242362}" type="presParOf" srcId="{7DF809F3-5182-434A-8CAC-70EB6F2310B8}" destId="{0227F065-221E-4B48-9204-4AECF5283E27}" srcOrd="3" destOrd="0" presId="urn:microsoft.com/office/officeart/2005/8/layout/default"/>
    <dgm:cxn modelId="{64DBC695-D74A-4CED-9FCB-45E33498315D}" type="presParOf" srcId="{7DF809F3-5182-434A-8CAC-70EB6F2310B8}" destId="{02B9483B-C209-46BD-AAC1-F600C2123C34}" srcOrd="4" destOrd="0" presId="urn:microsoft.com/office/officeart/2005/8/layout/defaul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167A89-1356-4FAC-A5CD-5EC54FBE6F1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4658556-86D6-49D9-B483-430D707698F8}">
      <dgm:prSet phldrT="[Text]" custT="1"/>
      <dgm:spPr>
        <a:solidFill>
          <a:srgbClr val="EBD9E2"/>
        </a:solidFill>
        <a:ln w="9525">
          <a:solidFill>
            <a:srgbClr val="3E2C42"/>
          </a:solidFill>
        </a:ln>
      </dgm:spPr>
      <dgm:t>
        <a:bodyPr/>
        <a:lstStyle/>
        <a:p>
          <a:r>
            <a:rPr lang="en-GB" sz="1000" b="1" i="1">
              <a:solidFill>
                <a:srgbClr val="3E2C42"/>
              </a:solidFill>
              <a:latin typeface="Garamond" panose="02020404030301010803" pitchFamily="18" charset="0"/>
            </a:rPr>
            <a:t>b. </a:t>
          </a:r>
          <a:r>
            <a:rPr lang="en-GB" sz="1000" b="0" i="1">
              <a:solidFill>
                <a:srgbClr val="3E2C42"/>
              </a:solidFill>
              <a:latin typeface="Garamond" panose="02020404030301010803" pitchFamily="18" charset="0"/>
            </a:rPr>
            <a:t>Limited counterpart resources </a:t>
          </a:r>
          <a:r>
            <a:rPr lang="en-GB" sz="1000" b="1" i="1">
              <a:solidFill>
                <a:srgbClr val="3E2C42"/>
              </a:solidFill>
              <a:latin typeface="Garamond" panose="02020404030301010803" pitchFamily="18" charset="0"/>
            </a:rPr>
            <a:t>(All scenarios)</a:t>
          </a:r>
          <a:endParaRPr lang="en-US" sz="1000" b="1" i="1">
            <a:solidFill>
              <a:srgbClr val="3E2C42"/>
            </a:solidFill>
            <a:latin typeface="Garamond" panose="02020404030301010803" pitchFamily="18" charset="0"/>
          </a:endParaRPr>
        </a:p>
      </dgm:t>
    </dgm:pt>
    <dgm:pt modelId="{887AF21D-6FBE-4246-899C-3D83345BBAEC}" type="parTrans" cxnId="{838B2378-2EDF-4E96-A17B-8B69215CE15D}">
      <dgm:prSet/>
      <dgm:spPr/>
      <dgm:t>
        <a:bodyPr/>
        <a:lstStyle/>
        <a:p>
          <a:endParaRPr lang="en-US" sz="1000" b="1">
            <a:latin typeface="Garamond" panose="02020404030301010803" pitchFamily="18" charset="0"/>
          </a:endParaRPr>
        </a:p>
      </dgm:t>
    </dgm:pt>
    <dgm:pt modelId="{455167EB-ACDF-434B-A5E7-0BC7B4484D34}" type="sibTrans" cxnId="{838B2378-2EDF-4E96-A17B-8B69215CE15D}">
      <dgm:prSet/>
      <dgm:spPr/>
      <dgm:t>
        <a:bodyPr/>
        <a:lstStyle/>
        <a:p>
          <a:endParaRPr lang="en-US" sz="1000" b="1">
            <a:latin typeface="Garamond" panose="02020404030301010803" pitchFamily="18" charset="0"/>
          </a:endParaRPr>
        </a:p>
      </dgm:t>
    </dgm:pt>
    <dgm:pt modelId="{0523B952-06EA-4AAD-9921-18D4718818A6}">
      <dgm:prSet phldrT="[Text]" custT="1"/>
      <dgm:spPr>
        <a:solidFill>
          <a:srgbClr val="EBD9E2"/>
        </a:solidFill>
        <a:ln w="9525">
          <a:solidFill>
            <a:srgbClr val="3E2C42"/>
          </a:solidFill>
        </a:ln>
      </dgm:spPr>
      <dgm:t>
        <a:bodyPr/>
        <a:lstStyle/>
        <a:p>
          <a:r>
            <a:rPr lang="en-GB" sz="1000" b="1" i="1">
              <a:solidFill>
                <a:srgbClr val="3E2C42"/>
              </a:solidFill>
              <a:latin typeface="Garamond" panose="02020404030301010803" pitchFamily="18" charset="0"/>
            </a:rPr>
            <a:t>a. </a:t>
          </a:r>
          <a:r>
            <a:rPr lang="en-GB" sz="1000" b="0" i="1">
              <a:solidFill>
                <a:srgbClr val="3E2C42"/>
              </a:solidFill>
              <a:latin typeface="Garamond" panose="02020404030301010803" pitchFamily="18" charset="0"/>
            </a:rPr>
            <a:t>Continued political instability </a:t>
          </a:r>
          <a:r>
            <a:rPr lang="en-GB" sz="1000" b="1" i="1">
              <a:solidFill>
                <a:srgbClr val="3E2C42"/>
              </a:solidFill>
              <a:latin typeface="Garamond" panose="02020404030301010803" pitchFamily="18" charset="0"/>
            </a:rPr>
            <a:t>(Scenario 1 &amp; 2)</a:t>
          </a:r>
          <a:endParaRPr lang="en-US" sz="1000" b="1" i="1">
            <a:solidFill>
              <a:srgbClr val="3E2C42"/>
            </a:solidFill>
            <a:latin typeface="Garamond" panose="02020404030301010803" pitchFamily="18" charset="0"/>
          </a:endParaRPr>
        </a:p>
      </dgm:t>
    </dgm:pt>
    <dgm:pt modelId="{12D52BD1-0B90-4E1A-B803-606E2FFDBA90}" type="parTrans" cxnId="{BD60E192-DC18-4C4D-9FD2-E6A242863F81}">
      <dgm:prSet/>
      <dgm:spPr/>
      <dgm:t>
        <a:bodyPr/>
        <a:lstStyle/>
        <a:p>
          <a:endParaRPr lang="en-US" sz="1000" b="1">
            <a:latin typeface="Garamond" panose="02020404030301010803" pitchFamily="18" charset="0"/>
          </a:endParaRPr>
        </a:p>
      </dgm:t>
    </dgm:pt>
    <dgm:pt modelId="{704B211C-0305-475F-9A0B-160F22AFFD84}" type="sibTrans" cxnId="{BD60E192-DC18-4C4D-9FD2-E6A242863F81}">
      <dgm:prSet/>
      <dgm:spPr/>
      <dgm:t>
        <a:bodyPr/>
        <a:lstStyle/>
        <a:p>
          <a:endParaRPr lang="en-US" sz="1000" b="1">
            <a:latin typeface="Garamond" panose="02020404030301010803" pitchFamily="18" charset="0"/>
          </a:endParaRPr>
        </a:p>
      </dgm:t>
    </dgm:pt>
    <dgm:pt modelId="{4F143425-18A7-4F5E-BCF6-D8FA3E89D627}">
      <dgm:prSet phldrT="[Text]" custT="1"/>
      <dgm:spPr>
        <a:solidFill>
          <a:srgbClr val="EBD9E2"/>
        </a:solidFill>
        <a:ln w="9525">
          <a:solidFill>
            <a:srgbClr val="3E2C42"/>
          </a:solidFill>
        </a:ln>
      </dgm:spPr>
      <dgm:t>
        <a:bodyPr/>
        <a:lstStyle/>
        <a:p>
          <a:r>
            <a:rPr lang="en-GB" sz="1000" b="1" i="1">
              <a:solidFill>
                <a:srgbClr val="3E2C42"/>
              </a:solidFill>
              <a:latin typeface="Garamond" panose="02020404030301010803" pitchFamily="18" charset="0"/>
            </a:rPr>
            <a:t>c. </a:t>
          </a:r>
          <a:r>
            <a:rPr lang="en-GB" sz="1000" b="0" i="1">
              <a:solidFill>
                <a:srgbClr val="3E2C42"/>
              </a:solidFill>
              <a:latin typeface="Garamond" panose="02020404030301010803" pitchFamily="18" charset="0"/>
            </a:rPr>
            <a:t> Contested control over liberated territory </a:t>
          </a:r>
          <a:r>
            <a:rPr lang="en-GB" sz="1000" b="1" i="1">
              <a:solidFill>
                <a:srgbClr val="3E2C42"/>
              </a:solidFill>
              <a:latin typeface="Garamond" panose="02020404030301010803" pitchFamily="18" charset="0"/>
            </a:rPr>
            <a:t>(Scenario 1 &amp; 2)</a:t>
          </a:r>
          <a:endParaRPr lang="en-US" sz="1000" b="1" i="1">
            <a:solidFill>
              <a:srgbClr val="3E2C42"/>
            </a:solidFill>
            <a:latin typeface="Garamond" panose="02020404030301010803" pitchFamily="18" charset="0"/>
          </a:endParaRPr>
        </a:p>
      </dgm:t>
    </dgm:pt>
    <dgm:pt modelId="{C6386B14-11B7-4C77-8D20-68EDD5588CDC}" type="parTrans" cxnId="{16C65E9D-2C30-444B-8C38-4247D68B79C3}">
      <dgm:prSet/>
      <dgm:spPr/>
      <dgm:t>
        <a:bodyPr/>
        <a:lstStyle/>
        <a:p>
          <a:endParaRPr lang="en-US" sz="1000" b="1">
            <a:latin typeface="Garamond" panose="02020404030301010803" pitchFamily="18" charset="0"/>
          </a:endParaRPr>
        </a:p>
      </dgm:t>
    </dgm:pt>
    <dgm:pt modelId="{5E15BC45-FC70-4691-AE3A-F0E1A0AACF36}" type="sibTrans" cxnId="{16C65E9D-2C30-444B-8C38-4247D68B79C3}">
      <dgm:prSet/>
      <dgm:spPr/>
      <dgm:t>
        <a:bodyPr/>
        <a:lstStyle/>
        <a:p>
          <a:endParaRPr lang="en-US" sz="1000" b="1">
            <a:latin typeface="Garamond" panose="02020404030301010803" pitchFamily="18" charset="0"/>
          </a:endParaRPr>
        </a:p>
      </dgm:t>
    </dgm:pt>
    <dgm:pt modelId="{2C8058C8-2840-428D-A079-DE100A277D06}">
      <dgm:prSet phldrT="[Text]" custT="1"/>
      <dgm:spPr>
        <a:solidFill>
          <a:srgbClr val="EBD9E2"/>
        </a:solidFill>
        <a:ln w="9525">
          <a:solidFill>
            <a:srgbClr val="3E2C42"/>
          </a:solidFill>
        </a:ln>
      </dgm:spPr>
      <dgm:t>
        <a:bodyPr/>
        <a:lstStyle/>
        <a:p>
          <a:r>
            <a:rPr lang="en-US" sz="1000" b="1" i="1">
              <a:solidFill>
                <a:srgbClr val="3E2C42"/>
              </a:solidFill>
              <a:latin typeface="Garamond" panose="02020404030301010803" pitchFamily="18" charset="0"/>
            </a:rPr>
            <a:t>d. GoI</a:t>
          </a:r>
          <a:r>
            <a:rPr lang="en-US" sz="1000" b="0" i="1">
              <a:solidFill>
                <a:srgbClr val="3E2C42"/>
              </a:solidFill>
              <a:latin typeface="Garamond" panose="02020404030301010803" pitchFamily="18" charset="0"/>
            </a:rPr>
            <a:t> makes gains against Da'esh and reforms </a:t>
          </a:r>
          <a:r>
            <a:rPr lang="en-US" sz="1000" b="1" i="1">
              <a:solidFill>
                <a:srgbClr val="3E2C42"/>
              </a:solidFill>
              <a:latin typeface="Garamond" panose="02020404030301010803" pitchFamily="18" charset="0"/>
            </a:rPr>
            <a:t>(Scenario 3) </a:t>
          </a:r>
        </a:p>
      </dgm:t>
    </dgm:pt>
    <dgm:pt modelId="{306F3909-AA65-40B5-9698-5EB191028604}" type="parTrans" cxnId="{9CD761DA-174D-4387-97E0-EDED23759148}">
      <dgm:prSet/>
      <dgm:spPr/>
      <dgm:t>
        <a:bodyPr/>
        <a:lstStyle/>
        <a:p>
          <a:endParaRPr lang="en-US" sz="1000" b="1">
            <a:latin typeface="Garamond" panose="02020404030301010803" pitchFamily="18" charset="0"/>
          </a:endParaRPr>
        </a:p>
      </dgm:t>
    </dgm:pt>
    <dgm:pt modelId="{96FDC72C-7EB2-48B3-B3C2-59BB5E28B34F}" type="sibTrans" cxnId="{9CD761DA-174D-4387-97E0-EDED23759148}">
      <dgm:prSet/>
      <dgm:spPr/>
      <dgm:t>
        <a:bodyPr/>
        <a:lstStyle/>
        <a:p>
          <a:endParaRPr lang="en-US" sz="1000" b="1">
            <a:latin typeface="Garamond" panose="02020404030301010803" pitchFamily="18" charset="0"/>
          </a:endParaRPr>
        </a:p>
      </dgm:t>
    </dgm:pt>
    <dgm:pt modelId="{7DF809F3-5182-434A-8CAC-70EB6F2310B8}" type="pres">
      <dgm:prSet presAssocID="{44167A89-1356-4FAC-A5CD-5EC54FBE6F13}" presName="diagram" presStyleCnt="0">
        <dgm:presLayoutVars>
          <dgm:dir/>
          <dgm:resizeHandles val="exact"/>
        </dgm:presLayoutVars>
      </dgm:prSet>
      <dgm:spPr/>
      <dgm:t>
        <a:bodyPr/>
        <a:lstStyle/>
        <a:p>
          <a:endParaRPr lang="en-GB"/>
        </a:p>
      </dgm:t>
    </dgm:pt>
    <dgm:pt modelId="{924BF28D-9680-4870-8872-F050F2DC7FEB}" type="pres">
      <dgm:prSet presAssocID="{0523B952-06EA-4AAD-9921-18D4718818A6}" presName="node" presStyleLbl="node1" presStyleIdx="0" presStyleCnt="4" custScaleX="289312" custScaleY="164277">
        <dgm:presLayoutVars>
          <dgm:bulletEnabled val="1"/>
        </dgm:presLayoutVars>
      </dgm:prSet>
      <dgm:spPr/>
      <dgm:t>
        <a:bodyPr/>
        <a:lstStyle/>
        <a:p>
          <a:endParaRPr lang="en-GB"/>
        </a:p>
      </dgm:t>
    </dgm:pt>
    <dgm:pt modelId="{9B071123-642E-452F-A878-5551C461BB37}" type="pres">
      <dgm:prSet presAssocID="{704B211C-0305-475F-9A0B-160F22AFFD84}" presName="sibTrans" presStyleCnt="0"/>
      <dgm:spPr/>
    </dgm:pt>
    <dgm:pt modelId="{7EA4619D-91DE-4C6B-9202-AC37C5C8708E}" type="pres">
      <dgm:prSet presAssocID="{24658556-86D6-49D9-B483-430D707698F8}" presName="node" presStyleLbl="node1" presStyleIdx="1" presStyleCnt="4" custScaleX="289312" custScaleY="164277">
        <dgm:presLayoutVars>
          <dgm:bulletEnabled val="1"/>
        </dgm:presLayoutVars>
      </dgm:prSet>
      <dgm:spPr/>
      <dgm:t>
        <a:bodyPr/>
        <a:lstStyle/>
        <a:p>
          <a:endParaRPr lang="en-GB"/>
        </a:p>
      </dgm:t>
    </dgm:pt>
    <dgm:pt modelId="{0227F065-221E-4B48-9204-4AECF5283E27}" type="pres">
      <dgm:prSet presAssocID="{455167EB-ACDF-434B-A5E7-0BC7B4484D34}" presName="sibTrans" presStyleCnt="0"/>
      <dgm:spPr/>
    </dgm:pt>
    <dgm:pt modelId="{02B9483B-C209-46BD-AAC1-F600C2123C34}" type="pres">
      <dgm:prSet presAssocID="{4F143425-18A7-4F5E-BCF6-D8FA3E89D627}" presName="node" presStyleLbl="node1" presStyleIdx="2" presStyleCnt="4" custScaleX="289312" custScaleY="164277">
        <dgm:presLayoutVars>
          <dgm:bulletEnabled val="1"/>
        </dgm:presLayoutVars>
      </dgm:prSet>
      <dgm:spPr/>
      <dgm:t>
        <a:bodyPr/>
        <a:lstStyle/>
        <a:p>
          <a:endParaRPr lang="en-GB"/>
        </a:p>
      </dgm:t>
    </dgm:pt>
    <dgm:pt modelId="{C788F1AB-D38F-4204-9A12-17099EA66A4E}" type="pres">
      <dgm:prSet presAssocID="{5E15BC45-FC70-4691-AE3A-F0E1A0AACF36}" presName="sibTrans" presStyleCnt="0"/>
      <dgm:spPr/>
    </dgm:pt>
    <dgm:pt modelId="{85255E18-CC27-463B-9B20-E9493D15432B}" type="pres">
      <dgm:prSet presAssocID="{2C8058C8-2840-428D-A079-DE100A277D06}" presName="node" presStyleLbl="node1" presStyleIdx="3" presStyleCnt="4" custScaleX="289312" custScaleY="164277">
        <dgm:presLayoutVars>
          <dgm:bulletEnabled val="1"/>
        </dgm:presLayoutVars>
      </dgm:prSet>
      <dgm:spPr/>
      <dgm:t>
        <a:bodyPr/>
        <a:lstStyle/>
        <a:p>
          <a:endParaRPr lang="en-GB"/>
        </a:p>
      </dgm:t>
    </dgm:pt>
  </dgm:ptLst>
  <dgm:cxnLst>
    <dgm:cxn modelId="{16C65E9D-2C30-444B-8C38-4247D68B79C3}" srcId="{44167A89-1356-4FAC-A5CD-5EC54FBE6F13}" destId="{4F143425-18A7-4F5E-BCF6-D8FA3E89D627}" srcOrd="2" destOrd="0" parTransId="{C6386B14-11B7-4C77-8D20-68EDD5588CDC}" sibTransId="{5E15BC45-FC70-4691-AE3A-F0E1A0AACF36}"/>
    <dgm:cxn modelId="{D4C77CE1-0913-480D-ABF5-742733E48013}" type="presOf" srcId="{2C8058C8-2840-428D-A079-DE100A277D06}" destId="{85255E18-CC27-463B-9B20-E9493D15432B}" srcOrd="0" destOrd="0" presId="urn:microsoft.com/office/officeart/2005/8/layout/default"/>
    <dgm:cxn modelId="{838B2378-2EDF-4E96-A17B-8B69215CE15D}" srcId="{44167A89-1356-4FAC-A5CD-5EC54FBE6F13}" destId="{24658556-86D6-49D9-B483-430D707698F8}" srcOrd="1" destOrd="0" parTransId="{887AF21D-6FBE-4246-899C-3D83345BBAEC}" sibTransId="{455167EB-ACDF-434B-A5E7-0BC7B4484D34}"/>
    <dgm:cxn modelId="{BD60E192-DC18-4C4D-9FD2-E6A242863F81}" srcId="{44167A89-1356-4FAC-A5CD-5EC54FBE6F13}" destId="{0523B952-06EA-4AAD-9921-18D4718818A6}" srcOrd="0" destOrd="0" parTransId="{12D52BD1-0B90-4E1A-B803-606E2FFDBA90}" sibTransId="{704B211C-0305-475F-9A0B-160F22AFFD84}"/>
    <dgm:cxn modelId="{08552D47-3887-4B93-9C5D-2A9D3CE5A852}" type="presOf" srcId="{44167A89-1356-4FAC-A5CD-5EC54FBE6F13}" destId="{7DF809F3-5182-434A-8CAC-70EB6F2310B8}" srcOrd="0" destOrd="0" presId="urn:microsoft.com/office/officeart/2005/8/layout/default"/>
    <dgm:cxn modelId="{AF4CD623-24C5-437E-AB7E-FEB396E0BCDB}" type="presOf" srcId="{0523B952-06EA-4AAD-9921-18D4718818A6}" destId="{924BF28D-9680-4870-8872-F050F2DC7FEB}" srcOrd="0" destOrd="0" presId="urn:microsoft.com/office/officeart/2005/8/layout/default"/>
    <dgm:cxn modelId="{3488D599-5561-459F-9A47-530C27CA072C}" type="presOf" srcId="{24658556-86D6-49D9-B483-430D707698F8}" destId="{7EA4619D-91DE-4C6B-9202-AC37C5C8708E}" srcOrd="0" destOrd="0" presId="urn:microsoft.com/office/officeart/2005/8/layout/default"/>
    <dgm:cxn modelId="{9CD761DA-174D-4387-97E0-EDED23759148}" srcId="{44167A89-1356-4FAC-A5CD-5EC54FBE6F13}" destId="{2C8058C8-2840-428D-A079-DE100A277D06}" srcOrd="3" destOrd="0" parTransId="{306F3909-AA65-40B5-9698-5EB191028604}" sibTransId="{96FDC72C-7EB2-48B3-B3C2-59BB5E28B34F}"/>
    <dgm:cxn modelId="{EF263FCE-ED95-4450-A095-4486C2F38FB8}" type="presOf" srcId="{4F143425-18A7-4F5E-BCF6-D8FA3E89D627}" destId="{02B9483B-C209-46BD-AAC1-F600C2123C34}" srcOrd="0" destOrd="0" presId="urn:microsoft.com/office/officeart/2005/8/layout/default"/>
    <dgm:cxn modelId="{2CCB59B5-9E51-4A24-948E-BCD2B8BC4EF3}" type="presParOf" srcId="{7DF809F3-5182-434A-8CAC-70EB6F2310B8}" destId="{924BF28D-9680-4870-8872-F050F2DC7FEB}" srcOrd="0" destOrd="0" presId="urn:microsoft.com/office/officeart/2005/8/layout/default"/>
    <dgm:cxn modelId="{091D8C2A-07BB-404D-803C-9183D1FB9419}" type="presParOf" srcId="{7DF809F3-5182-434A-8CAC-70EB6F2310B8}" destId="{9B071123-642E-452F-A878-5551C461BB37}" srcOrd="1" destOrd="0" presId="urn:microsoft.com/office/officeart/2005/8/layout/default"/>
    <dgm:cxn modelId="{2FDDF908-2A51-495A-B3FA-1F220A7E6C91}" type="presParOf" srcId="{7DF809F3-5182-434A-8CAC-70EB6F2310B8}" destId="{7EA4619D-91DE-4C6B-9202-AC37C5C8708E}" srcOrd="2" destOrd="0" presId="urn:microsoft.com/office/officeart/2005/8/layout/default"/>
    <dgm:cxn modelId="{EF5D6DE5-B7D6-45B1-8C45-C1A88DCDC0E0}" type="presParOf" srcId="{7DF809F3-5182-434A-8CAC-70EB6F2310B8}" destId="{0227F065-221E-4B48-9204-4AECF5283E27}" srcOrd="3" destOrd="0" presId="urn:microsoft.com/office/officeart/2005/8/layout/default"/>
    <dgm:cxn modelId="{D2D90C83-5D85-460A-BEF1-B42A07CDF02B}" type="presParOf" srcId="{7DF809F3-5182-434A-8CAC-70EB6F2310B8}" destId="{02B9483B-C209-46BD-AAC1-F600C2123C34}" srcOrd="4" destOrd="0" presId="urn:microsoft.com/office/officeart/2005/8/layout/default"/>
    <dgm:cxn modelId="{D53BDE2D-BC58-4E1F-BC55-D2A6EBD926E1}" type="presParOf" srcId="{7DF809F3-5182-434A-8CAC-70EB6F2310B8}" destId="{C788F1AB-D38F-4204-9A12-17099EA66A4E}" srcOrd="5" destOrd="0" presId="urn:microsoft.com/office/officeart/2005/8/layout/default"/>
    <dgm:cxn modelId="{4D69FD85-7623-46FB-9EFD-1D0E61D2E6AE}" type="presParOf" srcId="{7DF809F3-5182-434A-8CAC-70EB6F2310B8}" destId="{85255E18-CC27-463B-9B20-E9493D15432B}" srcOrd="6" destOrd="0" presId="urn:microsoft.com/office/officeart/2005/8/layout/defaul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BF28D-9680-4870-8872-F050F2DC7FEB}">
      <dsp:nvSpPr>
        <dsp:cNvPr id="0" name=""/>
        <dsp:cNvSpPr/>
      </dsp:nvSpPr>
      <dsp:spPr>
        <a:xfrm>
          <a:off x="1491" y="0"/>
          <a:ext cx="1987705" cy="555912"/>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rgbClr val="3E2C42"/>
              </a:solidFill>
              <a:latin typeface="Garamond" panose="02020404030301010803" pitchFamily="18" charset="0"/>
            </a:rPr>
            <a:t>Rivalries undermine opposition cohesion</a:t>
          </a:r>
          <a:endParaRPr lang="en-US" sz="1100" b="0" kern="1200">
            <a:solidFill>
              <a:srgbClr val="3E2C42"/>
            </a:solidFill>
            <a:latin typeface="Garamond" panose="02020404030301010803" pitchFamily="18" charset="0"/>
          </a:endParaRPr>
        </a:p>
      </dsp:txBody>
      <dsp:txXfrm>
        <a:off x="1491" y="0"/>
        <a:ext cx="1987705" cy="555912"/>
      </dsp:txXfrm>
    </dsp:sp>
    <dsp:sp modelId="{7EA4619D-91DE-4C6B-9202-AC37C5C8708E}">
      <dsp:nvSpPr>
        <dsp:cNvPr id="0" name=""/>
        <dsp:cNvSpPr/>
      </dsp:nvSpPr>
      <dsp:spPr>
        <a:xfrm>
          <a:off x="2064307" y="0"/>
          <a:ext cx="1987705" cy="555912"/>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rgbClr val="3E2C42"/>
              </a:solidFill>
              <a:latin typeface="Garamond" panose="02020404030301010803" pitchFamily="18" charset="0"/>
            </a:rPr>
            <a:t>JaN's dominant military and political role increases risk to international actors</a:t>
          </a:r>
        </a:p>
      </dsp:txBody>
      <dsp:txXfrm>
        <a:off x="2064307" y="0"/>
        <a:ext cx="1987705" cy="555912"/>
      </dsp:txXfrm>
    </dsp:sp>
    <dsp:sp modelId="{04DF72CF-C23F-4CC2-8EFB-34D8EDFA41E6}">
      <dsp:nvSpPr>
        <dsp:cNvPr id="0" name=""/>
        <dsp:cNvSpPr/>
      </dsp:nvSpPr>
      <dsp:spPr>
        <a:xfrm>
          <a:off x="4127122" y="0"/>
          <a:ext cx="1987705" cy="555912"/>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b="0" kern="1200">
              <a:solidFill>
                <a:srgbClr val="3E2C42"/>
              </a:solidFill>
              <a:latin typeface="Garamond" panose="02020404030301010803" pitchFamily="18" charset="0"/>
            </a:rPr>
            <a:t>Political and military support to the regime by Russia and Iran</a:t>
          </a:r>
        </a:p>
      </dsp:txBody>
      <dsp:txXfrm>
        <a:off x="4127122" y="0"/>
        <a:ext cx="1987705" cy="555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BF28D-9680-4870-8872-F050F2DC7FEB}">
      <dsp:nvSpPr>
        <dsp:cNvPr id="0" name=""/>
        <dsp:cNvSpPr/>
      </dsp:nvSpPr>
      <dsp:spPr>
        <a:xfrm>
          <a:off x="2302" y="29643"/>
          <a:ext cx="1474340" cy="428709"/>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rgbClr val="3E2C42"/>
              </a:solidFill>
              <a:latin typeface="Garamond" panose="02020404030301010803" pitchFamily="18" charset="0"/>
            </a:rPr>
            <a:t>Absence of a political settlement</a:t>
          </a:r>
          <a:endParaRPr lang="en-US" sz="1100" kern="1200">
            <a:solidFill>
              <a:srgbClr val="3E2C42"/>
            </a:solidFill>
            <a:latin typeface="Garamond" panose="02020404030301010803" pitchFamily="18" charset="0"/>
          </a:endParaRPr>
        </a:p>
      </dsp:txBody>
      <dsp:txXfrm>
        <a:off x="2302" y="29643"/>
        <a:ext cx="1474340" cy="428709"/>
      </dsp:txXfrm>
    </dsp:sp>
    <dsp:sp modelId="{7EA4619D-91DE-4C6B-9202-AC37C5C8708E}">
      <dsp:nvSpPr>
        <dsp:cNvPr id="0" name=""/>
        <dsp:cNvSpPr/>
      </dsp:nvSpPr>
      <dsp:spPr>
        <a:xfrm>
          <a:off x="1548093" y="29643"/>
          <a:ext cx="1474340" cy="428709"/>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3E2C42"/>
              </a:solidFill>
              <a:latin typeface="Garamond" panose="02020404030301010803" pitchFamily="18" charset="0"/>
            </a:rPr>
            <a:t>Marginalisation of Sunni communities</a:t>
          </a:r>
        </a:p>
      </dsp:txBody>
      <dsp:txXfrm>
        <a:off x="1548093" y="29643"/>
        <a:ext cx="1474340" cy="428709"/>
      </dsp:txXfrm>
    </dsp:sp>
    <dsp:sp modelId="{02B9483B-C209-46BD-AAC1-F600C2123C34}">
      <dsp:nvSpPr>
        <dsp:cNvPr id="0" name=""/>
        <dsp:cNvSpPr/>
      </dsp:nvSpPr>
      <dsp:spPr>
        <a:xfrm>
          <a:off x="3093885" y="29643"/>
          <a:ext cx="1474340" cy="428709"/>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3E2C42"/>
              </a:solidFill>
              <a:latin typeface="Garamond" panose="02020404030301010803" pitchFamily="18" charset="0"/>
            </a:rPr>
            <a:t>Weak government institutions</a:t>
          </a:r>
        </a:p>
      </dsp:txBody>
      <dsp:txXfrm>
        <a:off x="3093885" y="29643"/>
        <a:ext cx="1474340" cy="428709"/>
      </dsp:txXfrm>
    </dsp:sp>
    <dsp:sp modelId="{FADAE008-6E7C-420C-BDDE-47030C54890B}">
      <dsp:nvSpPr>
        <dsp:cNvPr id="0" name=""/>
        <dsp:cNvSpPr/>
      </dsp:nvSpPr>
      <dsp:spPr>
        <a:xfrm>
          <a:off x="4639677" y="29643"/>
          <a:ext cx="1474340" cy="428709"/>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3E2C42"/>
              </a:solidFill>
              <a:latin typeface="Garamond" panose="02020404030301010803" pitchFamily="18" charset="0"/>
            </a:rPr>
            <a:t>Competition for Mosul</a:t>
          </a:r>
        </a:p>
      </dsp:txBody>
      <dsp:txXfrm>
        <a:off x="4639677" y="29643"/>
        <a:ext cx="1474340" cy="4287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5818E-A208-4555-99C2-9AC06F9E615F}">
      <dsp:nvSpPr>
        <dsp:cNvPr id="0" name=""/>
        <dsp:cNvSpPr/>
      </dsp:nvSpPr>
      <dsp:spPr>
        <a:xfrm>
          <a:off x="3379" y="48235"/>
          <a:ext cx="1765612" cy="1233081"/>
        </a:xfrm>
        <a:prstGeom prst="rect">
          <a:avLst/>
        </a:prstGeom>
        <a:solidFill>
          <a:srgbClr val="3E2C4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kern="1200">
              <a:latin typeface="Garamond" panose="02020404030301010803" pitchFamily="18" charset="0"/>
            </a:rPr>
            <a:t>Scenario 1: Static</a:t>
          </a:r>
          <a:endParaRPr lang="en-GB" sz="1200" kern="1200">
            <a:latin typeface="Garamond" panose="02020404030301010803" pitchFamily="18" charset="0"/>
          </a:endParaRPr>
        </a:p>
        <a:p>
          <a:pPr lvl="0" algn="ctr" defTabSz="533400" rtl="0">
            <a:lnSpc>
              <a:spcPct val="90000"/>
            </a:lnSpc>
            <a:spcBef>
              <a:spcPct val="0"/>
            </a:spcBef>
            <a:spcAft>
              <a:spcPct val="35000"/>
            </a:spcAft>
          </a:pPr>
          <a:r>
            <a:rPr lang="en-GB" sz="1200" i="1" kern="1200">
              <a:latin typeface="Garamond" panose="02020404030301010803" pitchFamily="18" charset="0"/>
            </a:rPr>
            <a:t>Parties continue dialogue processes and CoH is partially implemented enabling the regime to consolidate and incrementally enhance its sphere of influence. </a:t>
          </a:r>
          <a:endParaRPr lang="en-US" sz="1200" i="1" kern="1200">
            <a:latin typeface="Garamond" panose="02020404030301010803" pitchFamily="18" charset="0"/>
          </a:endParaRPr>
        </a:p>
      </dsp:txBody>
      <dsp:txXfrm>
        <a:off x="3379" y="48235"/>
        <a:ext cx="1765612" cy="1233081"/>
      </dsp:txXfrm>
    </dsp:sp>
    <dsp:sp modelId="{0924A3B4-884D-450B-BBC4-DA8333DF1FD7}">
      <dsp:nvSpPr>
        <dsp:cNvPr id="0" name=""/>
        <dsp:cNvSpPr/>
      </dsp:nvSpPr>
      <dsp:spPr>
        <a:xfrm>
          <a:off x="1870582" y="538803"/>
          <a:ext cx="215371" cy="251944"/>
        </a:xfrm>
        <a:prstGeom prst="rightArrow">
          <a:avLst>
            <a:gd name="adj1" fmla="val 60000"/>
            <a:gd name="adj2" fmla="val 50000"/>
          </a:avLst>
        </a:prstGeom>
        <a:solidFill>
          <a:srgbClr val="3E2C4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Garamond" panose="02020404030301010803" pitchFamily="18" charset="0"/>
          </a:endParaRPr>
        </a:p>
      </dsp:txBody>
      <dsp:txXfrm>
        <a:off x="1870582" y="589192"/>
        <a:ext cx="150760" cy="151166"/>
      </dsp:txXfrm>
    </dsp:sp>
    <dsp:sp modelId="{F32BBAAD-6FD0-467D-948C-8DADD5DF2B75}">
      <dsp:nvSpPr>
        <dsp:cNvPr id="0" name=""/>
        <dsp:cNvSpPr/>
      </dsp:nvSpPr>
      <dsp:spPr>
        <a:xfrm>
          <a:off x="2175353" y="48235"/>
          <a:ext cx="1765612" cy="1233081"/>
        </a:xfrm>
        <a:prstGeom prst="rect">
          <a:avLst/>
        </a:prstGeom>
        <a:solidFill>
          <a:srgbClr val="EBD9E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kern="1200">
              <a:solidFill>
                <a:srgbClr val="3E2C42"/>
              </a:solidFill>
              <a:latin typeface="Garamond" panose="02020404030301010803" pitchFamily="18" charset="0"/>
            </a:rPr>
            <a:t>Scenario 2: Regressive </a:t>
          </a:r>
        </a:p>
        <a:p>
          <a:pPr lvl="0" algn="ctr" defTabSz="533400" rtl="0">
            <a:lnSpc>
              <a:spcPct val="90000"/>
            </a:lnSpc>
            <a:spcBef>
              <a:spcPct val="0"/>
            </a:spcBef>
            <a:spcAft>
              <a:spcPct val="35000"/>
            </a:spcAft>
          </a:pPr>
          <a:r>
            <a:rPr lang="en-GB" sz="1200" i="1" kern="1200">
              <a:solidFill>
                <a:srgbClr val="3E2C42"/>
              </a:solidFill>
              <a:latin typeface="Garamond" panose="02020404030301010803" pitchFamily="18" charset="0"/>
            </a:rPr>
            <a:t>Parties show no appetite to de-escalate &amp; CoH agreement breaks down leading to the eventual collapse of the moderate opposition as a credible military force.</a:t>
          </a:r>
          <a:endParaRPr lang="en-US" sz="1200" kern="1200">
            <a:solidFill>
              <a:srgbClr val="3E2C42"/>
            </a:solidFill>
            <a:latin typeface="Garamond" panose="02020404030301010803" pitchFamily="18" charset="0"/>
          </a:endParaRPr>
        </a:p>
      </dsp:txBody>
      <dsp:txXfrm>
        <a:off x="2175353" y="48235"/>
        <a:ext cx="1765612" cy="1233081"/>
      </dsp:txXfrm>
    </dsp:sp>
    <dsp:sp modelId="{BBB07979-F20C-47D6-90A0-7D580C1168CD}">
      <dsp:nvSpPr>
        <dsp:cNvPr id="0" name=""/>
        <dsp:cNvSpPr/>
      </dsp:nvSpPr>
      <dsp:spPr>
        <a:xfrm>
          <a:off x="4042556" y="538803"/>
          <a:ext cx="215371" cy="251944"/>
        </a:xfrm>
        <a:prstGeom prst="rightArrow">
          <a:avLst>
            <a:gd name="adj1" fmla="val 60000"/>
            <a:gd name="adj2" fmla="val 50000"/>
          </a:avLst>
        </a:prstGeom>
        <a:solidFill>
          <a:srgbClr val="3E2C4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Garamond" panose="02020404030301010803" pitchFamily="18" charset="0"/>
          </a:endParaRPr>
        </a:p>
      </dsp:txBody>
      <dsp:txXfrm>
        <a:off x="4042556" y="589192"/>
        <a:ext cx="150760" cy="151166"/>
      </dsp:txXfrm>
    </dsp:sp>
    <dsp:sp modelId="{106D86A0-3114-48AC-AE27-4EA3DE1AFF8F}">
      <dsp:nvSpPr>
        <dsp:cNvPr id="0" name=""/>
        <dsp:cNvSpPr/>
      </dsp:nvSpPr>
      <dsp:spPr>
        <a:xfrm>
          <a:off x="4347328" y="48235"/>
          <a:ext cx="1765612" cy="1233081"/>
        </a:xfrm>
        <a:prstGeom prst="rect">
          <a:avLst/>
        </a:prstGeom>
        <a:solidFill>
          <a:srgbClr val="F2F2F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kern="1200">
              <a:solidFill>
                <a:srgbClr val="3E2C42"/>
              </a:solidFill>
              <a:latin typeface="Garamond" panose="02020404030301010803" pitchFamily="18" charset="0"/>
            </a:rPr>
            <a:t>Scenario 3: Progressive</a:t>
          </a:r>
        </a:p>
        <a:p>
          <a:pPr lvl="0" algn="ctr" defTabSz="533400" rtl="0">
            <a:lnSpc>
              <a:spcPct val="90000"/>
            </a:lnSpc>
            <a:spcBef>
              <a:spcPct val="0"/>
            </a:spcBef>
            <a:spcAft>
              <a:spcPct val="35000"/>
            </a:spcAft>
          </a:pPr>
          <a:r>
            <a:rPr lang="en-GB" sz="1200" i="1" kern="1200">
              <a:solidFill>
                <a:srgbClr val="3E2C42"/>
              </a:solidFill>
              <a:latin typeface="Garamond" panose="02020404030301010803" pitchFamily="18" charset="0"/>
            </a:rPr>
            <a:t>CoH implemented fully and political concessions provided by regime; Russia is unwilling to sustain the intensity of airstrikes and Turkey and the GCC are willing to de-escalate.</a:t>
          </a:r>
          <a:endParaRPr lang="en-US" sz="1200" kern="1200">
            <a:solidFill>
              <a:srgbClr val="3E2C42"/>
            </a:solidFill>
            <a:latin typeface="Garamond" panose="02020404030301010803" pitchFamily="18" charset="0"/>
          </a:endParaRPr>
        </a:p>
      </dsp:txBody>
      <dsp:txXfrm>
        <a:off x="4347328" y="48235"/>
        <a:ext cx="1765612" cy="12330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BBAAD-6FD0-467D-948C-8DADD5DF2B75}">
      <dsp:nvSpPr>
        <dsp:cNvPr id="0" name=""/>
        <dsp:cNvSpPr/>
      </dsp:nvSpPr>
      <dsp:spPr>
        <a:xfrm>
          <a:off x="3134" y="45489"/>
          <a:ext cx="1783464" cy="1394920"/>
        </a:xfrm>
        <a:prstGeom prst="rect">
          <a:avLst/>
        </a:prstGeom>
        <a:solidFill>
          <a:srgbClr val="3E2C4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aramond" panose="02020404030301010803" pitchFamily="18" charset="0"/>
            </a:rPr>
            <a:t>Scenario 1: Static</a:t>
          </a:r>
        </a:p>
        <a:p>
          <a:pPr lvl="0" algn="ctr" defTabSz="533400">
            <a:lnSpc>
              <a:spcPct val="90000"/>
            </a:lnSpc>
            <a:spcBef>
              <a:spcPct val="0"/>
            </a:spcBef>
            <a:spcAft>
              <a:spcPct val="35000"/>
            </a:spcAft>
          </a:pPr>
          <a:r>
            <a:rPr lang="en-GB" sz="1200" i="1" kern="1200">
              <a:latin typeface="Garamond" panose="02020404030301010803" pitchFamily="18" charset="0"/>
            </a:rPr>
            <a:t>Da’esh continues to be pushed back; GoI is able to implement limited reforms but is incapable of leading the battle for Mosul. Price of oil remains low limiting government revenue and enhancing popular dissatisfaction. </a:t>
          </a:r>
          <a:endParaRPr lang="en-US" sz="1200" i="1" kern="1200">
            <a:latin typeface="Garamond" panose="02020404030301010803" pitchFamily="18" charset="0"/>
          </a:endParaRPr>
        </a:p>
      </dsp:txBody>
      <dsp:txXfrm>
        <a:off x="3134" y="45489"/>
        <a:ext cx="1783464" cy="1394920"/>
      </dsp:txXfrm>
    </dsp:sp>
    <dsp:sp modelId="{BBB07979-F20C-47D6-90A0-7D580C1168CD}">
      <dsp:nvSpPr>
        <dsp:cNvPr id="0" name=""/>
        <dsp:cNvSpPr/>
      </dsp:nvSpPr>
      <dsp:spPr>
        <a:xfrm>
          <a:off x="1881635" y="625104"/>
          <a:ext cx="201477" cy="235690"/>
        </a:xfrm>
        <a:prstGeom prst="rightArrow">
          <a:avLst>
            <a:gd name="adj1" fmla="val 60000"/>
            <a:gd name="adj2" fmla="val 50000"/>
          </a:avLst>
        </a:prstGeom>
        <a:solidFill>
          <a:srgbClr val="3E2C4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Garamond" panose="02020404030301010803" pitchFamily="18" charset="0"/>
          </a:endParaRPr>
        </a:p>
      </dsp:txBody>
      <dsp:txXfrm>
        <a:off x="1881635" y="672242"/>
        <a:ext cx="141034" cy="141414"/>
      </dsp:txXfrm>
    </dsp:sp>
    <dsp:sp modelId="{106D86A0-3114-48AC-AE27-4EA3DE1AFF8F}">
      <dsp:nvSpPr>
        <dsp:cNvPr id="0" name=""/>
        <dsp:cNvSpPr/>
      </dsp:nvSpPr>
      <dsp:spPr>
        <a:xfrm>
          <a:off x="2166745" y="45489"/>
          <a:ext cx="1783464" cy="1394920"/>
        </a:xfrm>
        <a:prstGeom prst="rect">
          <a:avLst/>
        </a:prstGeom>
        <a:solidFill>
          <a:srgbClr val="EBD9E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3E2C42"/>
              </a:solidFill>
              <a:latin typeface="Garamond" panose="02020404030301010803" pitchFamily="18" charset="0"/>
            </a:rPr>
            <a:t>Scenario 2: Regressive</a:t>
          </a:r>
        </a:p>
        <a:p>
          <a:pPr lvl="0" algn="ctr" defTabSz="533400">
            <a:lnSpc>
              <a:spcPct val="90000"/>
            </a:lnSpc>
            <a:spcBef>
              <a:spcPct val="0"/>
            </a:spcBef>
            <a:spcAft>
              <a:spcPct val="35000"/>
            </a:spcAft>
          </a:pPr>
          <a:r>
            <a:rPr lang="en-GB" sz="1200" i="1" kern="1200">
              <a:solidFill>
                <a:srgbClr val="3E2C42"/>
              </a:solidFill>
              <a:latin typeface="Garamond" panose="02020404030301010803" pitchFamily="18" charset="0"/>
            </a:rPr>
            <a:t>Da’esh is pushed back but still able to hold territory or even expand in some areas; economic outlook worsens and the GoI is unable to implement reforms. Protests escalate and the GoI collapses. </a:t>
          </a:r>
          <a:endParaRPr lang="en-US" sz="1200" i="1" kern="1200">
            <a:solidFill>
              <a:srgbClr val="3E2C42"/>
            </a:solidFill>
            <a:latin typeface="Garamond" panose="02020404030301010803" pitchFamily="18" charset="0"/>
          </a:endParaRPr>
        </a:p>
      </dsp:txBody>
      <dsp:txXfrm>
        <a:off x="2166745" y="45489"/>
        <a:ext cx="1783464" cy="1394920"/>
      </dsp:txXfrm>
    </dsp:sp>
    <dsp:sp modelId="{D595DD62-F903-442A-A12A-F8CBFBB0A0C3}">
      <dsp:nvSpPr>
        <dsp:cNvPr id="0" name=""/>
        <dsp:cNvSpPr/>
      </dsp:nvSpPr>
      <dsp:spPr>
        <a:xfrm>
          <a:off x="4045246" y="625104"/>
          <a:ext cx="201477" cy="235690"/>
        </a:xfrm>
        <a:prstGeom prst="rightArrow">
          <a:avLst>
            <a:gd name="adj1" fmla="val 60000"/>
            <a:gd name="adj2" fmla="val 50000"/>
          </a:avLst>
        </a:prstGeom>
        <a:solidFill>
          <a:srgbClr val="3E2C4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Garamond" panose="02020404030301010803" pitchFamily="18" charset="0"/>
          </a:endParaRPr>
        </a:p>
      </dsp:txBody>
      <dsp:txXfrm>
        <a:off x="4045246" y="672242"/>
        <a:ext cx="141034" cy="141414"/>
      </dsp:txXfrm>
    </dsp:sp>
    <dsp:sp modelId="{05805FC0-58A2-4569-862B-32752AD97760}">
      <dsp:nvSpPr>
        <dsp:cNvPr id="0" name=""/>
        <dsp:cNvSpPr/>
      </dsp:nvSpPr>
      <dsp:spPr>
        <a:xfrm>
          <a:off x="4330355" y="45489"/>
          <a:ext cx="1783464" cy="1394920"/>
        </a:xfrm>
        <a:prstGeom prst="rect">
          <a:avLst/>
        </a:prstGeom>
        <a:solidFill>
          <a:srgbClr val="F2F2F2"/>
        </a:solidFill>
        <a:ln w="6350"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3E2C42"/>
              </a:solidFill>
              <a:latin typeface="Garamond" panose="02020404030301010803" pitchFamily="18" charset="0"/>
            </a:rPr>
            <a:t>Scenario 3: Progressive</a:t>
          </a:r>
        </a:p>
        <a:p>
          <a:pPr lvl="0" algn="ctr" defTabSz="533400" rtl="0">
            <a:lnSpc>
              <a:spcPct val="90000"/>
            </a:lnSpc>
            <a:spcBef>
              <a:spcPct val="0"/>
            </a:spcBef>
            <a:spcAft>
              <a:spcPct val="35000"/>
            </a:spcAft>
          </a:pPr>
          <a:r>
            <a:rPr lang="en-GB" sz="1200" i="1" kern="1200">
              <a:solidFill>
                <a:srgbClr val="3E2C42"/>
              </a:solidFill>
              <a:latin typeface="Garamond" panose="02020404030301010803" pitchFamily="18" charset="0"/>
            </a:rPr>
            <a:t>Da’esh continues to be pushed back; GoI is able to implement reforms and leads the battle against Da'esh in Mosul, reinforcing its legitimacy; price of oil increases, reducing budgetary pressures on the State.</a:t>
          </a:r>
          <a:endParaRPr lang="en-US" sz="1200" i="1" kern="1200">
            <a:solidFill>
              <a:srgbClr val="3E2C42"/>
            </a:solidFill>
            <a:latin typeface="Garamond" panose="02020404030301010803" pitchFamily="18" charset="0"/>
          </a:endParaRPr>
        </a:p>
      </dsp:txBody>
      <dsp:txXfrm>
        <a:off x="4330355" y="45489"/>
        <a:ext cx="1783464" cy="13949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BF28D-9680-4870-8872-F050F2DC7FEB}">
      <dsp:nvSpPr>
        <dsp:cNvPr id="0" name=""/>
        <dsp:cNvSpPr/>
      </dsp:nvSpPr>
      <dsp:spPr>
        <a:xfrm>
          <a:off x="61" y="16426"/>
          <a:ext cx="2003740" cy="435078"/>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i="1" kern="1200">
              <a:solidFill>
                <a:srgbClr val="3E2C42"/>
              </a:solidFill>
              <a:latin typeface="Garamond" panose="02020404030301010803" pitchFamily="18" charset="0"/>
            </a:rPr>
            <a:t>a. </a:t>
          </a:r>
          <a:r>
            <a:rPr lang="en-GB" sz="1100" b="0" i="1" kern="1200">
              <a:solidFill>
                <a:srgbClr val="3E2C42"/>
              </a:solidFill>
              <a:latin typeface="Garamond" panose="02020404030301010803" pitchFamily="18" charset="0"/>
            </a:rPr>
            <a:t> Reduced space for moderate actors </a:t>
          </a:r>
          <a:r>
            <a:rPr lang="en-GB" sz="1100" b="1" i="1" kern="1200">
              <a:solidFill>
                <a:srgbClr val="3E2C42"/>
              </a:solidFill>
              <a:latin typeface="Garamond" panose="02020404030301010803" pitchFamily="18" charset="0"/>
            </a:rPr>
            <a:t>(all scenarios)</a:t>
          </a:r>
          <a:endParaRPr lang="en-US" sz="1100" kern="1200">
            <a:solidFill>
              <a:srgbClr val="3E2C42"/>
            </a:solidFill>
            <a:latin typeface="Garamond" panose="02020404030301010803" pitchFamily="18" charset="0"/>
          </a:endParaRPr>
        </a:p>
      </dsp:txBody>
      <dsp:txXfrm>
        <a:off x="61" y="16426"/>
        <a:ext cx="2003740" cy="435078"/>
      </dsp:txXfrm>
    </dsp:sp>
    <dsp:sp modelId="{7EA4619D-91DE-4C6B-9202-AC37C5C8708E}">
      <dsp:nvSpPr>
        <dsp:cNvPr id="0" name=""/>
        <dsp:cNvSpPr/>
      </dsp:nvSpPr>
      <dsp:spPr>
        <a:xfrm>
          <a:off x="2056289" y="16426"/>
          <a:ext cx="2003740" cy="435078"/>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i="1" kern="1200">
              <a:solidFill>
                <a:srgbClr val="3E2C42"/>
              </a:solidFill>
              <a:latin typeface="Garamond" panose="02020404030301010803" pitchFamily="18" charset="0"/>
            </a:rPr>
            <a:t>b. </a:t>
          </a:r>
          <a:r>
            <a:rPr lang="en-GB" sz="1100" b="0" i="1" kern="1200">
              <a:solidFill>
                <a:srgbClr val="3E2C42"/>
              </a:solidFill>
              <a:latin typeface="Garamond" panose="02020404030301010803" pitchFamily="18" charset="0"/>
            </a:rPr>
            <a:t>Escalated conflict involving regional actors </a:t>
          </a:r>
          <a:r>
            <a:rPr lang="en-GB" sz="1100" b="1" i="1" kern="1200">
              <a:solidFill>
                <a:srgbClr val="3E2C42"/>
              </a:solidFill>
              <a:latin typeface="Garamond" panose="02020404030301010803" pitchFamily="18" charset="0"/>
            </a:rPr>
            <a:t>(Scenario 2 )</a:t>
          </a:r>
          <a:endParaRPr lang="en-US" sz="1100" kern="1200">
            <a:solidFill>
              <a:srgbClr val="3E2C42"/>
            </a:solidFill>
            <a:latin typeface="Garamond" panose="02020404030301010803" pitchFamily="18" charset="0"/>
          </a:endParaRPr>
        </a:p>
      </dsp:txBody>
      <dsp:txXfrm>
        <a:off x="2056289" y="16426"/>
        <a:ext cx="2003740" cy="435078"/>
      </dsp:txXfrm>
    </dsp:sp>
    <dsp:sp modelId="{02B9483B-C209-46BD-AAC1-F600C2123C34}">
      <dsp:nvSpPr>
        <dsp:cNvPr id="0" name=""/>
        <dsp:cNvSpPr/>
      </dsp:nvSpPr>
      <dsp:spPr>
        <a:xfrm>
          <a:off x="4112517" y="16426"/>
          <a:ext cx="2003740" cy="435078"/>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i="1" kern="1200">
              <a:solidFill>
                <a:srgbClr val="3E2C42"/>
              </a:solidFill>
              <a:latin typeface="Garamond" panose="02020404030301010803" pitchFamily="18" charset="0"/>
            </a:rPr>
            <a:t>c. </a:t>
          </a:r>
          <a:r>
            <a:rPr lang="en-GB" sz="1100" b="0" i="1" kern="1200">
              <a:solidFill>
                <a:srgbClr val="3E2C42"/>
              </a:solidFill>
              <a:latin typeface="Garamond" panose="02020404030301010803" pitchFamily="18" charset="0"/>
            </a:rPr>
            <a:t> Flawed political settlement </a:t>
          </a:r>
          <a:r>
            <a:rPr lang="en-GB" sz="1100" b="1" i="1" kern="1200">
              <a:solidFill>
                <a:srgbClr val="3E2C42"/>
              </a:solidFill>
              <a:latin typeface="Garamond" panose="02020404030301010803" pitchFamily="18" charset="0"/>
            </a:rPr>
            <a:t>(Scenario 1 and 3) </a:t>
          </a:r>
          <a:endParaRPr lang="en-US" sz="1100" kern="1200">
            <a:solidFill>
              <a:srgbClr val="3E2C42"/>
            </a:solidFill>
            <a:latin typeface="Garamond" panose="02020404030301010803" pitchFamily="18" charset="0"/>
          </a:endParaRPr>
        </a:p>
      </dsp:txBody>
      <dsp:txXfrm>
        <a:off x="4112517" y="16426"/>
        <a:ext cx="2003740" cy="43507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BF28D-9680-4870-8872-F050F2DC7FEB}">
      <dsp:nvSpPr>
        <dsp:cNvPr id="0" name=""/>
        <dsp:cNvSpPr/>
      </dsp:nvSpPr>
      <dsp:spPr>
        <a:xfrm>
          <a:off x="4427" y="16933"/>
          <a:ext cx="1488284" cy="507046"/>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i="1" kern="1200">
              <a:solidFill>
                <a:srgbClr val="3E2C42"/>
              </a:solidFill>
              <a:latin typeface="Garamond" panose="02020404030301010803" pitchFamily="18" charset="0"/>
            </a:rPr>
            <a:t>a. </a:t>
          </a:r>
          <a:r>
            <a:rPr lang="en-GB" sz="1000" b="0" i="1" kern="1200">
              <a:solidFill>
                <a:srgbClr val="3E2C42"/>
              </a:solidFill>
              <a:latin typeface="Garamond" panose="02020404030301010803" pitchFamily="18" charset="0"/>
            </a:rPr>
            <a:t>Continued political instability </a:t>
          </a:r>
          <a:r>
            <a:rPr lang="en-GB" sz="1000" b="1" i="1" kern="1200">
              <a:solidFill>
                <a:srgbClr val="3E2C42"/>
              </a:solidFill>
              <a:latin typeface="Garamond" panose="02020404030301010803" pitchFamily="18" charset="0"/>
            </a:rPr>
            <a:t>(Scenario 1 &amp; 2)</a:t>
          </a:r>
          <a:endParaRPr lang="en-US" sz="1000" b="1" i="1" kern="1200">
            <a:solidFill>
              <a:srgbClr val="3E2C42"/>
            </a:solidFill>
            <a:latin typeface="Garamond" panose="02020404030301010803" pitchFamily="18" charset="0"/>
          </a:endParaRPr>
        </a:p>
      </dsp:txBody>
      <dsp:txXfrm>
        <a:off x="4427" y="16933"/>
        <a:ext cx="1488284" cy="507046"/>
      </dsp:txXfrm>
    </dsp:sp>
    <dsp:sp modelId="{7EA4619D-91DE-4C6B-9202-AC37C5C8708E}">
      <dsp:nvSpPr>
        <dsp:cNvPr id="0" name=""/>
        <dsp:cNvSpPr/>
      </dsp:nvSpPr>
      <dsp:spPr>
        <a:xfrm>
          <a:off x="1544154" y="16933"/>
          <a:ext cx="1488284" cy="507046"/>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i="1" kern="1200">
              <a:solidFill>
                <a:srgbClr val="3E2C42"/>
              </a:solidFill>
              <a:latin typeface="Garamond" panose="02020404030301010803" pitchFamily="18" charset="0"/>
            </a:rPr>
            <a:t>b. </a:t>
          </a:r>
          <a:r>
            <a:rPr lang="en-GB" sz="1000" b="0" i="1" kern="1200">
              <a:solidFill>
                <a:srgbClr val="3E2C42"/>
              </a:solidFill>
              <a:latin typeface="Garamond" panose="02020404030301010803" pitchFamily="18" charset="0"/>
            </a:rPr>
            <a:t>Limited counterpart resources </a:t>
          </a:r>
          <a:r>
            <a:rPr lang="en-GB" sz="1000" b="1" i="1" kern="1200">
              <a:solidFill>
                <a:srgbClr val="3E2C42"/>
              </a:solidFill>
              <a:latin typeface="Garamond" panose="02020404030301010803" pitchFamily="18" charset="0"/>
            </a:rPr>
            <a:t>(All scenarios)</a:t>
          </a:r>
          <a:endParaRPr lang="en-US" sz="1000" b="1" i="1" kern="1200">
            <a:solidFill>
              <a:srgbClr val="3E2C42"/>
            </a:solidFill>
            <a:latin typeface="Garamond" panose="02020404030301010803" pitchFamily="18" charset="0"/>
          </a:endParaRPr>
        </a:p>
      </dsp:txBody>
      <dsp:txXfrm>
        <a:off x="1544154" y="16933"/>
        <a:ext cx="1488284" cy="507046"/>
      </dsp:txXfrm>
    </dsp:sp>
    <dsp:sp modelId="{02B9483B-C209-46BD-AAC1-F600C2123C34}">
      <dsp:nvSpPr>
        <dsp:cNvPr id="0" name=""/>
        <dsp:cNvSpPr/>
      </dsp:nvSpPr>
      <dsp:spPr>
        <a:xfrm>
          <a:off x="3083881" y="16933"/>
          <a:ext cx="1488284" cy="507046"/>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i="1" kern="1200">
              <a:solidFill>
                <a:srgbClr val="3E2C42"/>
              </a:solidFill>
              <a:latin typeface="Garamond" panose="02020404030301010803" pitchFamily="18" charset="0"/>
            </a:rPr>
            <a:t>c. </a:t>
          </a:r>
          <a:r>
            <a:rPr lang="en-GB" sz="1000" b="0" i="1" kern="1200">
              <a:solidFill>
                <a:srgbClr val="3E2C42"/>
              </a:solidFill>
              <a:latin typeface="Garamond" panose="02020404030301010803" pitchFamily="18" charset="0"/>
            </a:rPr>
            <a:t> Contested control over liberated territory </a:t>
          </a:r>
          <a:r>
            <a:rPr lang="en-GB" sz="1000" b="1" i="1" kern="1200">
              <a:solidFill>
                <a:srgbClr val="3E2C42"/>
              </a:solidFill>
              <a:latin typeface="Garamond" panose="02020404030301010803" pitchFamily="18" charset="0"/>
            </a:rPr>
            <a:t>(Scenario 1 &amp; 2)</a:t>
          </a:r>
          <a:endParaRPr lang="en-US" sz="1000" b="1" i="1" kern="1200">
            <a:solidFill>
              <a:srgbClr val="3E2C42"/>
            </a:solidFill>
            <a:latin typeface="Garamond" panose="02020404030301010803" pitchFamily="18" charset="0"/>
          </a:endParaRPr>
        </a:p>
      </dsp:txBody>
      <dsp:txXfrm>
        <a:off x="3083881" y="16933"/>
        <a:ext cx="1488284" cy="507046"/>
      </dsp:txXfrm>
    </dsp:sp>
    <dsp:sp modelId="{85255E18-CC27-463B-9B20-E9493D15432B}">
      <dsp:nvSpPr>
        <dsp:cNvPr id="0" name=""/>
        <dsp:cNvSpPr/>
      </dsp:nvSpPr>
      <dsp:spPr>
        <a:xfrm>
          <a:off x="4623607" y="16933"/>
          <a:ext cx="1488284" cy="507046"/>
        </a:xfrm>
        <a:prstGeom prst="rect">
          <a:avLst/>
        </a:prstGeom>
        <a:solidFill>
          <a:srgbClr val="EBD9E2"/>
        </a:solidFill>
        <a:ln w="9525" cap="flat" cmpd="sng" algn="ctr">
          <a:solidFill>
            <a:srgbClr val="3E2C4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solidFill>
                <a:srgbClr val="3E2C42"/>
              </a:solidFill>
              <a:latin typeface="Garamond" panose="02020404030301010803" pitchFamily="18" charset="0"/>
            </a:rPr>
            <a:t>d. GoI</a:t>
          </a:r>
          <a:r>
            <a:rPr lang="en-US" sz="1000" b="0" i="1" kern="1200">
              <a:solidFill>
                <a:srgbClr val="3E2C42"/>
              </a:solidFill>
              <a:latin typeface="Garamond" panose="02020404030301010803" pitchFamily="18" charset="0"/>
            </a:rPr>
            <a:t> makes gains against Da'esh and reforms </a:t>
          </a:r>
          <a:r>
            <a:rPr lang="en-US" sz="1000" b="1" i="1" kern="1200">
              <a:solidFill>
                <a:srgbClr val="3E2C42"/>
              </a:solidFill>
              <a:latin typeface="Garamond" panose="02020404030301010803" pitchFamily="18" charset="0"/>
            </a:rPr>
            <a:t>(Scenario 3) </a:t>
          </a:r>
        </a:p>
      </dsp:txBody>
      <dsp:txXfrm>
        <a:off x="4623607" y="16933"/>
        <a:ext cx="1488284" cy="50704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086-22EB-4FE7-9D37-EF346854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19942</Words>
  <Characters>121649</Characters>
  <Application>Microsoft Office Word</Application>
  <DocSecurity>4</DocSecurity>
  <Lines>1013</Lines>
  <Paragraphs>282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141309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michael.shaw@aktisstrategy.com</dc:creator>
  <cp:lastModifiedBy>Josefine Jesta Lilja Jensen</cp:lastModifiedBy>
  <cp:revision>2</cp:revision>
  <cp:lastPrinted>2016-08-18T12:57:00Z</cp:lastPrinted>
  <dcterms:created xsi:type="dcterms:W3CDTF">2017-12-05T13:48:00Z</dcterms:created>
  <dcterms:modified xsi:type="dcterms:W3CDTF">2017-12-05T13:48:00Z</dcterms:modified>
</cp:coreProperties>
</file>