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94B26" w14:textId="77777777" w:rsidR="00BB52C0" w:rsidRPr="000D4055" w:rsidRDefault="00BB52C0" w:rsidP="00BB52C0">
      <w:pPr>
        <w:pStyle w:val="Title"/>
        <w:rPr>
          <w:rStyle w:val="Strong"/>
          <w:rFonts w:ascii="Calibri" w:hAnsi="Calibri" w:cs="Calibri"/>
          <w:b/>
          <w:color w:val="auto"/>
          <w:sz w:val="32"/>
          <w:szCs w:val="32"/>
        </w:rPr>
      </w:pPr>
      <w:r w:rsidRPr="000D4055">
        <w:rPr>
          <w:rStyle w:val="Strong"/>
          <w:rFonts w:ascii="Calibri" w:hAnsi="Calibri" w:cs="Calibri"/>
          <w:b/>
          <w:color w:val="auto"/>
          <w:sz w:val="32"/>
          <w:szCs w:val="32"/>
        </w:rPr>
        <w:t xml:space="preserve">Terms of Reference </w:t>
      </w:r>
    </w:p>
    <w:p w14:paraId="3624979E" w14:textId="77777777" w:rsidR="00BB52C0" w:rsidRPr="000D4055" w:rsidRDefault="00BB52C0" w:rsidP="00BB52C0">
      <w:pPr>
        <w:rPr>
          <w:rFonts w:ascii="Calibri" w:eastAsiaTheme="majorEastAsia" w:hAnsi="Calibri" w:cs="Calibri"/>
          <w:b/>
          <w:bCs/>
          <w:color w:val="17365D" w:themeColor="text2" w:themeShade="BF"/>
          <w:spacing w:val="5"/>
          <w:kern w:val="28"/>
          <w:sz w:val="24"/>
          <w:szCs w:val="24"/>
        </w:rPr>
      </w:pPr>
    </w:p>
    <w:p w14:paraId="34D965AF" w14:textId="77777777" w:rsidR="00C51594" w:rsidRPr="000D4055" w:rsidRDefault="00BB52C0" w:rsidP="00BB52C0">
      <w:pPr>
        <w:rPr>
          <w:rFonts w:ascii="Calibri" w:eastAsiaTheme="majorEastAsia" w:hAnsi="Calibri" w:cs="Calibri"/>
          <w:b/>
          <w:bCs/>
          <w:spacing w:val="5"/>
          <w:kern w:val="28"/>
          <w:sz w:val="24"/>
          <w:szCs w:val="24"/>
        </w:rPr>
      </w:pPr>
      <w:r w:rsidRPr="000D4055">
        <w:rPr>
          <w:rFonts w:ascii="Calibri" w:eastAsiaTheme="majorEastAsia" w:hAnsi="Calibri" w:cs="Calibri"/>
          <w:b/>
          <w:bCs/>
          <w:spacing w:val="5"/>
          <w:kern w:val="28"/>
          <w:sz w:val="24"/>
          <w:szCs w:val="24"/>
        </w:rPr>
        <w:t xml:space="preserve">Energy Partnership Programme between </w:t>
      </w:r>
      <w:r w:rsidR="0021682C">
        <w:rPr>
          <w:rFonts w:ascii="Calibri" w:eastAsiaTheme="majorEastAsia" w:hAnsi="Calibri" w:cs="Calibri"/>
          <w:b/>
          <w:bCs/>
          <w:spacing w:val="5"/>
          <w:kern w:val="28"/>
          <w:sz w:val="24"/>
          <w:szCs w:val="24"/>
        </w:rPr>
        <w:t>Vietnam</w:t>
      </w:r>
      <w:r w:rsidRPr="000D4055">
        <w:rPr>
          <w:rFonts w:ascii="Calibri" w:eastAsiaTheme="majorEastAsia" w:hAnsi="Calibri" w:cs="Calibri"/>
          <w:b/>
          <w:bCs/>
          <w:spacing w:val="5"/>
          <w:kern w:val="28"/>
          <w:sz w:val="24"/>
          <w:szCs w:val="24"/>
        </w:rPr>
        <w:t xml:space="preserve"> and Denmark</w:t>
      </w:r>
    </w:p>
    <w:p w14:paraId="131EC9E3" w14:textId="77777777" w:rsidR="00C51594" w:rsidRPr="000D4055" w:rsidRDefault="00C51594" w:rsidP="00F562F8">
      <w:pPr>
        <w:rPr>
          <w:rFonts w:ascii="Calibri" w:hAnsi="Calibri" w:cs="Calibri"/>
        </w:rPr>
      </w:pPr>
    </w:p>
    <w:tbl>
      <w:tblPr>
        <w:tblStyle w:val="TableGrid"/>
        <w:tblW w:w="9464" w:type="dxa"/>
        <w:shd w:val="clear" w:color="auto" w:fill="D1F9F4" w:themeFill="background2" w:themeFillTint="33"/>
        <w:tblLook w:val="04A0" w:firstRow="1" w:lastRow="0" w:firstColumn="1" w:lastColumn="0" w:noHBand="0" w:noVBand="1"/>
      </w:tblPr>
      <w:tblGrid>
        <w:gridCol w:w="9464"/>
      </w:tblGrid>
      <w:tr w:rsidR="008A656B" w:rsidRPr="000D4055" w14:paraId="1F29381F" w14:textId="77777777" w:rsidTr="007D3861">
        <w:trPr>
          <w:trHeight w:val="447"/>
        </w:trPr>
        <w:tc>
          <w:tcPr>
            <w:tcW w:w="9464" w:type="dxa"/>
            <w:shd w:val="clear" w:color="auto" w:fill="D1F9F4" w:themeFill="background2" w:themeFillTint="33"/>
          </w:tcPr>
          <w:p w14:paraId="1F33BEBE" w14:textId="16244FEF" w:rsidR="008A656B" w:rsidRPr="00782391" w:rsidRDefault="008F7204" w:rsidP="003479FE">
            <w:pPr>
              <w:spacing w:before="60"/>
              <w:rPr>
                <w:rFonts w:ascii="Calibri" w:hAnsi="Calibri" w:cs="Calibri"/>
                <w:smallCaps/>
                <w:sz w:val="32"/>
                <w:szCs w:val="32"/>
              </w:rPr>
            </w:pPr>
            <w:r w:rsidRPr="000D4055">
              <w:rPr>
                <w:rFonts w:ascii="Calibri" w:eastAsiaTheme="majorEastAsia" w:hAnsi="Calibri" w:cs="Calibri"/>
                <w:b/>
                <w:bCs/>
                <w:spacing w:val="5"/>
                <w:kern w:val="28"/>
                <w:szCs w:val="24"/>
              </w:rPr>
              <w:t>Project T</w:t>
            </w:r>
            <w:r w:rsidR="00914B15" w:rsidRPr="000D4055">
              <w:rPr>
                <w:rFonts w:ascii="Calibri" w:eastAsiaTheme="majorEastAsia" w:hAnsi="Calibri" w:cs="Calibri"/>
                <w:b/>
                <w:bCs/>
                <w:spacing w:val="5"/>
                <w:kern w:val="28"/>
                <w:szCs w:val="24"/>
              </w:rPr>
              <w:t>itle</w:t>
            </w:r>
            <w:r w:rsidRPr="000D4055">
              <w:rPr>
                <w:rFonts w:ascii="Calibri" w:eastAsiaTheme="majorEastAsia" w:hAnsi="Calibri" w:cs="Calibri"/>
                <w:b/>
                <w:bCs/>
                <w:spacing w:val="5"/>
                <w:kern w:val="28"/>
                <w:szCs w:val="24"/>
              </w:rPr>
              <w:t xml:space="preserve">: </w:t>
            </w:r>
            <w:r w:rsidRPr="000D4055">
              <w:rPr>
                <w:rFonts w:ascii="Calibri" w:hAnsi="Calibri" w:cs="Calibri"/>
                <w:b/>
                <w:smallCaps/>
                <w:sz w:val="24"/>
                <w:szCs w:val="24"/>
              </w:rPr>
              <w:br/>
            </w:r>
            <w:r w:rsidR="00156600">
              <w:rPr>
                <w:rFonts w:ascii="Cambria" w:hAnsi="Cambria" w:cs="Calibri"/>
                <w:b/>
                <w:bCs/>
                <w:iCs/>
                <w:smallCaps/>
                <w:sz w:val="32"/>
                <w:szCs w:val="32"/>
              </w:rPr>
              <w:t xml:space="preserve">Specialist support on </w:t>
            </w:r>
            <w:r w:rsidR="003479FE">
              <w:rPr>
                <w:rFonts w:ascii="Cambria" w:hAnsi="Cambria" w:cs="Calibri"/>
                <w:b/>
                <w:bCs/>
                <w:iCs/>
                <w:smallCaps/>
                <w:sz w:val="32"/>
                <w:szCs w:val="32"/>
              </w:rPr>
              <w:t>capacity development for renewable energy integration</w:t>
            </w:r>
          </w:p>
        </w:tc>
      </w:tr>
    </w:tbl>
    <w:p w14:paraId="0B5AC07A" w14:textId="77777777" w:rsidR="00617F91" w:rsidRPr="000D4055" w:rsidRDefault="00617F91" w:rsidP="00F562F8">
      <w:pPr>
        <w:rPr>
          <w:rFonts w:ascii="Calibri" w:hAnsi="Calibri" w:cs="Calibri"/>
        </w:rPr>
      </w:pPr>
    </w:p>
    <w:tbl>
      <w:tblPr>
        <w:tblStyle w:val="TableGrid"/>
        <w:tblW w:w="9464" w:type="dxa"/>
        <w:tblLook w:val="04A0" w:firstRow="1" w:lastRow="0" w:firstColumn="1" w:lastColumn="0" w:noHBand="0" w:noVBand="1"/>
      </w:tblPr>
      <w:tblGrid>
        <w:gridCol w:w="2547"/>
        <w:gridCol w:w="6917"/>
      </w:tblGrid>
      <w:tr w:rsidR="0030300A" w:rsidRPr="008C1339" w14:paraId="384AB74F" w14:textId="77777777" w:rsidTr="002B672C">
        <w:trPr>
          <w:trHeight w:val="447"/>
        </w:trPr>
        <w:tc>
          <w:tcPr>
            <w:tcW w:w="9464" w:type="dxa"/>
            <w:gridSpan w:val="2"/>
            <w:shd w:val="clear" w:color="auto" w:fill="75F1FF" w:themeFill="accent1" w:themeFillTint="66"/>
          </w:tcPr>
          <w:p w14:paraId="3396B92D" w14:textId="77777777" w:rsidR="0030300A" w:rsidRPr="008C1339" w:rsidRDefault="0030300A" w:rsidP="002B672C">
            <w:pPr>
              <w:spacing w:line="240" w:lineRule="auto"/>
              <w:rPr>
                <w:rFonts w:ascii="Cambria" w:hAnsi="Cambria" w:cs="Calibri"/>
                <w:b/>
                <w:i/>
              </w:rPr>
            </w:pPr>
            <w:r w:rsidRPr="008C1339">
              <w:rPr>
                <w:rFonts w:ascii="Cambria" w:hAnsi="Cambria" w:cs="Calibri"/>
                <w:b/>
              </w:rPr>
              <w:t>Partnership programme context</w:t>
            </w:r>
          </w:p>
        </w:tc>
      </w:tr>
      <w:tr w:rsidR="0030300A" w:rsidRPr="008C1339" w14:paraId="7B754254" w14:textId="77777777" w:rsidTr="002B672C">
        <w:tc>
          <w:tcPr>
            <w:tcW w:w="2547" w:type="dxa"/>
          </w:tcPr>
          <w:p w14:paraId="256721E0" w14:textId="77777777" w:rsidR="0030300A" w:rsidRPr="008C1339" w:rsidRDefault="0030300A" w:rsidP="002B672C">
            <w:pPr>
              <w:spacing w:line="240" w:lineRule="auto"/>
              <w:rPr>
                <w:rFonts w:ascii="Cambria" w:hAnsi="Cambria" w:cs="Calibri"/>
                <w:b/>
              </w:rPr>
            </w:pPr>
            <w:r w:rsidRPr="008C1339">
              <w:rPr>
                <w:rFonts w:ascii="Cambria" w:hAnsi="Cambria" w:cs="Calibri"/>
                <w:b/>
              </w:rPr>
              <w:t>Country</w:t>
            </w:r>
          </w:p>
        </w:tc>
        <w:tc>
          <w:tcPr>
            <w:tcW w:w="6917" w:type="dxa"/>
          </w:tcPr>
          <w:p w14:paraId="008B4F7E" w14:textId="77777777" w:rsidR="0030300A" w:rsidRPr="008C1339" w:rsidRDefault="0021682C" w:rsidP="002B672C">
            <w:pPr>
              <w:spacing w:line="240" w:lineRule="auto"/>
              <w:rPr>
                <w:rFonts w:ascii="Cambria" w:hAnsi="Cambria" w:cs="Calibri"/>
                <w:i/>
              </w:rPr>
            </w:pPr>
            <w:r>
              <w:rPr>
                <w:rFonts w:ascii="Cambria" w:hAnsi="Cambria" w:cs="Calibri"/>
                <w:i/>
              </w:rPr>
              <w:t>Vietnam</w:t>
            </w:r>
          </w:p>
        </w:tc>
      </w:tr>
      <w:tr w:rsidR="0030300A" w:rsidRPr="008C1339" w14:paraId="69DA70C9" w14:textId="77777777" w:rsidTr="002B672C">
        <w:tc>
          <w:tcPr>
            <w:tcW w:w="2547" w:type="dxa"/>
          </w:tcPr>
          <w:p w14:paraId="5C7E7B23" w14:textId="77777777" w:rsidR="0030300A" w:rsidRPr="008C1339" w:rsidRDefault="0030300A" w:rsidP="002B672C">
            <w:pPr>
              <w:spacing w:line="240" w:lineRule="auto"/>
              <w:rPr>
                <w:rFonts w:ascii="Cambria" w:hAnsi="Cambria" w:cs="Calibri"/>
                <w:b/>
              </w:rPr>
            </w:pPr>
            <w:r w:rsidRPr="008C1339">
              <w:rPr>
                <w:rFonts w:ascii="Cambria" w:hAnsi="Cambria" w:cs="Calibri"/>
                <w:b/>
              </w:rPr>
              <w:t>Development engagement</w:t>
            </w:r>
          </w:p>
        </w:tc>
        <w:tc>
          <w:tcPr>
            <w:tcW w:w="6917" w:type="dxa"/>
          </w:tcPr>
          <w:p w14:paraId="7B46E55F" w14:textId="77777777" w:rsidR="0030300A" w:rsidRPr="008C1339" w:rsidRDefault="0021682C" w:rsidP="002B672C">
            <w:pPr>
              <w:spacing w:line="240" w:lineRule="auto"/>
              <w:rPr>
                <w:rFonts w:ascii="Cambria" w:hAnsi="Cambria" w:cs="Calibri"/>
                <w:i/>
              </w:rPr>
            </w:pPr>
            <w:r w:rsidRPr="009A446F">
              <w:rPr>
                <w:rFonts w:ascii="Cambria" w:hAnsi="Cambria"/>
                <w:bCs/>
                <w:i/>
                <w:iCs/>
                <w:lang w:val="en-US"/>
              </w:rPr>
              <w:t>DE2: Capacity Development for Renewable Energy Integration into the Power System with ERAV</w:t>
            </w:r>
          </w:p>
        </w:tc>
      </w:tr>
      <w:tr w:rsidR="0030300A" w:rsidRPr="008C1339" w14:paraId="163630A4" w14:textId="77777777" w:rsidTr="002B672C">
        <w:tc>
          <w:tcPr>
            <w:tcW w:w="2547" w:type="dxa"/>
          </w:tcPr>
          <w:p w14:paraId="7C25B1D9" w14:textId="77777777" w:rsidR="0030300A" w:rsidRPr="008C1339" w:rsidRDefault="0030300A" w:rsidP="002B672C">
            <w:pPr>
              <w:spacing w:line="240" w:lineRule="auto"/>
              <w:rPr>
                <w:rFonts w:ascii="Cambria" w:hAnsi="Cambria" w:cs="Calibri"/>
                <w:b/>
              </w:rPr>
            </w:pPr>
            <w:r w:rsidRPr="008C1339">
              <w:rPr>
                <w:rFonts w:ascii="Cambria" w:hAnsi="Cambria" w:cs="Calibri"/>
                <w:b/>
              </w:rPr>
              <w:t>Engagement timeframe</w:t>
            </w:r>
          </w:p>
        </w:tc>
        <w:tc>
          <w:tcPr>
            <w:tcW w:w="6917" w:type="dxa"/>
          </w:tcPr>
          <w:p w14:paraId="4D24C213" w14:textId="24CCBBAF" w:rsidR="0030300A" w:rsidRPr="008C1339" w:rsidRDefault="00331BD5" w:rsidP="003479FE">
            <w:pPr>
              <w:spacing w:line="240" w:lineRule="auto"/>
              <w:rPr>
                <w:rFonts w:ascii="Cambria" w:hAnsi="Cambria" w:cs="Calibri"/>
                <w:i/>
              </w:rPr>
            </w:pPr>
            <w:r>
              <w:rPr>
                <w:rFonts w:ascii="Cambria" w:hAnsi="Cambria" w:cs="Calibri"/>
                <w:i/>
              </w:rPr>
              <w:t>01</w:t>
            </w:r>
            <w:r w:rsidR="0030300A" w:rsidRPr="0021682C">
              <w:rPr>
                <w:rFonts w:ascii="Cambria" w:hAnsi="Cambria" w:cs="Calibri"/>
                <w:i/>
              </w:rPr>
              <w:t>-</w:t>
            </w:r>
            <w:r w:rsidR="00E77860">
              <w:rPr>
                <w:rFonts w:ascii="Cambria" w:hAnsi="Cambria" w:cs="Calibri"/>
                <w:i/>
              </w:rPr>
              <w:t>1</w:t>
            </w:r>
            <w:r>
              <w:rPr>
                <w:rFonts w:ascii="Cambria" w:hAnsi="Cambria" w:cs="Calibri"/>
                <w:i/>
              </w:rPr>
              <w:t>2</w:t>
            </w:r>
            <w:r w:rsidR="0030300A" w:rsidRPr="0021682C">
              <w:rPr>
                <w:rFonts w:ascii="Cambria" w:hAnsi="Cambria" w:cs="Calibri"/>
                <w:i/>
              </w:rPr>
              <w:t>-20</w:t>
            </w:r>
            <w:r w:rsidR="0021682C" w:rsidRPr="0021682C">
              <w:rPr>
                <w:rFonts w:ascii="Cambria" w:hAnsi="Cambria" w:cs="Calibri"/>
                <w:i/>
              </w:rPr>
              <w:t>22</w:t>
            </w:r>
            <w:r w:rsidR="0030300A" w:rsidRPr="0021682C">
              <w:rPr>
                <w:rFonts w:ascii="Cambria" w:hAnsi="Cambria" w:cs="Calibri"/>
                <w:i/>
              </w:rPr>
              <w:t xml:space="preserve"> – </w:t>
            </w:r>
            <w:r w:rsidR="0021682C" w:rsidRPr="0021682C">
              <w:rPr>
                <w:rFonts w:ascii="Cambria" w:hAnsi="Cambria" w:cs="Calibri"/>
                <w:i/>
              </w:rPr>
              <w:t>3</w:t>
            </w:r>
            <w:r w:rsidR="003C4EC3">
              <w:rPr>
                <w:rFonts w:ascii="Cambria" w:hAnsi="Cambria" w:cs="Calibri"/>
                <w:i/>
              </w:rPr>
              <w:t>0</w:t>
            </w:r>
            <w:r w:rsidR="0030300A" w:rsidRPr="0021682C">
              <w:rPr>
                <w:rFonts w:ascii="Cambria" w:hAnsi="Cambria" w:cs="Calibri"/>
                <w:i/>
              </w:rPr>
              <w:t>-</w:t>
            </w:r>
            <w:r w:rsidR="003479FE">
              <w:rPr>
                <w:rFonts w:ascii="Cambria" w:hAnsi="Cambria" w:cs="Calibri"/>
                <w:i/>
              </w:rPr>
              <w:t>0</w:t>
            </w:r>
            <w:r w:rsidR="003C4EC3">
              <w:rPr>
                <w:rFonts w:ascii="Cambria" w:hAnsi="Cambria" w:cs="Calibri"/>
                <w:i/>
              </w:rPr>
              <w:t>4</w:t>
            </w:r>
            <w:r w:rsidR="0030300A" w:rsidRPr="0021682C">
              <w:rPr>
                <w:rFonts w:ascii="Cambria" w:hAnsi="Cambria" w:cs="Calibri"/>
                <w:i/>
              </w:rPr>
              <w:t>-20</w:t>
            </w:r>
            <w:r w:rsidR="003479FE">
              <w:rPr>
                <w:rFonts w:ascii="Cambria" w:hAnsi="Cambria" w:cs="Calibri"/>
                <w:i/>
              </w:rPr>
              <w:t>23</w:t>
            </w:r>
          </w:p>
        </w:tc>
      </w:tr>
      <w:tr w:rsidR="0030300A" w:rsidRPr="008C1339" w14:paraId="0C4AD5DC" w14:textId="77777777" w:rsidTr="002B672C">
        <w:tc>
          <w:tcPr>
            <w:tcW w:w="2547" w:type="dxa"/>
          </w:tcPr>
          <w:p w14:paraId="37F4BFF9" w14:textId="77777777" w:rsidR="0030300A" w:rsidRPr="008C1339" w:rsidRDefault="0030300A" w:rsidP="002B672C">
            <w:pPr>
              <w:spacing w:line="240" w:lineRule="auto"/>
              <w:rPr>
                <w:rFonts w:ascii="Cambria" w:hAnsi="Cambria" w:cs="Calibri"/>
                <w:b/>
              </w:rPr>
            </w:pPr>
            <w:r w:rsidRPr="008C1339">
              <w:rPr>
                <w:rFonts w:ascii="Cambria" w:hAnsi="Cambria" w:cs="Calibri"/>
                <w:b/>
              </w:rPr>
              <w:t>Partner(s)</w:t>
            </w:r>
          </w:p>
        </w:tc>
        <w:tc>
          <w:tcPr>
            <w:tcW w:w="6917" w:type="dxa"/>
          </w:tcPr>
          <w:p w14:paraId="4375765E" w14:textId="77777777" w:rsidR="0030300A" w:rsidRPr="008C1339" w:rsidRDefault="0021682C" w:rsidP="002B672C">
            <w:pPr>
              <w:spacing w:line="240" w:lineRule="auto"/>
              <w:rPr>
                <w:rFonts w:ascii="Cambria" w:hAnsi="Cambria" w:cs="Calibri"/>
                <w:i/>
              </w:rPr>
            </w:pPr>
            <w:r w:rsidRPr="009A446F">
              <w:rPr>
                <w:rFonts w:ascii="Cambria" w:hAnsi="Cambria" w:cs="Calibri"/>
                <w:i/>
              </w:rPr>
              <w:t>Electricity Regulatory Authority of Vietnam (ERAV)</w:t>
            </w:r>
          </w:p>
        </w:tc>
      </w:tr>
      <w:tr w:rsidR="0030300A" w:rsidRPr="008C1339" w14:paraId="0264CED6" w14:textId="77777777" w:rsidTr="002B672C">
        <w:tc>
          <w:tcPr>
            <w:tcW w:w="2547" w:type="dxa"/>
          </w:tcPr>
          <w:p w14:paraId="2DFB0701" w14:textId="77777777" w:rsidR="0030300A" w:rsidRPr="008C1339" w:rsidRDefault="0030300A" w:rsidP="002B672C">
            <w:pPr>
              <w:spacing w:line="240" w:lineRule="auto"/>
              <w:rPr>
                <w:rFonts w:ascii="Cambria" w:hAnsi="Cambria" w:cs="Calibri"/>
                <w:b/>
              </w:rPr>
            </w:pPr>
            <w:r w:rsidRPr="008C1339">
              <w:rPr>
                <w:rFonts w:ascii="Cambria" w:hAnsi="Cambria" w:cs="Calibri"/>
                <w:b/>
              </w:rPr>
              <w:t>DEA responsible</w:t>
            </w:r>
          </w:p>
        </w:tc>
        <w:tc>
          <w:tcPr>
            <w:tcW w:w="6917" w:type="dxa"/>
          </w:tcPr>
          <w:p w14:paraId="1248800B" w14:textId="3DA22998" w:rsidR="0030300A" w:rsidRPr="008C1339" w:rsidRDefault="00A67F39" w:rsidP="00A67F39">
            <w:pPr>
              <w:spacing w:line="240" w:lineRule="auto"/>
              <w:rPr>
                <w:rFonts w:ascii="Cambria" w:hAnsi="Cambria" w:cs="Calibri"/>
                <w:i/>
              </w:rPr>
            </w:pPr>
            <w:r>
              <w:rPr>
                <w:rFonts w:ascii="Cambria" w:hAnsi="Cambria" w:cs="Calibri"/>
                <w:i/>
              </w:rPr>
              <w:t>Rune Grandal</w:t>
            </w:r>
          </w:p>
        </w:tc>
      </w:tr>
      <w:tr w:rsidR="0030300A" w:rsidRPr="008C1339" w14:paraId="42729D2C" w14:textId="77777777" w:rsidTr="002B672C">
        <w:tc>
          <w:tcPr>
            <w:tcW w:w="2547" w:type="dxa"/>
          </w:tcPr>
          <w:p w14:paraId="705F9AFE" w14:textId="77777777" w:rsidR="0030300A" w:rsidRPr="008C1339" w:rsidRDefault="0030300A" w:rsidP="002B672C">
            <w:pPr>
              <w:spacing w:line="240" w:lineRule="auto"/>
              <w:rPr>
                <w:rFonts w:ascii="Cambria" w:hAnsi="Cambria" w:cs="Calibri"/>
                <w:b/>
              </w:rPr>
            </w:pPr>
            <w:r>
              <w:rPr>
                <w:rFonts w:ascii="Cambria" w:hAnsi="Cambria" w:cs="Calibri"/>
                <w:b/>
              </w:rPr>
              <w:t>DEA alias for accounting</w:t>
            </w:r>
          </w:p>
        </w:tc>
        <w:tc>
          <w:tcPr>
            <w:tcW w:w="6917" w:type="dxa"/>
          </w:tcPr>
          <w:p w14:paraId="09677B05" w14:textId="77777777" w:rsidR="0030300A" w:rsidRDefault="0021682C" w:rsidP="0030300A">
            <w:pPr>
              <w:spacing w:line="240" w:lineRule="auto"/>
              <w:rPr>
                <w:rFonts w:ascii="Cambria" w:hAnsi="Cambria" w:cs="Calibri"/>
                <w:i/>
              </w:rPr>
            </w:pPr>
            <w:r w:rsidRPr="0021682C">
              <w:rPr>
                <w:rFonts w:ascii="Cambria" w:hAnsi="Cambria" w:cs="Calibri"/>
                <w:i/>
              </w:rPr>
              <w:t>Output</w:t>
            </w:r>
            <w:r w:rsidR="00C53131">
              <w:rPr>
                <w:rFonts w:ascii="Cambria" w:hAnsi="Cambria" w:cs="Calibri"/>
                <w:i/>
              </w:rPr>
              <w:t xml:space="preserve"> </w:t>
            </w:r>
            <w:r w:rsidRPr="0021682C">
              <w:rPr>
                <w:rFonts w:ascii="Cambria" w:hAnsi="Cambria" w:cs="Calibri"/>
                <w:i/>
              </w:rPr>
              <w:t>1: 417426</w:t>
            </w:r>
          </w:p>
          <w:p w14:paraId="6F2DD0DD" w14:textId="77777777" w:rsidR="003479FE" w:rsidRDefault="003479FE" w:rsidP="0030300A">
            <w:pPr>
              <w:spacing w:line="240" w:lineRule="auto"/>
              <w:rPr>
                <w:rFonts w:ascii="Cambria" w:hAnsi="Cambria" w:cs="Calibri"/>
                <w:i/>
              </w:rPr>
            </w:pPr>
            <w:r w:rsidRPr="001B3F13">
              <w:rPr>
                <w:rFonts w:ascii="Cambria" w:hAnsi="Cambria" w:cs="Calibri"/>
                <w:i/>
              </w:rPr>
              <w:t>Output</w:t>
            </w:r>
            <w:r>
              <w:rPr>
                <w:rFonts w:ascii="Cambria" w:hAnsi="Cambria" w:cs="Calibri"/>
                <w:i/>
              </w:rPr>
              <w:t xml:space="preserve"> </w:t>
            </w:r>
            <w:r w:rsidRPr="001B3F13">
              <w:rPr>
                <w:rFonts w:ascii="Cambria" w:hAnsi="Cambria" w:cs="Calibri"/>
                <w:i/>
              </w:rPr>
              <w:t>2: 417428</w:t>
            </w:r>
          </w:p>
          <w:p w14:paraId="1EC9E569" w14:textId="5654DC42" w:rsidR="003479FE" w:rsidRPr="0021682C" w:rsidRDefault="003479FE" w:rsidP="0030300A">
            <w:pPr>
              <w:spacing w:line="240" w:lineRule="auto"/>
              <w:rPr>
                <w:rFonts w:ascii="Cambria" w:hAnsi="Cambria" w:cs="Calibri"/>
                <w:i/>
              </w:rPr>
            </w:pPr>
            <w:r w:rsidRPr="009A446F">
              <w:rPr>
                <w:rFonts w:ascii="Cambria" w:hAnsi="Cambria" w:cs="Calibri"/>
                <w:i/>
                <w:lang w:val="da-DK"/>
              </w:rPr>
              <w:t>Output</w:t>
            </w:r>
            <w:r>
              <w:rPr>
                <w:rFonts w:ascii="Cambria" w:hAnsi="Cambria" w:cs="Calibri"/>
                <w:i/>
                <w:lang w:val="da-DK"/>
              </w:rPr>
              <w:t xml:space="preserve"> </w:t>
            </w:r>
            <w:r w:rsidRPr="009A446F">
              <w:rPr>
                <w:rFonts w:ascii="Cambria" w:hAnsi="Cambria" w:cs="Calibri"/>
                <w:i/>
                <w:lang w:val="da-DK"/>
              </w:rPr>
              <w:t>3: 417430</w:t>
            </w:r>
          </w:p>
        </w:tc>
      </w:tr>
      <w:tr w:rsidR="0030300A" w:rsidRPr="008C1339" w14:paraId="6F3D2D60" w14:textId="77777777" w:rsidTr="002B672C">
        <w:tc>
          <w:tcPr>
            <w:tcW w:w="2547" w:type="dxa"/>
          </w:tcPr>
          <w:p w14:paraId="42048B62" w14:textId="77777777" w:rsidR="0030300A" w:rsidRDefault="0030300A" w:rsidP="002B672C">
            <w:pPr>
              <w:spacing w:line="240" w:lineRule="auto"/>
              <w:rPr>
                <w:rFonts w:ascii="Cambria" w:hAnsi="Cambria" w:cs="Calibri"/>
                <w:b/>
              </w:rPr>
            </w:pPr>
            <w:r>
              <w:rPr>
                <w:rFonts w:ascii="Cambria" w:hAnsi="Cambria" w:cs="Calibri"/>
                <w:b/>
              </w:rPr>
              <w:t>Framework position</w:t>
            </w:r>
          </w:p>
        </w:tc>
        <w:tc>
          <w:tcPr>
            <w:tcW w:w="6917" w:type="dxa"/>
          </w:tcPr>
          <w:p w14:paraId="436405BE" w14:textId="77777777" w:rsidR="0030300A" w:rsidRPr="0021682C" w:rsidRDefault="0021682C" w:rsidP="0021682C">
            <w:pPr>
              <w:pStyle w:val="ListParagraph"/>
              <w:numPr>
                <w:ilvl w:val="0"/>
                <w:numId w:val="38"/>
              </w:numPr>
              <w:spacing w:line="240" w:lineRule="auto"/>
              <w:rPr>
                <w:rFonts w:ascii="Cambria" w:hAnsi="Cambria" w:cs="Calibri"/>
                <w:i/>
              </w:rPr>
            </w:pPr>
            <w:r w:rsidRPr="0021682C">
              <w:rPr>
                <w:rFonts w:ascii="Cambria" w:hAnsi="Cambria" w:cs="Calibri"/>
                <w:i/>
                <w:lang w:val="en-GB"/>
              </w:rPr>
              <w:t>Energinet</w:t>
            </w:r>
          </w:p>
        </w:tc>
      </w:tr>
      <w:tr w:rsidR="0030300A" w:rsidRPr="008C1339" w14:paraId="6448E6E3" w14:textId="77777777" w:rsidTr="002B672C">
        <w:tc>
          <w:tcPr>
            <w:tcW w:w="9464" w:type="dxa"/>
            <w:gridSpan w:val="2"/>
          </w:tcPr>
          <w:p w14:paraId="1902B689" w14:textId="77777777" w:rsidR="0021682C" w:rsidRPr="00A02C79" w:rsidRDefault="0030300A" w:rsidP="0021682C">
            <w:pPr>
              <w:spacing w:line="240" w:lineRule="auto"/>
              <w:rPr>
                <w:rFonts w:ascii="Cambria" w:hAnsi="Cambria" w:cs="Calibri"/>
                <w:b/>
                <w:szCs w:val="20"/>
              </w:rPr>
            </w:pPr>
            <w:r w:rsidRPr="008C1339">
              <w:rPr>
                <w:rFonts w:ascii="Cambria" w:hAnsi="Cambria" w:cs="Calibri"/>
                <w:b/>
                <w:szCs w:val="20"/>
              </w:rPr>
              <w:t>Engagement outcome relevant for this project</w:t>
            </w:r>
          </w:p>
          <w:p w14:paraId="18216696" w14:textId="77777777" w:rsidR="0021682C" w:rsidRPr="00A02C79" w:rsidRDefault="0021682C" w:rsidP="0021682C">
            <w:pPr>
              <w:rPr>
                <w:rFonts w:ascii="Cambria" w:hAnsi="Cambria" w:cs="Calibri"/>
                <w:i/>
                <w:szCs w:val="20"/>
              </w:rPr>
            </w:pPr>
          </w:p>
          <w:tbl>
            <w:tblPr>
              <w:tblStyle w:val="TableGrid"/>
              <w:tblW w:w="8500" w:type="dxa"/>
              <w:tblLook w:val="04A0" w:firstRow="1" w:lastRow="0" w:firstColumn="1" w:lastColumn="0" w:noHBand="0" w:noVBand="1"/>
            </w:tblPr>
            <w:tblGrid>
              <w:gridCol w:w="1384"/>
              <w:gridCol w:w="851"/>
              <w:gridCol w:w="6265"/>
            </w:tblGrid>
            <w:tr w:rsidR="0021682C" w:rsidRPr="00A02C79" w14:paraId="2A89F5ED" w14:textId="77777777" w:rsidTr="002B672C">
              <w:tc>
                <w:tcPr>
                  <w:tcW w:w="2235" w:type="dxa"/>
                  <w:gridSpan w:val="2"/>
                  <w:shd w:val="clear" w:color="auto" w:fill="C6D9F1" w:themeFill="text2" w:themeFillTint="33"/>
                </w:tcPr>
                <w:p w14:paraId="5469408A" w14:textId="77777777" w:rsidR="0021682C" w:rsidRPr="00A02C79" w:rsidRDefault="0021682C" w:rsidP="0021682C">
                  <w:pPr>
                    <w:rPr>
                      <w:rFonts w:ascii="Garamond" w:hAnsi="Garamond"/>
                      <w:sz w:val="22"/>
                    </w:rPr>
                  </w:pPr>
                  <w:r w:rsidRPr="00A02C79">
                    <w:rPr>
                      <w:rFonts w:ascii="Garamond" w:hAnsi="Garamond"/>
                      <w:sz w:val="22"/>
                    </w:rPr>
                    <w:t>Outcome</w:t>
                  </w:r>
                </w:p>
              </w:tc>
              <w:tc>
                <w:tcPr>
                  <w:tcW w:w="6265" w:type="dxa"/>
                </w:tcPr>
                <w:p w14:paraId="64DDC2E0" w14:textId="77777777" w:rsidR="0021682C" w:rsidRPr="00A02C79" w:rsidRDefault="0021682C" w:rsidP="0021682C">
                  <w:pPr>
                    <w:rPr>
                      <w:rFonts w:ascii="Garamond" w:hAnsi="Garamond"/>
                      <w:sz w:val="22"/>
                    </w:rPr>
                  </w:pPr>
                  <w:r w:rsidRPr="00A02C79">
                    <w:rPr>
                      <w:rFonts w:ascii="Garamond" w:hAnsi="Garamond"/>
                      <w:sz w:val="22"/>
                    </w:rPr>
                    <w:t>Regulatory framework and flexible tools in the power system supports the efficient and secure transition towards clean energy with a rising share of electricity from variable renewable energy (VRE) sources</w:t>
                  </w:r>
                </w:p>
              </w:tc>
            </w:tr>
            <w:tr w:rsidR="0021682C" w:rsidRPr="00A02C79" w14:paraId="45C08AE4" w14:textId="77777777" w:rsidTr="002B672C">
              <w:tc>
                <w:tcPr>
                  <w:tcW w:w="2235" w:type="dxa"/>
                  <w:gridSpan w:val="2"/>
                  <w:shd w:val="clear" w:color="auto" w:fill="C6D9F1" w:themeFill="text2" w:themeFillTint="33"/>
                </w:tcPr>
                <w:p w14:paraId="09AC43D1" w14:textId="77777777" w:rsidR="0021682C" w:rsidRPr="00A02C79" w:rsidRDefault="0021682C" w:rsidP="0021682C">
                  <w:pPr>
                    <w:rPr>
                      <w:rFonts w:ascii="Garamond" w:hAnsi="Garamond"/>
                      <w:sz w:val="22"/>
                    </w:rPr>
                  </w:pPr>
                  <w:r w:rsidRPr="00A02C79">
                    <w:rPr>
                      <w:rFonts w:ascii="Garamond" w:hAnsi="Garamond"/>
                      <w:sz w:val="22"/>
                    </w:rPr>
                    <w:t>Outcome indicator</w:t>
                  </w:r>
                </w:p>
              </w:tc>
              <w:tc>
                <w:tcPr>
                  <w:tcW w:w="6265" w:type="dxa"/>
                </w:tcPr>
                <w:p w14:paraId="30B25DAD" w14:textId="77777777" w:rsidR="0021682C" w:rsidRPr="00A02C79" w:rsidRDefault="0021682C" w:rsidP="0021682C">
                  <w:pPr>
                    <w:rPr>
                      <w:rFonts w:ascii="Garamond" w:hAnsi="Garamond"/>
                      <w:sz w:val="22"/>
                    </w:rPr>
                  </w:pPr>
                  <w:r w:rsidRPr="00A02C79">
                    <w:rPr>
                      <w:rFonts w:ascii="Garamond" w:hAnsi="Garamond"/>
                      <w:sz w:val="22"/>
                    </w:rPr>
                    <w:t>Transparent regulatory framework in line with international standards in place for efficient, secure and market-based integration of variable renewable energy (VRE) generation in the power system</w:t>
                  </w:r>
                </w:p>
              </w:tc>
            </w:tr>
            <w:tr w:rsidR="0021682C" w:rsidRPr="00A02C79" w14:paraId="1A358102" w14:textId="77777777" w:rsidTr="002B672C">
              <w:tc>
                <w:tcPr>
                  <w:tcW w:w="1384" w:type="dxa"/>
                  <w:shd w:val="clear" w:color="auto" w:fill="C6D9F1" w:themeFill="text2" w:themeFillTint="33"/>
                </w:tcPr>
                <w:p w14:paraId="069D2CE4" w14:textId="77777777" w:rsidR="0021682C" w:rsidRPr="00A02C79" w:rsidRDefault="0021682C" w:rsidP="0021682C">
                  <w:pPr>
                    <w:rPr>
                      <w:rFonts w:ascii="Garamond" w:hAnsi="Garamond"/>
                      <w:sz w:val="22"/>
                    </w:rPr>
                  </w:pPr>
                  <w:r w:rsidRPr="00A02C79">
                    <w:rPr>
                      <w:rFonts w:ascii="Garamond" w:hAnsi="Garamond"/>
                      <w:sz w:val="22"/>
                    </w:rPr>
                    <w:t>Baseline</w:t>
                  </w:r>
                </w:p>
              </w:tc>
              <w:tc>
                <w:tcPr>
                  <w:tcW w:w="851" w:type="dxa"/>
                  <w:shd w:val="clear" w:color="auto" w:fill="C6D9F1" w:themeFill="text2" w:themeFillTint="33"/>
                </w:tcPr>
                <w:p w14:paraId="56CFD50F" w14:textId="77777777" w:rsidR="0021682C" w:rsidRPr="00A02C79" w:rsidRDefault="0021682C" w:rsidP="0021682C">
                  <w:pPr>
                    <w:rPr>
                      <w:rFonts w:ascii="Garamond" w:hAnsi="Garamond"/>
                      <w:sz w:val="22"/>
                    </w:rPr>
                  </w:pPr>
                  <w:r w:rsidRPr="00A02C79">
                    <w:rPr>
                      <w:rFonts w:ascii="Garamond" w:hAnsi="Garamond"/>
                      <w:sz w:val="22"/>
                    </w:rPr>
                    <w:t>Year</w:t>
                  </w:r>
                </w:p>
                <w:p w14:paraId="7E2D7D0F" w14:textId="77777777" w:rsidR="0021682C" w:rsidRPr="00A02C79" w:rsidRDefault="0021682C" w:rsidP="0021682C">
                  <w:pPr>
                    <w:rPr>
                      <w:rFonts w:ascii="Garamond" w:hAnsi="Garamond"/>
                      <w:sz w:val="22"/>
                    </w:rPr>
                  </w:pPr>
                  <w:r w:rsidRPr="00A02C79">
                    <w:rPr>
                      <w:rFonts w:ascii="Garamond" w:hAnsi="Garamond"/>
                      <w:sz w:val="22"/>
                    </w:rPr>
                    <w:t>2020</w:t>
                  </w:r>
                </w:p>
              </w:tc>
              <w:tc>
                <w:tcPr>
                  <w:tcW w:w="6265" w:type="dxa"/>
                </w:tcPr>
                <w:p w14:paraId="322395C5" w14:textId="77777777" w:rsidR="0021682C" w:rsidRPr="00A02C79" w:rsidRDefault="0021682C" w:rsidP="0021682C">
                  <w:pPr>
                    <w:rPr>
                      <w:rFonts w:ascii="Garamond" w:hAnsi="Garamond"/>
                      <w:sz w:val="22"/>
                    </w:rPr>
                  </w:pPr>
                  <w:r w:rsidRPr="00A02C79">
                    <w:rPr>
                      <w:rFonts w:ascii="Garamond" w:hAnsi="Garamond"/>
                      <w:sz w:val="22"/>
                    </w:rPr>
                    <w:t xml:space="preserve">Incomplete framework for integration of renewable energy in place. </w:t>
                  </w:r>
                </w:p>
              </w:tc>
            </w:tr>
            <w:tr w:rsidR="0021682C" w:rsidRPr="00A02C79" w14:paraId="2211F383" w14:textId="77777777" w:rsidTr="0021682C">
              <w:tc>
                <w:tcPr>
                  <w:tcW w:w="1384" w:type="dxa"/>
                  <w:tcBorders>
                    <w:bottom w:val="single" w:sz="4" w:space="0" w:color="auto"/>
                  </w:tcBorders>
                  <w:shd w:val="clear" w:color="auto" w:fill="C6D9F1" w:themeFill="text2" w:themeFillTint="33"/>
                </w:tcPr>
                <w:p w14:paraId="11A2E66C" w14:textId="77777777" w:rsidR="0021682C" w:rsidRPr="00A02C79" w:rsidRDefault="0021682C" w:rsidP="0021682C">
                  <w:pPr>
                    <w:rPr>
                      <w:rFonts w:ascii="Garamond" w:hAnsi="Garamond"/>
                      <w:sz w:val="22"/>
                    </w:rPr>
                  </w:pPr>
                  <w:r w:rsidRPr="00A02C79">
                    <w:rPr>
                      <w:rFonts w:ascii="Garamond" w:hAnsi="Garamond"/>
                      <w:sz w:val="22"/>
                    </w:rPr>
                    <w:t>Target</w:t>
                  </w:r>
                </w:p>
              </w:tc>
              <w:tc>
                <w:tcPr>
                  <w:tcW w:w="851" w:type="dxa"/>
                  <w:tcBorders>
                    <w:bottom w:val="single" w:sz="4" w:space="0" w:color="auto"/>
                  </w:tcBorders>
                  <w:shd w:val="clear" w:color="auto" w:fill="C6D9F1" w:themeFill="text2" w:themeFillTint="33"/>
                </w:tcPr>
                <w:p w14:paraId="316E75A8" w14:textId="77777777" w:rsidR="0021682C" w:rsidRPr="00A02C79" w:rsidRDefault="0021682C" w:rsidP="0021682C">
                  <w:pPr>
                    <w:rPr>
                      <w:rFonts w:ascii="Garamond" w:hAnsi="Garamond"/>
                      <w:sz w:val="22"/>
                    </w:rPr>
                  </w:pPr>
                  <w:r w:rsidRPr="00A02C79">
                    <w:rPr>
                      <w:rFonts w:ascii="Garamond" w:hAnsi="Garamond"/>
                      <w:sz w:val="22"/>
                    </w:rPr>
                    <w:t>Year</w:t>
                  </w:r>
                </w:p>
                <w:p w14:paraId="75A47F40" w14:textId="77777777" w:rsidR="0021682C" w:rsidRPr="00A02C79" w:rsidRDefault="0021682C" w:rsidP="0021682C">
                  <w:pPr>
                    <w:rPr>
                      <w:rFonts w:ascii="Garamond" w:hAnsi="Garamond"/>
                      <w:sz w:val="22"/>
                    </w:rPr>
                  </w:pPr>
                  <w:r w:rsidRPr="00A02C79">
                    <w:rPr>
                      <w:rFonts w:ascii="Garamond" w:hAnsi="Garamond"/>
                      <w:sz w:val="22"/>
                    </w:rPr>
                    <w:t>2025</w:t>
                  </w:r>
                </w:p>
              </w:tc>
              <w:tc>
                <w:tcPr>
                  <w:tcW w:w="6265" w:type="dxa"/>
                  <w:tcBorders>
                    <w:bottom w:val="single" w:sz="4" w:space="0" w:color="auto"/>
                  </w:tcBorders>
                </w:tcPr>
                <w:p w14:paraId="42B2B68E" w14:textId="77777777" w:rsidR="0021682C" w:rsidRPr="00A02C79" w:rsidRDefault="0021682C" w:rsidP="0021682C">
                  <w:pPr>
                    <w:pStyle w:val="ListParagraph"/>
                    <w:numPr>
                      <w:ilvl w:val="0"/>
                      <w:numId w:val="39"/>
                    </w:numPr>
                    <w:spacing w:after="0" w:line="240" w:lineRule="auto"/>
                    <w:ind w:left="714" w:hanging="357"/>
                    <w:jc w:val="both"/>
                    <w:rPr>
                      <w:rFonts w:ascii="Garamond" w:hAnsi="Garamond"/>
                      <w:lang w:val="en-GB"/>
                    </w:rPr>
                  </w:pPr>
                  <w:r w:rsidRPr="00A02C79">
                    <w:rPr>
                      <w:rFonts w:ascii="Garamond" w:hAnsi="Garamond"/>
                      <w:lang w:val="en-GB"/>
                    </w:rPr>
                    <w:t xml:space="preserve">Ancillary services deployment and with reliant of electricity market stakeholders for VRE integration is governed by enhanced regulatory framework. </w:t>
                  </w:r>
                </w:p>
                <w:p w14:paraId="5D124C9C" w14:textId="77777777" w:rsidR="0021682C" w:rsidRPr="00A02C79" w:rsidRDefault="0021682C" w:rsidP="0021682C">
                  <w:pPr>
                    <w:pStyle w:val="ListParagraph"/>
                    <w:numPr>
                      <w:ilvl w:val="0"/>
                      <w:numId w:val="39"/>
                    </w:numPr>
                    <w:spacing w:after="0" w:line="240" w:lineRule="auto"/>
                    <w:ind w:left="714" w:hanging="357"/>
                    <w:jc w:val="both"/>
                    <w:rPr>
                      <w:rFonts w:ascii="Garamond" w:hAnsi="Garamond"/>
                      <w:lang w:val="en-GB"/>
                    </w:rPr>
                  </w:pPr>
                  <w:r w:rsidRPr="00A02C79">
                    <w:rPr>
                      <w:rFonts w:ascii="Garamond" w:hAnsi="Garamond"/>
                      <w:lang w:val="en-GB"/>
                    </w:rPr>
                    <w:t xml:space="preserve">Increased VRE integration, system flexibility with reliant VRE forecasting, and enhanced system stability </w:t>
                  </w:r>
                </w:p>
              </w:tc>
            </w:tr>
            <w:tr w:rsidR="0021682C" w:rsidRPr="00A02C79" w14:paraId="7D38B872" w14:textId="77777777" w:rsidTr="0021682C">
              <w:tc>
                <w:tcPr>
                  <w:tcW w:w="1384" w:type="dxa"/>
                  <w:tcBorders>
                    <w:top w:val="single" w:sz="4" w:space="0" w:color="auto"/>
                    <w:left w:val="nil"/>
                    <w:bottom w:val="nil"/>
                    <w:right w:val="nil"/>
                  </w:tcBorders>
                  <w:shd w:val="clear" w:color="auto" w:fill="auto"/>
                </w:tcPr>
                <w:p w14:paraId="25B79F37" w14:textId="77777777" w:rsidR="0021682C" w:rsidRPr="0021682C" w:rsidRDefault="0021682C" w:rsidP="0021682C">
                  <w:pPr>
                    <w:rPr>
                      <w:rFonts w:ascii="Garamond" w:hAnsi="Garamond"/>
                      <w:color w:val="FFFFFF" w:themeColor="background1"/>
                      <w:sz w:val="22"/>
                    </w:rPr>
                  </w:pPr>
                </w:p>
              </w:tc>
              <w:tc>
                <w:tcPr>
                  <w:tcW w:w="851" w:type="dxa"/>
                  <w:tcBorders>
                    <w:top w:val="single" w:sz="4" w:space="0" w:color="auto"/>
                    <w:left w:val="nil"/>
                    <w:bottom w:val="nil"/>
                    <w:right w:val="nil"/>
                  </w:tcBorders>
                  <w:shd w:val="clear" w:color="auto" w:fill="auto"/>
                </w:tcPr>
                <w:p w14:paraId="1063C46B" w14:textId="77777777" w:rsidR="0021682C" w:rsidRPr="0021682C" w:rsidRDefault="0021682C" w:rsidP="0021682C">
                  <w:pPr>
                    <w:rPr>
                      <w:rFonts w:ascii="Garamond" w:hAnsi="Garamond"/>
                      <w:color w:val="FFFFFF" w:themeColor="background1"/>
                      <w:sz w:val="22"/>
                    </w:rPr>
                  </w:pPr>
                </w:p>
              </w:tc>
              <w:tc>
                <w:tcPr>
                  <w:tcW w:w="6265" w:type="dxa"/>
                  <w:tcBorders>
                    <w:top w:val="single" w:sz="4" w:space="0" w:color="auto"/>
                    <w:left w:val="nil"/>
                    <w:bottom w:val="nil"/>
                    <w:right w:val="nil"/>
                  </w:tcBorders>
                  <w:shd w:val="clear" w:color="auto" w:fill="auto"/>
                </w:tcPr>
                <w:p w14:paraId="5E7302A1" w14:textId="77777777" w:rsidR="0021682C" w:rsidRPr="0021682C" w:rsidRDefault="0021682C" w:rsidP="0021682C">
                  <w:pPr>
                    <w:pStyle w:val="ListParagraph"/>
                    <w:numPr>
                      <w:ilvl w:val="0"/>
                      <w:numId w:val="39"/>
                    </w:numPr>
                    <w:spacing w:after="0" w:line="240" w:lineRule="auto"/>
                    <w:ind w:left="714" w:hanging="357"/>
                    <w:jc w:val="both"/>
                    <w:rPr>
                      <w:rFonts w:ascii="Garamond" w:hAnsi="Garamond"/>
                      <w:color w:val="FFFFFF" w:themeColor="background1"/>
                      <w:lang w:val="en-GB"/>
                    </w:rPr>
                  </w:pPr>
                </w:p>
              </w:tc>
            </w:tr>
          </w:tbl>
          <w:p w14:paraId="0408E514" w14:textId="77777777" w:rsidR="0030300A" w:rsidRPr="008C1339" w:rsidRDefault="0030300A" w:rsidP="002B672C">
            <w:pPr>
              <w:rPr>
                <w:rFonts w:ascii="Cambria" w:hAnsi="Cambria" w:cs="Calibri"/>
                <w:i/>
                <w:szCs w:val="20"/>
              </w:rPr>
            </w:pPr>
          </w:p>
        </w:tc>
      </w:tr>
    </w:tbl>
    <w:p w14:paraId="5BCE7C43" w14:textId="77777777" w:rsidR="0021682C" w:rsidRDefault="0021682C">
      <w:r>
        <w:br w:type="page"/>
      </w:r>
    </w:p>
    <w:tbl>
      <w:tblPr>
        <w:tblStyle w:val="TableGrid"/>
        <w:tblW w:w="9464" w:type="dxa"/>
        <w:tblLook w:val="04A0" w:firstRow="1" w:lastRow="0" w:firstColumn="1" w:lastColumn="0" w:noHBand="0" w:noVBand="1"/>
      </w:tblPr>
      <w:tblGrid>
        <w:gridCol w:w="9464"/>
      </w:tblGrid>
      <w:tr w:rsidR="0030300A" w:rsidRPr="008C1339" w14:paraId="0D65E5DC" w14:textId="77777777" w:rsidTr="002B672C">
        <w:tc>
          <w:tcPr>
            <w:tcW w:w="9464" w:type="dxa"/>
          </w:tcPr>
          <w:p w14:paraId="1B820277" w14:textId="77777777" w:rsidR="0021682C" w:rsidRPr="00A02C79" w:rsidRDefault="0030300A" w:rsidP="0021682C">
            <w:pPr>
              <w:spacing w:line="240" w:lineRule="auto"/>
              <w:rPr>
                <w:rFonts w:ascii="Cambria" w:hAnsi="Cambria" w:cs="Calibri"/>
                <w:i/>
                <w:iCs/>
                <w:szCs w:val="20"/>
              </w:rPr>
            </w:pPr>
            <w:r w:rsidRPr="008C1339">
              <w:rPr>
                <w:rFonts w:ascii="Cambria" w:hAnsi="Cambria" w:cs="Calibri"/>
                <w:b/>
                <w:szCs w:val="20"/>
              </w:rPr>
              <w:lastRenderedPageBreak/>
              <w:t>Engagement output relevant for this project</w:t>
            </w:r>
          </w:p>
          <w:p w14:paraId="65A546D3" w14:textId="77777777" w:rsidR="0021682C" w:rsidRPr="00A02C79" w:rsidRDefault="0021682C" w:rsidP="0021682C">
            <w:pPr>
              <w:rPr>
                <w:rFonts w:ascii="Cambria" w:hAnsi="Cambria" w:cs="Calibri"/>
                <w:i/>
                <w:iCs/>
                <w:szCs w:val="20"/>
              </w:rPr>
            </w:pPr>
          </w:p>
          <w:tbl>
            <w:tblPr>
              <w:tblStyle w:val="TableGrid"/>
              <w:tblW w:w="8806" w:type="dxa"/>
              <w:tblLook w:val="04A0" w:firstRow="1" w:lastRow="0" w:firstColumn="1" w:lastColumn="0" w:noHBand="0" w:noVBand="1"/>
            </w:tblPr>
            <w:tblGrid>
              <w:gridCol w:w="1384"/>
              <w:gridCol w:w="851"/>
              <w:gridCol w:w="6571"/>
            </w:tblGrid>
            <w:tr w:rsidR="0021682C" w:rsidRPr="00A02C79" w14:paraId="1B192C4A" w14:textId="77777777" w:rsidTr="000A17DF">
              <w:tc>
                <w:tcPr>
                  <w:tcW w:w="2235" w:type="dxa"/>
                  <w:gridSpan w:val="2"/>
                  <w:shd w:val="clear" w:color="auto" w:fill="8DB3E2" w:themeFill="text2" w:themeFillTint="66"/>
                </w:tcPr>
                <w:p w14:paraId="109B0451" w14:textId="77777777" w:rsidR="0021682C" w:rsidRPr="00A02C79" w:rsidRDefault="0021682C" w:rsidP="0021682C">
                  <w:pPr>
                    <w:rPr>
                      <w:rFonts w:ascii="Garamond" w:hAnsi="Garamond"/>
                      <w:sz w:val="22"/>
                    </w:rPr>
                  </w:pPr>
                  <w:r w:rsidRPr="00A02C79">
                    <w:rPr>
                      <w:rFonts w:ascii="Garamond" w:hAnsi="Garamond"/>
                      <w:sz w:val="22"/>
                    </w:rPr>
                    <w:t>Output 1</w:t>
                  </w:r>
                </w:p>
              </w:tc>
              <w:tc>
                <w:tcPr>
                  <w:tcW w:w="6571" w:type="dxa"/>
                </w:tcPr>
                <w:p w14:paraId="26014DFA" w14:textId="77777777" w:rsidR="0021682C" w:rsidRPr="00A02C79" w:rsidRDefault="0021682C" w:rsidP="0021682C">
                  <w:pPr>
                    <w:rPr>
                      <w:rFonts w:ascii="Garamond" w:hAnsi="Garamond"/>
                      <w:sz w:val="22"/>
                    </w:rPr>
                  </w:pPr>
                  <w:r w:rsidRPr="00A02C79">
                    <w:rPr>
                      <w:rFonts w:ascii="Garamond" w:hAnsi="Garamond"/>
                      <w:sz w:val="22"/>
                    </w:rPr>
                    <w:t>Regulatory framework developed, to ensure the security and quality of power system operation and regulation and benchmarking of power distribution companies for increased integration of VRE</w:t>
                  </w:r>
                </w:p>
              </w:tc>
            </w:tr>
            <w:tr w:rsidR="0021682C" w:rsidRPr="00A02C79" w14:paraId="34A7E46B" w14:textId="77777777" w:rsidTr="000A17DF">
              <w:tc>
                <w:tcPr>
                  <w:tcW w:w="2235" w:type="dxa"/>
                  <w:gridSpan w:val="2"/>
                  <w:shd w:val="clear" w:color="auto" w:fill="8DB3E2" w:themeFill="text2" w:themeFillTint="66"/>
                </w:tcPr>
                <w:p w14:paraId="2FC4DCC3" w14:textId="77777777" w:rsidR="0021682C" w:rsidRPr="00A02C79" w:rsidRDefault="0021682C" w:rsidP="0021682C">
                  <w:pPr>
                    <w:rPr>
                      <w:rFonts w:ascii="Garamond" w:hAnsi="Garamond"/>
                      <w:sz w:val="22"/>
                    </w:rPr>
                  </w:pPr>
                  <w:r w:rsidRPr="00A02C79">
                    <w:rPr>
                      <w:rFonts w:ascii="Garamond" w:hAnsi="Garamond"/>
                      <w:sz w:val="22"/>
                    </w:rPr>
                    <w:t>Output indicator</w:t>
                  </w:r>
                </w:p>
              </w:tc>
              <w:tc>
                <w:tcPr>
                  <w:tcW w:w="6571" w:type="dxa"/>
                </w:tcPr>
                <w:p w14:paraId="2E56026D" w14:textId="77777777" w:rsidR="0021682C" w:rsidRPr="00A02C79" w:rsidRDefault="0021682C" w:rsidP="0021682C">
                  <w:pPr>
                    <w:rPr>
                      <w:rFonts w:ascii="Garamond" w:hAnsi="Garamond"/>
                      <w:sz w:val="22"/>
                    </w:rPr>
                  </w:pPr>
                  <w:r w:rsidRPr="00A02C79">
                    <w:rPr>
                      <w:rFonts w:ascii="Garamond" w:hAnsi="Garamond"/>
                      <w:sz w:val="22"/>
                    </w:rPr>
                    <w:t>Updated grid codes and regulations of electricity sector stakeholders such as power distribution companies, transmission companies and the system and market operator</w:t>
                  </w:r>
                </w:p>
              </w:tc>
            </w:tr>
            <w:tr w:rsidR="0021682C" w:rsidRPr="00A02C79" w14:paraId="563D9569" w14:textId="77777777" w:rsidTr="000A17DF">
              <w:tc>
                <w:tcPr>
                  <w:tcW w:w="1384" w:type="dxa"/>
                  <w:shd w:val="clear" w:color="auto" w:fill="8DB3E2" w:themeFill="text2" w:themeFillTint="66"/>
                </w:tcPr>
                <w:p w14:paraId="27F2A807" w14:textId="77777777" w:rsidR="0021682C" w:rsidRPr="00A02C79" w:rsidRDefault="0021682C" w:rsidP="0021682C">
                  <w:pPr>
                    <w:rPr>
                      <w:rFonts w:ascii="Garamond" w:hAnsi="Garamond"/>
                      <w:sz w:val="22"/>
                    </w:rPr>
                  </w:pPr>
                  <w:r w:rsidRPr="00A02C79">
                    <w:rPr>
                      <w:rFonts w:ascii="Garamond" w:hAnsi="Garamond"/>
                      <w:sz w:val="22"/>
                    </w:rPr>
                    <w:t>Baseline</w:t>
                  </w:r>
                </w:p>
              </w:tc>
              <w:tc>
                <w:tcPr>
                  <w:tcW w:w="851" w:type="dxa"/>
                  <w:shd w:val="clear" w:color="auto" w:fill="8DB3E2" w:themeFill="text2" w:themeFillTint="66"/>
                </w:tcPr>
                <w:p w14:paraId="2324CF24" w14:textId="77777777" w:rsidR="0021682C" w:rsidRPr="00A02C79" w:rsidRDefault="0021682C" w:rsidP="0021682C">
                  <w:pPr>
                    <w:rPr>
                      <w:rFonts w:ascii="Garamond" w:hAnsi="Garamond"/>
                      <w:sz w:val="22"/>
                    </w:rPr>
                  </w:pPr>
                  <w:r w:rsidRPr="00A02C79">
                    <w:rPr>
                      <w:rFonts w:ascii="Garamond" w:hAnsi="Garamond"/>
                      <w:sz w:val="22"/>
                    </w:rPr>
                    <w:t>2020</w:t>
                  </w:r>
                </w:p>
              </w:tc>
              <w:tc>
                <w:tcPr>
                  <w:tcW w:w="6571" w:type="dxa"/>
                </w:tcPr>
                <w:p w14:paraId="562B4D34" w14:textId="77777777" w:rsidR="0021682C" w:rsidRPr="00A02C79" w:rsidRDefault="0021682C" w:rsidP="0021682C">
                  <w:pPr>
                    <w:rPr>
                      <w:rFonts w:ascii="Garamond" w:hAnsi="Garamond"/>
                      <w:sz w:val="22"/>
                    </w:rPr>
                  </w:pPr>
                  <w:r w:rsidRPr="00A02C79">
                    <w:rPr>
                      <w:rFonts w:ascii="Garamond" w:hAnsi="Garamond"/>
                      <w:sz w:val="22"/>
                    </w:rPr>
                    <w:t>Grid codes partially updated, without considering new technologies (e.g. offshore wind storage etc.)</w:t>
                  </w:r>
                </w:p>
              </w:tc>
            </w:tr>
            <w:tr w:rsidR="0021682C" w:rsidRPr="00A02C79" w14:paraId="103AEF69" w14:textId="77777777" w:rsidTr="000A17DF">
              <w:tc>
                <w:tcPr>
                  <w:tcW w:w="1384" w:type="dxa"/>
                  <w:shd w:val="clear" w:color="auto" w:fill="8DB3E2" w:themeFill="text2" w:themeFillTint="66"/>
                </w:tcPr>
                <w:p w14:paraId="1399CEF7" w14:textId="77777777" w:rsidR="0021682C" w:rsidRPr="00A02C79" w:rsidRDefault="0021682C" w:rsidP="0021682C">
                  <w:pPr>
                    <w:rPr>
                      <w:rFonts w:ascii="Garamond" w:hAnsi="Garamond"/>
                      <w:sz w:val="22"/>
                    </w:rPr>
                  </w:pPr>
                  <w:r w:rsidRPr="00A02C79">
                    <w:rPr>
                      <w:rFonts w:ascii="Garamond" w:hAnsi="Garamond"/>
                      <w:sz w:val="22"/>
                    </w:rPr>
                    <w:t>Target</w:t>
                  </w:r>
                </w:p>
              </w:tc>
              <w:tc>
                <w:tcPr>
                  <w:tcW w:w="851" w:type="dxa"/>
                  <w:shd w:val="clear" w:color="auto" w:fill="8DB3E2" w:themeFill="text2" w:themeFillTint="66"/>
                </w:tcPr>
                <w:p w14:paraId="0EA589D6" w14:textId="77777777" w:rsidR="0021682C" w:rsidRPr="00A02C79" w:rsidRDefault="0021682C" w:rsidP="0021682C">
                  <w:pPr>
                    <w:rPr>
                      <w:rFonts w:ascii="Garamond" w:hAnsi="Garamond"/>
                      <w:sz w:val="22"/>
                    </w:rPr>
                  </w:pPr>
                  <w:r w:rsidRPr="00A02C79">
                    <w:rPr>
                      <w:rFonts w:ascii="Garamond" w:hAnsi="Garamond"/>
                      <w:sz w:val="22"/>
                    </w:rPr>
                    <w:t>2023</w:t>
                  </w:r>
                </w:p>
              </w:tc>
              <w:tc>
                <w:tcPr>
                  <w:tcW w:w="6571" w:type="dxa"/>
                </w:tcPr>
                <w:p w14:paraId="7FA5A1BE" w14:textId="77777777" w:rsidR="0021682C" w:rsidRPr="00A02C79" w:rsidRDefault="0021682C" w:rsidP="0021682C">
                  <w:pPr>
                    <w:rPr>
                      <w:rFonts w:ascii="Garamond" w:hAnsi="Garamond"/>
                      <w:sz w:val="22"/>
                    </w:rPr>
                  </w:pPr>
                  <w:r w:rsidRPr="00A02C79">
                    <w:rPr>
                      <w:rFonts w:ascii="Garamond" w:hAnsi="Garamond"/>
                      <w:sz w:val="22"/>
                    </w:rPr>
                    <w:t>Draft regulatory framework ready, which consider new technologies and cover electricity sector stakeholders such as power distribution companies, transmission companies and other power service companies</w:t>
                  </w:r>
                </w:p>
              </w:tc>
            </w:tr>
            <w:tr w:rsidR="0021682C" w:rsidRPr="00A02C79" w14:paraId="129C1B79" w14:textId="77777777" w:rsidTr="000A17DF">
              <w:tc>
                <w:tcPr>
                  <w:tcW w:w="1384" w:type="dxa"/>
                  <w:tcBorders>
                    <w:bottom w:val="single" w:sz="4" w:space="0" w:color="auto"/>
                  </w:tcBorders>
                  <w:shd w:val="clear" w:color="auto" w:fill="8DB3E2" w:themeFill="text2" w:themeFillTint="66"/>
                </w:tcPr>
                <w:p w14:paraId="3FFF4C83" w14:textId="77777777" w:rsidR="0021682C" w:rsidRPr="00A02C79" w:rsidRDefault="0021682C" w:rsidP="0021682C">
                  <w:pPr>
                    <w:rPr>
                      <w:rFonts w:ascii="Garamond" w:hAnsi="Garamond"/>
                      <w:sz w:val="22"/>
                    </w:rPr>
                  </w:pPr>
                  <w:r w:rsidRPr="00A02C79">
                    <w:rPr>
                      <w:rFonts w:ascii="Garamond" w:hAnsi="Garamond"/>
                      <w:sz w:val="22"/>
                    </w:rPr>
                    <w:t>Target</w:t>
                  </w:r>
                </w:p>
              </w:tc>
              <w:tc>
                <w:tcPr>
                  <w:tcW w:w="851" w:type="dxa"/>
                  <w:tcBorders>
                    <w:bottom w:val="single" w:sz="4" w:space="0" w:color="auto"/>
                  </w:tcBorders>
                  <w:shd w:val="clear" w:color="auto" w:fill="8DB3E2" w:themeFill="text2" w:themeFillTint="66"/>
                </w:tcPr>
                <w:p w14:paraId="40270E5D" w14:textId="77777777" w:rsidR="0021682C" w:rsidRPr="00A02C79" w:rsidRDefault="0021682C" w:rsidP="0021682C">
                  <w:pPr>
                    <w:rPr>
                      <w:rFonts w:ascii="Garamond" w:hAnsi="Garamond"/>
                      <w:sz w:val="22"/>
                    </w:rPr>
                  </w:pPr>
                  <w:r w:rsidRPr="00A02C79">
                    <w:rPr>
                      <w:rFonts w:ascii="Garamond" w:hAnsi="Garamond"/>
                      <w:sz w:val="22"/>
                    </w:rPr>
                    <w:t>2025</w:t>
                  </w:r>
                </w:p>
              </w:tc>
              <w:tc>
                <w:tcPr>
                  <w:tcW w:w="6571" w:type="dxa"/>
                  <w:tcBorders>
                    <w:bottom w:val="single" w:sz="4" w:space="0" w:color="auto"/>
                  </w:tcBorders>
                </w:tcPr>
                <w:p w14:paraId="355ED848" w14:textId="77777777" w:rsidR="0021682C" w:rsidRPr="00A02C79" w:rsidRDefault="0021682C" w:rsidP="0021682C">
                  <w:pPr>
                    <w:rPr>
                      <w:rFonts w:ascii="Garamond" w:hAnsi="Garamond"/>
                      <w:sz w:val="22"/>
                    </w:rPr>
                  </w:pPr>
                  <w:r w:rsidRPr="00A02C79">
                    <w:rPr>
                      <w:rFonts w:ascii="Garamond" w:hAnsi="Garamond"/>
                      <w:sz w:val="22"/>
                    </w:rPr>
                    <w:t>Enforcement and implementation of relevant regulation, including grid codes, for increased VRE integration into the grid</w:t>
                  </w:r>
                </w:p>
              </w:tc>
            </w:tr>
          </w:tbl>
          <w:p w14:paraId="15D6A91D" w14:textId="7F52F984" w:rsidR="0030300A" w:rsidRDefault="0030300A" w:rsidP="00AD7464">
            <w:pPr>
              <w:rPr>
                <w:rFonts w:ascii="Cambria" w:hAnsi="Cambria" w:cs="Calibri"/>
                <w:b/>
                <w:iCs/>
                <w:szCs w:val="20"/>
              </w:rPr>
            </w:pPr>
          </w:p>
          <w:tbl>
            <w:tblPr>
              <w:tblStyle w:val="TableGrid"/>
              <w:tblW w:w="8806" w:type="dxa"/>
              <w:tblLook w:val="04A0" w:firstRow="1" w:lastRow="0" w:firstColumn="1" w:lastColumn="0" w:noHBand="0" w:noVBand="1"/>
            </w:tblPr>
            <w:tblGrid>
              <w:gridCol w:w="1384"/>
              <w:gridCol w:w="851"/>
              <w:gridCol w:w="6571"/>
            </w:tblGrid>
            <w:tr w:rsidR="00F629A3" w:rsidRPr="00A02C79" w14:paraId="4BB2C711" w14:textId="77777777" w:rsidTr="000A17DF">
              <w:tc>
                <w:tcPr>
                  <w:tcW w:w="2235" w:type="dxa"/>
                  <w:gridSpan w:val="2"/>
                  <w:shd w:val="clear" w:color="auto" w:fill="8DB3E2" w:themeFill="text2" w:themeFillTint="66"/>
                </w:tcPr>
                <w:p w14:paraId="14A84D5B" w14:textId="77777777" w:rsidR="00F629A3" w:rsidRPr="00A02C79" w:rsidRDefault="00F629A3" w:rsidP="00F629A3">
                  <w:pPr>
                    <w:rPr>
                      <w:rFonts w:ascii="Garamond" w:hAnsi="Garamond"/>
                      <w:sz w:val="22"/>
                    </w:rPr>
                  </w:pPr>
                  <w:r w:rsidRPr="00A02C79">
                    <w:rPr>
                      <w:rFonts w:ascii="Garamond" w:hAnsi="Garamond"/>
                      <w:sz w:val="22"/>
                    </w:rPr>
                    <w:t>Output 2</w:t>
                  </w:r>
                </w:p>
              </w:tc>
              <w:tc>
                <w:tcPr>
                  <w:tcW w:w="6571" w:type="dxa"/>
                </w:tcPr>
                <w:p w14:paraId="17AC6531" w14:textId="77777777" w:rsidR="00F629A3" w:rsidRPr="00A02C79" w:rsidRDefault="00F629A3" w:rsidP="00F629A3">
                  <w:pPr>
                    <w:rPr>
                      <w:rFonts w:ascii="Garamond" w:hAnsi="Garamond"/>
                      <w:sz w:val="22"/>
                    </w:rPr>
                  </w:pPr>
                  <w:r w:rsidRPr="00A02C79">
                    <w:rPr>
                      <w:rFonts w:ascii="Garamond" w:hAnsi="Garamond"/>
                      <w:sz w:val="22"/>
                    </w:rPr>
                    <w:t>Solutions focusing on the demand side and dispatchable power generation to ensure increased integration of VRE</w:t>
                  </w:r>
                </w:p>
              </w:tc>
            </w:tr>
            <w:tr w:rsidR="00F629A3" w:rsidRPr="00A02C79" w14:paraId="51347E2F" w14:textId="77777777" w:rsidTr="000A17DF">
              <w:tc>
                <w:tcPr>
                  <w:tcW w:w="2235" w:type="dxa"/>
                  <w:gridSpan w:val="2"/>
                  <w:shd w:val="clear" w:color="auto" w:fill="8DB3E2" w:themeFill="text2" w:themeFillTint="66"/>
                </w:tcPr>
                <w:p w14:paraId="248BAED8" w14:textId="77777777" w:rsidR="00F629A3" w:rsidRPr="00A02C79" w:rsidRDefault="00F629A3" w:rsidP="00F629A3">
                  <w:pPr>
                    <w:rPr>
                      <w:rFonts w:ascii="Garamond" w:hAnsi="Garamond"/>
                      <w:sz w:val="22"/>
                    </w:rPr>
                  </w:pPr>
                  <w:r w:rsidRPr="00A02C79">
                    <w:rPr>
                      <w:rFonts w:ascii="Garamond" w:hAnsi="Garamond"/>
                      <w:sz w:val="22"/>
                    </w:rPr>
                    <w:t>Output indicator</w:t>
                  </w:r>
                </w:p>
              </w:tc>
              <w:tc>
                <w:tcPr>
                  <w:tcW w:w="6571" w:type="dxa"/>
                </w:tcPr>
                <w:p w14:paraId="1DBF5BE1" w14:textId="77777777" w:rsidR="00F629A3" w:rsidRPr="00A02C79" w:rsidRDefault="00F629A3" w:rsidP="00F629A3">
                  <w:pPr>
                    <w:rPr>
                      <w:rFonts w:ascii="Garamond" w:hAnsi="Garamond"/>
                      <w:sz w:val="22"/>
                    </w:rPr>
                  </w:pPr>
                  <w:r w:rsidRPr="00A02C79">
                    <w:rPr>
                      <w:rFonts w:ascii="Garamond" w:hAnsi="Garamond"/>
                      <w:sz w:val="22"/>
                    </w:rPr>
                    <w:t>Mechanisms to ensure optimal integration of VRE through flexibility of dispatchable power plants and demand flexibility</w:t>
                  </w:r>
                </w:p>
              </w:tc>
            </w:tr>
            <w:tr w:rsidR="00F629A3" w:rsidRPr="00A02C79" w14:paraId="7304CD3B" w14:textId="77777777" w:rsidTr="000A17DF">
              <w:tc>
                <w:tcPr>
                  <w:tcW w:w="1384" w:type="dxa"/>
                  <w:shd w:val="clear" w:color="auto" w:fill="8DB3E2" w:themeFill="text2" w:themeFillTint="66"/>
                </w:tcPr>
                <w:p w14:paraId="65D9BACC" w14:textId="77777777" w:rsidR="00F629A3" w:rsidRPr="00A02C79" w:rsidRDefault="00F629A3" w:rsidP="00F629A3">
                  <w:pPr>
                    <w:rPr>
                      <w:rFonts w:ascii="Garamond" w:hAnsi="Garamond"/>
                      <w:sz w:val="22"/>
                    </w:rPr>
                  </w:pPr>
                  <w:r w:rsidRPr="00A02C79">
                    <w:rPr>
                      <w:rFonts w:ascii="Garamond" w:hAnsi="Garamond"/>
                      <w:sz w:val="22"/>
                    </w:rPr>
                    <w:t>Baseline</w:t>
                  </w:r>
                </w:p>
              </w:tc>
              <w:tc>
                <w:tcPr>
                  <w:tcW w:w="851" w:type="dxa"/>
                  <w:shd w:val="clear" w:color="auto" w:fill="8DB3E2" w:themeFill="text2" w:themeFillTint="66"/>
                </w:tcPr>
                <w:p w14:paraId="6CE00943" w14:textId="77777777" w:rsidR="00F629A3" w:rsidRPr="00A02C79" w:rsidRDefault="00F629A3" w:rsidP="00F629A3">
                  <w:pPr>
                    <w:rPr>
                      <w:rFonts w:ascii="Garamond" w:hAnsi="Garamond"/>
                      <w:sz w:val="22"/>
                    </w:rPr>
                  </w:pPr>
                  <w:r w:rsidRPr="00A02C79">
                    <w:rPr>
                      <w:rFonts w:ascii="Garamond" w:hAnsi="Garamond"/>
                      <w:sz w:val="22"/>
                    </w:rPr>
                    <w:t>2020</w:t>
                  </w:r>
                </w:p>
              </w:tc>
              <w:tc>
                <w:tcPr>
                  <w:tcW w:w="6571" w:type="dxa"/>
                </w:tcPr>
                <w:p w14:paraId="69D0316B" w14:textId="77777777" w:rsidR="00F629A3" w:rsidRPr="00A02C79" w:rsidRDefault="00F629A3" w:rsidP="00F629A3">
                  <w:pPr>
                    <w:rPr>
                      <w:rFonts w:ascii="Garamond" w:hAnsi="Garamond"/>
                      <w:sz w:val="22"/>
                    </w:rPr>
                  </w:pPr>
                  <w:r w:rsidRPr="00A02C79">
                    <w:rPr>
                      <w:rFonts w:ascii="Garamond" w:hAnsi="Garamond"/>
                      <w:sz w:val="22"/>
                    </w:rPr>
                    <w:t>Limited incentives for demand flexibility and not applied</w:t>
                  </w:r>
                </w:p>
              </w:tc>
            </w:tr>
            <w:tr w:rsidR="00F629A3" w:rsidRPr="00A02C79" w14:paraId="7F2573D0" w14:textId="77777777" w:rsidTr="000A17DF">
              <w:tc>
                <w:tcPr>
                  <w:tcW w:w="1384" w:type="dxa"/>
                  <w:shd w:val="clear" w:color="auto" w:fill="8DB3E2" w:themeFill="text2" w:themeFillTint="66"/>
                </w:tcPr>
                <w:p w14:paraId="1A4237D6" w14:textId="77777777" w:rsidR="00F629A3" w:rsidRPr="00A02C79" w:rsidRDefault="00F629A3" w:rsidP="00F629A3">
                  <w:pPr>
                    <w:rPr>
                      <w:rFonts w:ascii="Garamond" w:hAnsi="Garamond"/>
                      <w:sz w:val="22"/>
                    </w:rPr>
                  </w:pPr>
                  <w:r w:rsidRPr="00A02C79">
                    <w:rPr>
                      <w:rFonts w:ascii="Garamond" w:hAnsi="Garamond"/>
                      <w:sz w:val="22"/>
                    </w:rPr>
                    <w:t>Target</w:t>
                  </w:r>
                </w:p>
              </w:tc>
              <w:tc>
                <w:tcPr>
                  <w:tcW w:w="851" w:type="dxa"/>
                  <w:shd w:val="clear" w:color="auto" w:fill="8DB3E2" w:themeFill="text2" w:themeFillTint="66"/>
                </w:tcPr>
                <w:p w14:paraId="7964D9B1" w14:textId="77777777" w:rsidR="00F629A3" w:rsidRPr="00A02C79" w:rsidRDefault="00F629A3" w:rsidP="00F629A3">
                  <w:pPr>
                    <w:rPr>
                      <w:rFonts w:ascii="Garamond" w:hAnsi="Garamond"/>
                      <w:sz w:val="22"/>
                    </w:rPr>
                  </w:pPr>
                  <w:r w:rsidRPr="00A02C79">
                    <w:rPr>
                      <w:rFonts w:ascii="Garamond" w:hAnsi="Garamond"/>
                      <w:sz w:val="22"/>
                    </w:rPr>
                    <w:t>2023</w:t>
                  </w:r>
                </w:p>
              </w:tc>
              <w:tc>
                <w:tcPr>
                  <w:tcW w:w="6571" w:type="dxa"/>
                </w:tcPr>
                <w:p w14:paraId="2D004A0C" w14:textId="77777777" w:rsidR="00F629A3" w:rsidRPr="00A02C79" w:rsidRDefault="00F629A3" w:rsidP="00F629A3">
                  <w:pPr>
                    <w:rPr>
                      <w:rFonts w:ascii="Garamond" w:hAnsi="Garamond"/>
                      <w:sz w:val="22"/>
                    </w:rPr>
                  </w:pPr>
                  <w:r w:rsidRPr="00A02C79">
                    <w:rPr>
                      <w:rFonts w:ascii="Garamond" w:hAnsi="Garamond"/>
                      <w:sz w:val="22"/>
                    </w:rPr>
                    <w:t>Solutions for flexibility in power generation and demand-response to allow for optimal integration of VRE</w:t>
                  </w:r>
                </w:p>
              </w:tc>
            </w:tr>
            <w:tr w:rsidR="00F629A3" w:rsidRPr="00A02C79" w14:paraId="414D04C0" w14:textId="77777777" w:rsidTr="000A17DF">
              <w:tc>
                <w:tcPr>
                  <w:tcW w:w="1384" w:type="dxa"/>
                  <w:shd w:val="clear" w:color="auto" w:fill="8DB3E2" w:themeFill="text2" w:themeFillTint="66"/>
                </w:tcPr>
                <w:p w14:paraId="5AD90160" w14:textId="77777777" w:rsidR="00F629A3" w:rsidRPr="00A02C79" w:rsidRDefault="00F629A3" w:rsidP="00F629A3">
                  <w:pPr>
                    <w:rPr>
                      <w:rFonts w:ascii="Garamond" w:hAnsi="Garamond"/>
                      <w:sz w:val="22"/>
                    </w:rPr>
                  </w:pPr>
                  <w:r w:rsidRPr="00A02C79">
                    <w:rPr>
                      <w:rFonts w:ascii="Garamond" w:hAnsi="Garamond"/>
                      <w:sz w:val="22"/>
                    </w:rPr>
                    <w:t>Target</w:t>
                  </w:r>
                </w:p>
              </w:tc>
              <w:tc>
                <w:tcPr>
                  <w:tcW w:w="851" w:type="dxa"/>
                  <w:shd w:val="clear" w:color="auto" w:fill="8DB3E2" w:themeFill="text2" w:themeFillTint="66"/>
                </w:tcPr>
                <w:p w14:paraId="5216A1CE" w14:textId="77777777" w:rsidR="00F629A3" w:rsidRPr="00A02C79" w:rsidRDefault="00F629A3" w:rsidP="00F629A3">
                  <w:pPr>
                    <w:rPr>
                      <w:rFonts w:ascii="Garamond" w:hAnsi="Garamond"/>
                      <w:sz w:val="22"/>
                    </w:rPr>
                  </w:pPr>
                  <w:r w:rsidRPr="00A02C79">
                    <w:rPr>
                      <w:rFonts w:ascii="Garamond" w:hAnsi="Garamond"/>
                      <w:sz w:val="22"/>
                    </w:rPr>
                    <w:t>2025</w:t>
                  </w:r>
                </w:p>
              </w:tc>
              <w:tc>
                <w:tcPr>
                  <w:tcW w:w="6571" w:type="dxa"/>
                </w:tcPr>
                <w:p w14:paraId="494A452F" w14:textId="77777777" w:rsidR="00F629A3" w:rsidRPr="00A02C79" w:rsidRDefault="00F629A3" w:rsidP="00F629A3">
                  <w:pPr>
                    <w:rPr>
                      <w:rFonts w:ascii="Garamond" w:hAnsi="Garamond"/>
                      <w:sz w:val="22"/>
                    </w:rPr>
                  </w:pPr>
                  <w:r w:rsidRPr="00A02C79">
                    <w:rPr>
                      <w:rFonts w:ascii="Garamond" w:hAnsi="Garamond"/>
                      <w:sz w:val="22"/>
                    </w:rPr>
                    <w:t>Optimization of VRE integration regulated through enforcement of updated mechanisms.</w:t>
                  </w:r>
                </w:p>
              </w:tc>
            </w:tr>
          </w:tbl>
          <w:p w14:paraId="3E2750FF" w14:textId="2C672617" w:rsidR="00F629A3" w:rsidRDefault="00F629A3" w:rsidP="00AD7464">
            <w:pPr>
              <w:rPr>
                <w:rFonts w:ascii="Cambria" w:hAnsi="Cambria" w:cs="Calibri"/>
                <w:b/>
                <w:iCs/>
                <w:szCs w:val="20"/>
              </w:rPr>
            </w:pPr>
          </w:p>
          <w:tbl>
            <w:tblPr>
              <w:tblStyle w:val="TableGrid"/>
              <w:tblW w:w="8789" w:type="dxa"/>
              <w:tblInd w:w="17" w:type="dxa"/>
              <w:tblLook w:val="04A0" w:firstRow="1" w:lastRow="0" w:firstColumn="1" w:lastColumn="0" w:noHBand="0" w:noVBand="1"/>
            </w:tblPr>
            <w:tblGrid>
              <w:gridCol w:w="1367"/>
              <w:gridCol w:w="851"/>
              <w:gridCol w:w="6571"/>
            </w:tblGrid>
            <w:tr w:rsidR="00F629A3" w:rsidRPr="00B57CD7" w14:paraId="7B428443" w14:textId="77777777" w:rsidTr="000A17DF">
              <w:tc>
                <w:tcPr>
                  <w:tcW w:w="2218" w:type="dxa"/>
                  <w:gridSpan w:val="2"/>
                  <w:shd w:val="clear" w:color="auto" w:fill="8DB3E2" w:themeFill="text2" w:themeFillTint="66"/>
                </w:tcPr>
                <w:p w14:paraId="35DCF68E" w14:textId="77777777" w:rsidR="00F629A3" w:rsidRPr="00B57CD7" w:rsidRDefault="00F629A3" w:rsidP="00F629A3">
                  <w:pPr>
                    <w:rPr>
                      <w:rFonts w:ascii="Garamond" w:hAnsi="Garamond"/>
                      <w:sz w:val="22"/>
                    </w:rPr>
                  </w:pPr>
                  <w:r w:rsidRPr="00B57CD7">
                    <w:rPr>
                      <w:rFonts w:ascii="Garamond" w:hAnsi="Garamond"/>
                      <w:sz w:val="22"/>
                    </w:rPr>
                    <w:t>Output 3</w:t>
                  </w:r>
                </w:p>
              </w:tc>
              <w:tc>
                <w:tcPr>
                  <w:tcW w:w="6571" w:type="dxa"/>
                </w:tcPr>
                <w:p w14:paraId="78EB705C" w14:textId="77777777" w:rsidR="00F629A3" w:rsidRPr="00B57CD7" w:rsidRDefault="00F629A3" w:rsidP="00F629A3">
                  <w:pPr>
                    <w:rPr>
                      <w:rFonts w:ascii="Garamond" w:hAnsi="Garamond"/>
                      <w:sz w:val="22"/>
                    </w:rPr>
                  </w:pPr>
                  <w:r w:rsidRPr="00B57CD7">
                    <w:rPr>
                      <w:rFonts w:ascii="Garamond" w:hAnsi="Garamond"/>
                      <w:sz w:val="22"/>
                    </w:rPr>
                    <w:t>Vietnamese power system operation capacity enhanced to ensure optimal integration of VRE into the power system</w:t>
                  </w:r>
                </w:p>
              </w:tc>
            </w:tr>
            <w:tr w:rsidR="00F629A3" w:rsidRPr="00B57CD7" w14:paraId="2EFC6248" w14:textId="77777777" w:rsidTr="000A17DF">
              <w:tc>
                <w:tcPr>
                  <w:tcW w:w="2218" w:type="dxa"/>
                  <w:gridSpan w:val="2"/>
                  <w:shd w:val="clear" w:color="auto" w:fill="8DB3E2" w:themeFill="text2" w:themeFillTint="66"/>
                </w:tcPr>
                <w:p w14:paraId="41D8EE82" w14:textId="77777777" w:rsidR="00F629A3" w:rsidRPr="00B57CD7" w:rsidRDefault="00F629A3" w:rsidP="00F629A3">
                  <w:pPr>
                    <w:rPr>
                      <w:rFonts w:ascii="Garamond" w:hAnsi="Garamond"/>
                      <w:sz w:val="22"/>
                    </w:rPr>
                  </w:pPr>
                  <w:r w:rsidRPr="00B57CD7">
                    <w:rPr>
                      <w:rFonts w:ascii="Garamond" w:hAnsi="Garamond"/>
                      <w:sz w:val="22"/>
                    </w:rPr>
                    <w:t>Output indicator</w:t>
                  </w:r>
                </w:p>
              </w:tc>
              <w:tc>
                <w:tcPr>
                  <w:tcW w:w="6571" w:type="dxa"/>
                </w:tcPr>
                <w:p w14:paraId="3A42C7EB" w14:textId="77777777" w:rsidR="00F629A3" w:rsidRPr="00B57CD7" w:rsidRDefault="00F629A3" w:rsidP="00F629A3">
                  <w:pPr>
                    <w:rPr>
                      <w:rFonts w:ascii="Garamond" w:hAnsi="Garamond"/>
                      <w:sz w:val="22"/>
                    </w:rPr>
                  </w:pPr>
                  <w:r w:rsidRPr="00B57CD7">
                    <w:rPr>
                      <w:rFonts w:ascii="Garamond" w:hAnsi="Garamond"/>
                      <w:sz w:val="22"/>
                    </w:rPr>
                    <w:t>Capacity to optimize integration of VRE into the grid</w:t>
                  </w:r>
                </w:p>
              </w:tc>
            </w:tr>
            <w:tr w:rsidR="00F629A3" w:rsidRPr="00B57CD7" w14:paraId="501975AC" w14:textId="77777777" w:rsidTr="000A17DF">
              <w:tc>
                <w:tcPr>
                  <w:tcW w:w="1367" w:type="dxa"/>
                  <w:shd w:val="clear" w:color="auto" w:fill="8DB3E2" w:themeFill="text2" w:themeFillTint="66"/>
                </w:tcPr>
                <w:p w14:paraId="23532AD1" w14:textId="77777777" w:rsidR="00F629A3" w:rsidRPr="00B57CD7" w:rsidRDefault="00F629A3" w:rsidP="00F629A3">
                  <w:pPr>
                    <w:rPr>
                      <w:rFonts w:ascii="Garamond" w:hAnsi="Garamond"/>
                      <w:sz w:val="22"/>
                    </w:rPr>
                  </w:pPr>
                  <w:r w:rsidRPr="00B57CD7">
                    <w:rPr>
                      <w:rFonts w:ascii="Garamond" w:hAnsi="Garamond"/>
                      <w:sz w:val="22"/>
                    </w:rPr>
                    <w:t>Baseline</w:t>
                  </w:r>
                </w:p>
              </w:tc>
              <w:tc>
                <w:tcPr>
                  <w:tcW w:w="851" w:type="dxa"/>
                  <w:shd w:val="clear" w:color="auto" w:fill="8DB3E2" w:themeFill="text2" w:themeFillTint="66"/>
                </w:tcPr>
                <w:p w14:paraId="489E526A" w14:textId="77777777" w:rsidR="00F629A3" w:rsidRPr="00B57CD7" w:rsidRDefault="00F629A3" w:rsidP="00F629A3">
                  <w:pPr>
                    <w:rPr>
                      <w:rFonts w:ascii="Garamond" w:hAnsi="Garamond"/>
                      <w:sz w:val="22"/>
                    </w:rPr>
                  </w:pPr>
                  <w:r w:rsidRPr="00B57CD7">
                    <w:rPr>
                      <w:rFonts w:ascii="Garamond" w:hAnsi="Garamond"/>
                      <w:sz w:val="22"/>
                    </w:rPr>
                    <w:t>2020</w:t>
                  </w:r>
                </w:p>
              </w:tc>
              <w:tc>
                <w:tcPr>
                  <w:tcW w:w="6571" w:type="dxa"/>
                </w:tcPr>
                <w:p w14:paraId="7CCC9913" w14:textId="77777777" w:rsidR="00F629A3" w:rsidRPr="00B57CD7" w:rsidRDefault="00F629A3" w:rsidP="00F629A3">
                  <w:pPr>
                    <w:rPr>
                      <w:rFonts w:ascii="Garamond" w:hAnsi="Garamond"/>
                      <w:sz w:val="22"/>
                    </w:rPr>
                  </w:pPr>
                  <w:r w:rsidRPr="00B57CD7">
                    <w:rPr>
                      <w:rFonts w:ascii="Garamond" w:hAnsi="Garamond"/>
                      <w:sz w:val="22"/>
                    </w:rPr>
                    <w:t>Currently capacity for VRE integration applied in system operation is limited</w:t>
                  </w:r>
                </w:p>
              </w:tc>
            </w:tr>
            <w:tr w:rsidR="00F629A3" w:rsidRPr="00B57CD7" w14:paraId="36BEC7C0" w14:textId="77777777" w:rsidTr="000A17DF">
              <w:tc>
                <w:tcPr>
                  <w:tcW w:w="1367" w:type="dxa"/>
                  <w:shd w:val="clear" w:color="auto" w:fill="8DB3E2" w:themeFill="text2" w:themeFillTint="66"/>
                </w:tcPr>
                <w:p w14:paraId="7BC4266A" w14:textId="77777777" w:rsidR="00F629A3" w:rsidRPr="00B57CD7" w:rsidRDefault="00F629A3" w:rsidP="00F629A3">
                  <w:pPr>
                    <w:rPr>
                      <w:rFonts w:ascii="Garamond" w:hAnsi="Garamond"/>
                      <w:sz w:val="22"/>
                    </w:rPr>
                  </w:pPr>
                  <w:r w:rsidRPr="00B57CD7">
                    <w:rPr>
                      <w:rFonts w:ascii="Garamond" w:hAnsi="Garamond"/>
                      <w:sz w:val="22"/>
                    </w:rPr>
                    <w:t>Target</w:t>
                  </w:r>
                </w:p>
              </w:tc>
              <w:tc>
                <w:tcPr>
                  <w:tcW w:w="851" w:type="dxa"/>
                  <w:shd w:val="clear" w:color="auto" w:fill="8DB3E2" w:themeFill="text2" w:themeFillTint="66"/>
                </w:tcPr>
                <w:p w14:paraId="2F02B608" w14:textId="77777777" w:rsidR="00F629A3" w:rsidRPr="00B57CD7" w:rsidRDefault="00F629A3" w:rsidP="00F629A3">
                  <w:pPr>
                    <w:rPr>
                      <w:rFonts w:ascii="Garamond" w:hAnsi="Garamond"/>
                      <w:sz w:val="22"/>
                    </w:rPr>
                  </w:pPr>
                  <w:r w:rsidRPr="00B57CD7">
                    <w:rPr>
                      <w:rFonts w:ascii="Garamond" w:hAnsi="Garamond"/>
                      <w:sz w:val="22"/>
                    </w:rPr>
                    <w:t>2023</w:t>
                  </w:r>
                </w:p>
              </w:tc>
              <w:tc>
                <w:tcPr>
                  <w:tcW w:w="6571" w:type="dxa"/>
                </w:tcPr>
                <w:p w14:paraId="160E1EC2" w14:textId="77777777" w:rsidR="00F629A3" w:rsidRPr="00B57CD7" w:rsidRDefault="00F629A3" w:rsidP="00F629A3">
                  <w:pPr>
                    <w:rPr>
                      <w:rFonts w:ascii="Garamond" w:hAnsi="Garamond"/>
                      <w:sz w:val="22"/>
                    </w:rPr>
                  </w:pPr>
                  <w:r w:rsidRPr="00B57CD7">
                    <w:rPr>
                      <w:rFonts w:ascii="Garamond" w:hAnsi="Garamond"/>
                      <w:sz w:val="22"/>
                    </w:rPr>
                    <w:t>Application of tools, e.g. forecasting and monitoring tools, for optimal VRE integration designed, ready for testing in system operation</w:t>
                  </w:r>
                </w:p>
              </w:tc>
            </w:tr>
            <w:tr w:rsidR="00F629A3" w:rsidRPr="00B57CD7" w14:paraId="52362C0E" w14:textId="77777777" w:rsidTr="000A17DF">
              <w:tc>
                <w:tcPr>
                  <w:tcW w:w="1367" w:type="dxa"/>
                  <w:tcBorders>
                    <w:bottom w:val="single" w:sz="4" w:space="0" w:color="auto"/>
                  </w:tcBorders>
                  <w:shd w:val="clear" w:color="auto" w:fill="8DB3E2" w:themeFill="text2" w:themeFillTint="66"/>
                </w:tcPr>
                <w:p w14:paraId="5001F155" w14:textId="77777777" w:rsidR="00F629A3" w:rsidRPr="00B57CD7" w:rsidRDefault="00F629A3" w:rsidP="00F629A3">
                  <w:pPr>
                    <w:rPr>
                      <w:rFonts w:ascii="Garamond" w:hAnsi="Garamond"/>
                      <w:sz w:val="22"/>
                    </w:rPr>
                  </w:pPr>
                  <w:r w:rsidRPr="00B57CD7">
                    <w:rPr>
                      <w:rFonts w:ascii="Garamond" w:hAnsi="Garamond"/>
                      <w:sz w:val="22"/>
                    </w:rPr>
                    <w:t>Target</w:t>
                  </w:r>
                </w:p>
              </w:tc>
              <w:tc>
                <w:tcPr>
                  <w:tcW w:w="851" w:type="dxa"/>
                  <w:tcBorders>
                    <w:bottom w:val="single" w:sz="4" w:space="0" w:color="auto"/>
                  </w:tcBorders>
                  <w:shd w:val="clear" w:color="auto" w:fill="8DB3E2" w:themeFill="text2" w:themeFillTint="66"/>
                </w:tcPr>
                <w:p w14:paraId="759428E3" w14:textId="77777777" w:rsidR="00F629A3" w:rsidRPr="00B57CD7" w:rsidRDefault="00F629A3" w:rsidP="00F629A3">
                  <w:pPr>
                    <w:rPr>
                      <w:rFonts w:ascii="Garamond" w:hAnsi="Garamond"/>
                      <w:sz w:val="22"/>
                    </w:rPr>
                  </w:pPr>
                  <w:r w:rsidRPr="00B57CD7">
                    <w:rPr>
                      <w:rFonts w:ascii="Garamond" w:hAnsi="Garamond"/>
                      <w:sz w:val="22"/>
                    </w:rPr>
                    <w:t>2025</w:t>
                  </w:r>
                </w:p>
              </w:tc>
              <w:tc>
                <w:tcPr>
                  <w:tcW w:w="6571" w:type="dxa"/>
                  <w:tcBorders>
                    <w:bottom w:val="single" w:sz="4" w:space="0" w:color="auto"/>
                  </w:tcBorders>
                </w:tcPr>
                <w:p w14:paraId="4FF17297" w14:textId="77777777" w:rsidR="00F629A3" w:rsidRDefault="00F629A3" w:rsidP="00F629A3">
                  <w:pPr>
                    <w:rPr>
                      <w:rFonts w:ascii="Garamond" w:hAnsi="Garamond"/>
                      <w:sz w:val="22"/>
                    </w:rPr>
                  </w:pPr>
                  <w:r w:rsidRPr="00B57CD7">
                    <w:rPr>
                      <w:rFonts w:ascii="Garamond" w:hAnsi="Garamond"/>
                      <w:sz w:val="22"/>
                    </w:rPr>
                    <w:t>Developed tools for VRE integration are applied in system operation</w:t>
                  </w:r>
                </w:p>
                <w:p w14:paraId="7CC5FADF" w14:textId="77777777" w:rsidR="00F629A3" w:rsidRPr="00B57CD7" w:rsidRDefault="00F629A3" w:rsidP="00F629A3">
                  <w:pPr>
                    <w:rPr>
                      <w:rFonts w:ascii="Garamond" w:hAnsi="Garamond"/>
                      <w:sz w:val="22"/>
                    </w:rPr>
                  </w:pPr>
                </w:p>
              </w:tc>
            </w:tr>
            <w:tr w:rsidR="000A17DF" w:rsidRPr="00B57CD7" w14:paraId="6A63C435" w14:textId="77777777" w:rsidTr="000A17DF">
              <w:tc>
                <w:tcPr>
                  <w:tcW w:w="1367" w:type="dxa"/>
                  <w:tcBorders>
                    <w:top w:val="single" w:sz="4" w:space="0" w:color="auto"/>
                    <w:left w:val="nil"/>
                    <w:bottom w:val="nil"/>
                    <w:right w:val="nil"/>
                  </w:tcBorders>
                  <w:shd w:val="clear" w:color="auto" w:fill="FFFFFF" w:themeFill="background1"/>
                </w:tcPr>
                <w:p w14:paraId="51F8E247" w14:textId="77777777" w:rsidR="000A17DF" w:rsidRPr="000A17DF" w:rsidRDefault="000A17DF" w:rsidP="00F629A3">
                  <w:pPr>
                    <w:rPr>
                      <w:rFonts w:ascii="Garamond" w:hAnsi="Garamond"/>
                      <w:color w:val="FFFFFF" w:themeColor="background1"/>
                      <w:sz w:val="22"/>
                    </w:rPr>
                  </w:pPr>
                </w:p>
              </w:tc>
              <w:tc>
                <w:tcPr>
                  <w:tcW w:w="851" w:type="dxa"/>
                  <w:tcBorders>
                    <w:top w:val="single" w:sz="4" w:space="0" w:color="auto"/>
                    <w:left w:val="nil"/>
                    <w:bottom w:val="nil"/>
                    <w:right w:val="nil"/>
                  </w:tcBorders>
                  <w:shd w:val="clear" w:color="auto" w:fill="FFFFFF" w:themeFill="background1"/>
                </w:tcPr>
                <w:p w14:paraId="540D941C" w14:textId="77777777" w:rsidR="000A17DF" w:rsidRPr="000A17DF" w:rsidRDefault="000A17DF" w:rsidP="00F629A3">
                  <w:pPr>
                    <w:rPr>
                      <w:rFonts w:ascii="Garamond" w:hAnsi="Garamond"/>
                      <w:color w:val="FFFFFF" w:themeColor="background1"/>
                      <w:sz w:val="22"/>
                    </w:rPr>
                  </w:pPr>
                </w:p>
              </w:tc>
              <w:tc>
                <w:tcPr>
                  <w:tcW w:w="6571" w:type="dxa"/>
                  <w:tcBorders>
                    <w:top w:val="single" w:sz="4" w:space="0" w:color="auto"/>
                    <w:left w:val="nil"/>
                    <w:bottom w:val="nil"/>
                    <w:right w:val="nil"/>
                  </w:tcBorders>
                  <w:shd w:val="clear" w:color="auto" w:fill="FFFFFF" w:themeFill="background1"/>
                </w:tcPr>
                <w:p w14:paraId="27F7D99A" w14:textId="77777777" w:rsidR="000A17DF" w:rsidRPr="000A17DF" w:rsidRDefault="000A17DF" w:rsidP="00F629A3">
                  <w:pPr>
                    <w:rPr>
                      <w:rFonts w:ascii="Garamond" w:hAnsi="Garamond"/>
                      <w:color w:val="FFFFFF" w:themeColor="background1"/>
                      <w:sz w:val="22"/>
                    </w:rPr>
                  </w:pPr>
                </w:p>
              </w:tc>
            </w:tr>
          </w:tbl>
          <w:p w14:paraId="09D6B838" w14:textId="5EA9094D" w:rsidR="00F629A3" w:rsidRPr="00F629A3" w:rsidRDefault="00F629A3" w:rsidP="00AD7464">
            <w:pPr>
              <w:rPr>
                <w:rFonts w:ascii="Cambria" w:hAnsi="Cambria" w:cs="Calibri"/>
                <w:b/>
                <w:iCs/>
                <w:szCs w:val="20"/>
              </w:rPr>
            </w:pPr>
          </w:p>
        </w:tc>
      </w:tr>
    </w:tbl>
    <w:p w14:paraId="192FCE2A" w14:textId="77777777" w:rsidR="0028679F" w:rsidRPr="000D4055" w:rsidRDefault="0028679F" w:rsidP="00632164">
      <w:pPr>
        <w:rPr>
          <w:rFonts w:ascii="Calibri" w:hAnsi="Calibri" w:cs="Calibri"/>
        </w:rPr>
      </w:pPr>
    </w:p>
    <w:p w14:paraId="5A04DF4C" w14:textId="1E5AD97F" w:rsidR="00363DF6" w:rsidRPr="0021682C" w:rsidRDefault="0021682C" w:rsidP="0021682C">
      <w:pPr>
        <w:keepNext/>
        <w:spacing w:after="120"/>
        <w:ind w:right="-113"/>
        <w:rPr>
          <w:rFonts w:ascii="Calibri" w:hAnsi="Calibri" w:cs="Calibri"/>
          <w:b/>
          <w:szCs w:val="20"/>
        </w:rPr>
      </w:pPr>
      <w:r>
        <w:rPr>
          <w:rFonts w:ascii="Calibri" w:hAnsi="Calibri" w:cs="Calibri"/>
          <w:b/>
          <w:szCs w:val="20"/>
        </w:rPr>
        <w:t xml:space="preserve">1. </w:t>
      </w:r>
      <w:r w:rsidR="00363DF6" w:rsidRPr="0021682C">
        <w:rPr>
          <w:rFonts w:ascii="Calibri" w:hAnsi="Calibri" w:cs="Calibri"/>
          <w:b/>
          <w:szCs w:val="20"/>
        </w:rPr>
        <w:t>Background / Context</w:t>
      </w:r>
    </w:p>
    <w:p w14:paraId="3C5CD002" w14:textId="77777777" w:rsidR="00D3615D" w:rsidRPr="000C2113" w:rsidRDefault="00D3615D" w:rsidP="0009695A">
      <w:pPr>
        <w:ind w:right="-113"/>
        <w:rPr>
          <w:rFonts w:ascii="Calibri" w:hAnsi="Calibri" w:cs="Calibri"/>
        </w:rPr>
      </w:pPr>
      <w:r w:rsidRPr="0009695A">
        <w:rPr>
          <w:rFonts w:ascii="Calibri" w:hAnsi="Calibri" w:cs="Calibri"/>
        </w:rPr>
        <w:t>The Governments of Denmark and Vietnam have a long-term cooperation history in the energy sector. Starting with the Climate Change Adaptation and Mitigation Programme during period 2009- 2015, Denmark Government supported the implementation of the Vietnam Energy Efficiency and Conservation Programme (VNEEP). In 2013, in support of the dialogue on low carbon transition, the Government of Denmark funded the “Low Carbon Transition in energy efficiency” project (LCEE) in Vietnam for the period from 2013-2017. In 2017, the two Governments agreed on a Danish Energy Partnership Programme 2017-2020 (DEPP II) to continue fruitful cooperation in the energy sector. In 2020 the two countries start a new phase of cooperation through the Danish Energy Partnership Programme 2020-2025 (DEPP III), which builds on the progress achieved and the lessons learned from DEPP II.</w:t>
      </w:r>
    </w:p>
    <w:p w14:paraId="2C77D3C6" w14:textId="0DC50DB1" w:rsidR="00D3615D" w:rsidRDefault="00D3615D" w:rsidP="00D3615D">
      <w:pPr>
        <w:ind w:right="-113"/>
        <w:rPr>
          <w:rFonts w:ascii="Calibri" w:hAnsi="Calibri" w:cs="Calibri"/>
        </w:rPr>
      </w:pPr>
      <w:r w:rsidRPr="0009695A">
        <w:rPr>
          <w:rFonts w:ascii="Calibri" w:hAnsi="Calibri" w:cs="Calibri"/>
        </w:rPr>
        <w:t>The DEPP III will be implemented through an integrated Government-to-Government cooperation approach (continued from DEPP II), designed to provide mainly technical assistance in a peer-to</w:t>
      </w:r>
      <w:r w:rsidRPr="0009695A">
        <w:rPr>
          <w:rFonts w:ascii="Calibri" w:hAnsi="Calibri" w:cs="Calibri"/>
        </w:rPr>
        <w:softHyphen/>
      </w:r>
      <w:r>
        <w:rPr>
          <w:rFonts w:ascii="Calibri" w:hAnsi="Calibri" w:cs="Calibri"/>
        </w:rPr>
        <w:t>-</w:t>
      </w:r>
      <w:r w:rsidRPr="0009695A">
        <w:rPr>
          <w:rFonts w:ascii="Calibri" w:hAnsi="Calibri" w:cs="Calibri"/>
        </w:rPr>
        <w:t xml:space="preserve">peer manner. The programme addresses three development engagements (DEs): DE1- Capacity Development for long-range energy sector planning </w:t>
      </w:r>
      <w:r w:rsidRPr="0009695A">
        <w:rPr>
          <w:rFonts w:ascii="Calibri" w:hAnsi="Calibri" w:cs="Calibri"/>
        </w:rPr>
        <w:lastRenderedPageBreak/>
        <w:t>including offshore wind; DE2 - Capacity Development for Renewable Energy Integration into the Power System and DE3 - Low carbon development in the industrial sector.</w:t>
      </w:r>
      <w:r>
        <w:rPr>
          <w:rFonts w:ascii="Calibri" w:hAnsi="Calibri" w:cs="Calibri"/>
        </w:rPr>
        <w:t xml:space="preserve"> This assignment concerns DE2 only which includes three outputs.</w:t>
      </w:r>
    </w:p>
    <w:p w14:paraId="5B12F5A4" w14:textId="77777777" w:rsidR="00D3615D" w:rsidRPr="000C2113" w:rsidRDefault="00D3615D" w:rsidP="0009695A">
      <w:pPr>
        <w:ind w:right="-113"/>
        <w:rPr>
          <w:rFonts w:ascii="Calibri" w:hAnsi="Calibri" w:cs="Calibri"/>
        </w:rPr>
      </w:pPr>
    </w:p>
    <w:p w14:paraId="306C351B" w14:textId="6FFB46BB" w:rsidR="00D3615D" w:rsidRDefault="00D3615D" w:rsidP="00D3615D">
      <w:pPr>
        <w:ind w:right="-113"/>
        <w:rPr>
          <w:rFonts w:ascii="Calibri" w:hAnsi="Calibri" w:cs="Calibri"/>
        </w:rPr>
      </w:pPr>
      <w:r w:rsidRPr="00D3615D">
        <w:rPr>
          <w:rFonts w:ascii="Calibri" w:hAnsi="Calibri" w:cs="Calibri"/>
          <w:b/>
          <w:bCs/>
        </w:rPr>
        <w:t>Output 1</w:t>
      </w:r>
      <w:r w:rsidRPr="00A02C79">
        <w:rPr>
          <w:rFonts w:ascii="Calibri" w:hAnsi="Calibri" w:cs="Calibri"/>
        </w:rPr>
        <w:t xml:space="preserve"> will </w:t>
      </w:r>
      <w:r>
        <w:rPr>
          <w:rFonts w:ascii="Calibri" w:hAnsi="Calibri" w:cs="Calibri"/>
        </w:rPr>
        <w:t>continue</w:t>
      </w:r>
      <w:r w:rsidRPr="00A02C79">
        <w:rPr>
          <w:rFonts w:ascii="Calibri" w:hAnsi="Calibri" w:cs="Calibri"/>
        </w:rPr>
        <w:t xml:space="preserve"> the previous cooperation where Energinet </w:t>
      </w:r>
      <w:r>
        <w:rPr>
          <w:rFonts w:ascii="Calibri" w:hAnsi="Calibri" w:cs="Calibri"/>
        </w:rPr>
        <w:t xml:space="preserve">(Danish TSO) </w:t>
      </w:r>
      <w:r w:rsidRPr="00A02C79">
        <w:rPr>
          <w:rFonts w:ascii="Calibri" w:hAnsi="Calibri" w:cs="Calibri"/>
        </w:rPr>
        <w:t xml:space="preserve">provided comprehensive recommendations to a range of Vietnamese regulations. The recommendations included a new structure of the articles in the existing circulars and decision papers, several additional articles and a roadmap describing how to gradually implement the recommendations. </w:t>
      </w:r>
    </w:p>
    <w:p w14:paraId="423E2034" w14:textId="77777777" w:rsidR="00D3615D" w:rsidRDefault="00D3615D" w:rsidP="00D3615D">
      <w:pPr>
        <w:ind w:right="-113"/>
        <w:rPr>
          <w:rFonts w:ascii="Calibri" w:hAnsi="Calibri" w:cs="Calibri"/>
        </w:rPr>
      </w:pPr>
    </w:p>
    <w:p w14:paraId="64664B19" w14:textId="77777777" w:rsidR="00D3615D" w:rsidRDefault="00D3615D" w:rsidP="00D3615D">
      <w:pPr>
        <w:ind w:right="-113"/>
        <w:rPr>
          <w:rFonts w:ascii="Calibri" w:hAnsi="Calibri" w:cs="Calibri"/>
        </w:rPr>
      </w:pPr>
      <w:r w:rsidRPr="00A02C79">
        <w:rPr>
          <w:rFonts w:ascii="Calibri" w:hAnsi="Calibri" w:cs="Calibri"/>
          <w:b/>
        </w:rPr>
        <w:t xml:space="preserve">Output </w:t>
      </w:r>
      <w:r>
        <w:rPr>
          <w:rFonts w:ascii="Calibri" w:hAnsi="Calibri" w:cs="Calibri"/>
          <w:b/>
        </w:rPr>
        <w:t>2</w:t>
      </w:r>
      <w:r w:rsidRPr="00A02C79">
        <w:rPr>
          <w:rFonts w:ascii="Calibri" w:hAnsi="Calibri" w:cs="Calibri"/>
        </w:rPr>
        <w:t xml:space="preserve"> will </w:t>
      </w:r>
      <w:r>
        <w:rPr>
          <w:rFonts w:ascii="Calibri" w:hAnsi="Calibri" w:cs="Calibri"/>
        </w:rPr>
        <w:t>continue</w:t>
      </w:r>
      <w:r w:rsidRPr="00A02C79">
        <w:rPr>
          <w:rFonts w:ascii="Calibri" w:hAnsi="Calibri" w:cs="Calibri"/>
        </w:rPr>
        <w:t xml:space="preserve"> </w:t>
      </w:r>
      <w:r>
        <w:rPr>
          <w:rFonts w:ascii="Calibri" w:hAnsi="Calibri" w:cs="Calibri"/>
        </w:rPr>
        <w:t>last year’s activities</w:t>
      </w:r>
      <w:r w:rsidRPr="00A02C79">
        <w:rPr>
          <w:rFonts w:ascii="Calibri" w:hAnsi="Calibri" w:cs="Calibri"/>
        </w:rPr>
        <w:t xml:space="preserve"> where Energinet provided recommendations </w:t>
      </w:r>
      <w:r>
        <w:rPr>
          <w:rFonts w:ascii="Calibri" w:hAnsi="Calibri" w:cs="Calibri"/>
        </w:rPr>
        <w:t>on the incentives for flexibility, while the DEA have performed a study on the status for demand response in Vietnam and provided recommendations on the next steps</w:t>
      </w:r>
      <w:r w:rsidRPr="00A02C79">
        <w:rPr>
          <w:rFonts w:ascii="Calibri" w:hAnsi="Calibri" w:cs="Calibri"/>
        </w:rPr>
        <w:t xml:space="preserve">. </w:t>
      </w:r>
    </w:p>
    <w:p w14:paraId="36C4BB68" w14:textId="77777777" w:rsidR="00D3615D" w:rsidRPr="00A02C79" w:rsidRDefault="00D3615D" w:rsidP="00D3615D">
      <w:pPr>
        <w:ind w:right="-113"/>
        <w:rPr>
          <w:rFonts w:ascii="Calibri" w:hAnsi="Calibri" w:cs="Calibri"/>
        </w:rPr>
      </w:pPr>
      <w:r>
        <w:rPr>
          <w:rFonts w:ascii="Calibri" w:hAnsi="Calibri" w:cs="Calibri"/>
          <w:szCs w:val="20"/>
        </w:rPr>
        <w:t xml:space="preserve">Additionally output 2 will also </w:t>
      </w:r>
      <w:r w:rsidRPr="00A02C79">
        <w:rPr>
          <w:rFonts w:ascii="Calibri" w:hAnsi="Calibri" w:cs="Calibri"/>
        </w:rPr>
        <w:t xml:space="preserve">support ERAV in developing a more flexible power system to increase the ability to integrate variable renewables. The output will be divided in the demand side and the supply side. The demand side will cover demand-response solutions (DR) while the supply side will cover regulation for dispatchable power plants to provide flexibility to the power system and technical ability to provide flexibility. </w:t>
      </w:r>
    </w:p>
    <w:p w14:paraId="34564C7D" w14:textId="77777777" w:rsidR="00D3615D" w:rsidRPr="003620EB" w:rsidRDefault="00D3615D" w:rsidP="00D3615D">
      <w:pPr>
        <w:ind w:right="-113"/>
        <w:rPr>
          <w:rFonts w:ascii="Calibri" w:hAnsi="Calibri" w:cs="Calibri"/>
          <w:szCs w:val="20"/>
        </w:rPr>
      </w:pPr>
    </w:p>
    <w:p w14:paraId="033E6463" w14:textId="35801E60" w:rsidR="00037F26" w:rsidRDefault="00D3615D" w:rsidP="00F629A3">
      <w:pPr>
        <w:keepNext/>
        <w:spacing w:after="120"/>
        <w:ind w:right="56"/>
        <w:rPr>
          <w:rFonts w:ascii="Calibri" w:hAnsi="Calibri" w:cs="Calibri"/>
          <w:szCs w:val="20"/>
        </w:rPr>
      </w:pPr>
      <w:r w:rsidRPr="00260495">
        <w:rPr>
          <w:rFonts w:ascii="Calibri" w:hAnsi="Calibri" w:cs="Calibri"/>
          <w:b/>
        </w:rPr>
        <w:t xml:space="preserve">Output </w:t>
      </w:r>
      <w:r>
        <w:rPr>
          <w:rFonts w:ascii="Calibri" w:hAnsi="Calibri" w:cs="Calibri"/>
          <w:b/>
        </w:rPr>
        <w:t>3</w:t>
      </w:r>
      <w:r>
        <w:rPr>
          <w:rFonts w:ascii="Calibri" w:hAnsi="Calibri" w:cs="Calibri"/>
        </w:rPr>
        <w:t xml:space="preserve"> Will support NLDC in increasing the ability to integrate variable renewable energy in the power system</w:t>
      </w:r>
      <w:r w:rsidR="00F629A3" w:rsidRPr="00251A4F">
        <w:rPr>
          <w:rFonts w:ascii="Calibri" w:hAnsi="Calibri" w:cs="Calibri"/>
          <w:szCs w:val="20"/>
        </w:rPr>
        <w:t>.</w:t>
      </w:r>
      <w:r w:rsidR="000B560E">
        <w:rPr>
          <w:rStyle w:val="FootnoteReference"/>
          <w:rFonts w:ascii="Calibri" w:hAnsi="Calibri" w:cs="Calibri"/>
          <w:szCs w:val="20"/>
        </w:rPr>
        <w:footnoteReference w:id="1"/>
      </w:r>
    </w:p>
    <w:p w14:paraId="49892442" w14:textId="3C598BDE" w:rsidR="000B560E" w:rsidRPr="000B560E" w:rsidRDefault="000B560E" w:rsidP="0009695A">
      <w:pPr>
        <w:keepNext/>
        <w:spacing w:after="120"/>
        <w:ind w:right="56"/>
        <w:rPr>
          <w:rFonts w:ascii="Calibri" w:hAnsi="Calibri" w:cs="Calibri"/>
          <w:szCs w:val="20"/>
        </w:rPr>
      </w:pPr>
      <w:r>
        <w:rPr>
          <w:rFonts w:ascii="Calibri" w:hAnsi="Calibri" w:cs="Calibri"/>
          <w:szCs w:val="20"/>
        </w:rPr>
        <w:t>A</w:t>
      </w:r>
      <w:r w:rsidRPr="0009695A">
        <w:rPr>
          <w:rFonts w:ascii="Calibri" w:hAnsi="Calibri" w:cs="Calibri"/>
          <w:szCs w:val="20"/>
        </w:rPr>
        <w:t xml:space="preserve"> long</w:t>
      </w:r>
      <w:r>
        <w:rPr>
          <w:rFonts w:ascii="Calibri" w:hAnsi="Calibri" w:cs="Calibri"/>
          <w:szCs w:val="20"/>
        </w:rPr>
        <w:t>-</w:t>
      </w:r>
      <w:r w:rsidRPr="0009695A">
        <w:rPr>
          <w:rFonts w:ascii="Calibri" w:hAnsi="Calibri" w:cs="Calibri"/>
          <w:szCs w:val="20"/>
        </w:rPr>
        <w:t xml:space="preserve">term adviser (LTA) </w:t>
      </w:r>
      <w:r>
        <w:rPr>
          <w:rFonts w:ascii="Calibri" w:hAnsi="Calibri" w:cs="Calibri"/>
          <w:szCs w:val="20"/>
        </w:rPr>
        <w:t>is</w:t>
      </w:r>
      <w:r w:rsidRPr="0009695A">
        <w:rPr>
          <w:rFonts w:ascii="Calibri" w:hAnsi="Calibri" w:cs="Calibri"/>
          <w:szCs w:val="20"/>
        </w:rPr>
        <w:t xml:space="preserve"> support</w:t>
      </w:r>
      <w:r>
        <w:rPr>
          <w:rFonts w:ascii="Calibri" w:hAnsi="Calibri" w:cs="Calibri"/>
          <w:szCs w:val="20"/>
        </w:rPr>
        <w:t>ing</w:t>
      </w:r>
      <w:r w:rsidRPr="0009695A">
        <w:rPr>
          <w:rFonts w:ascii="Calibri" w:hAnsi="Calibri" w:cs="Calibri"/>
          <w:szCs w:val="20"/>
        </w:rPr>
        <w:t xml:space="preserve"> the implementation of the </w:t>
      </w:r>
      <w:r>
        <w:rPr>
          <w:rFonts w:ascii="Calibri" w:hAnsi="Calibri" w:cs="Calibri"/>
          <w:szCs w:val="20"/>
        </w:rPr>
        <w:t>activities</w:t>
      </w:r>
      <w:r w:rsidRPr="0009695A">
        <w:rPr>
          <w:rFonts w:ascii="Calibri" w:hAnsi="Calibri" w:cs="Calibri"/>
          <w:szCs w:val="20"/>
        </w:rPr>
        <w:t xml:space="preserve"> and supporting Vietnam’s Ministry of Industry and Trade (MOIT) on technical issues. The LTA </w:t>
      </w:r>
      <w:r>
        <w:rPr>
          <w:rFonts w:ascii="Calibri" w:hAnsi="Calibri" w:cs="Calibri"/>
          <w:szCs w:val="20"/>
        </w:rPr>
        <w:t>is a</w:t>
      </w:r>
      <w:r w:rsidRPr="0009695A">
        <w:rPr>
          <w:rFonts w:ascii="Calibri" w:hAnsi="Calibri" w:cs="Calibri"/>
          <w:szCs w:val="20"/>
        </w:rPr>
        <w:t xml:space="preserve"> full time international senior adviser and based in</w:t>
      </w:r>
      <w:r w:rsidR="009443CF">
        <w:rPr>
          <w:rFonts w:ascii="Calibri" w:hAnsi="Calibri" w:cs="Calibri"/>
          <w:szCs w:val="20"/>
        </w:rPr>
        <w:t xml:space="preserve"> the</w:t>
      </w:r>
      <w:r w:rsidRPr="0009695A">
        <w:rPr>
          <w:rFonts w:ascii="Calibri" w:hAnsi="Calibri" w:cs="Calibri"/>
          <w:szCs w:val="20"/>
        </w:rPr>
        <w:t xml:space="preserve"> </w:t>
      </w:r>
      <w:r>
        <w:rPr>
          <w:rFonts w:ascii="Calibri" w:hAnsi="Calibri" w:cs="Calibri"/>
          <w:szCs w:val="20"/>
        </w:rPr>
        <w:t>ERAV</w:t>
      </w:r>
      <w:r w:rsidRPr="0009695A">
        <w:rPr>
          <w:rFonts w:ascii="Calibri" w:hAnsi="Calibri" w:cs="Calibri"/>
          <w:szCs w:val="20"/>
        </w:rPr>
        <w:t xml:space="preserve"> office. The LTA work</w:t>
      </w:r>
      <w:r w:rsidR="0011021C">
        <w:rPr>
          <w:rFonts w:ascii="Calibri" w:hAnsi="Calibri" w:cs="Calibri"/>
          <w:szCs w:val="20"/>
        </w:rPr>
        <w:t>s</w:t>
      </w:r>
      <w:r w:rsidRPr="0009695A">
        <w:rPr>
          <w:rFonts w:ascii="Calibri" w:hAnsi="Calibri" w:cs="Calibri"/>
          <w:szCs w:val="20"/>
        </w:rPr>
        <w:t xml:space="preserve"> in close cooperation with staff members of </w:t>
      </w:r>
      <w:r w:rsidR="0011021C">
        <w:rPr>
          <w:rFonts w:ascii="Calibri" w:hAnsi="Calibri" w:cs="Calibri"/>
          <w:szCs w:val="20"/>
        </w:rPr>
        <w:t>ERAV</w:t>
      </w:r>
      <w:r w:rsidRPr="0009695A">
        <w:rPr>
          <w:rFonts w:ascii="Calibri" w:hAnsi="Calibri" w:cs="Calibri"/>
          <w:szCs w:val="20"/>
        </w:rPr>
        <w:t>, the Danish Energy Agency (DEA) and the Danish Embassy in Hanoi (EDK).</w:t>
      </w:r>
    </w:p>
    <w:p w14:paraId="2D40D5A3" w14:textId="6533CF96" w:rsidR="000B560E" w:rsidRPr="000B560E" w:rsidRDefault="0011021C" w:rsidP="0009695A">
      <w:pPr>
        <w:keepNext/>
        <w:spacing w:after="120"/>
        <w:ind w:right="56"/>
        <w:rPr>
          <w:rFonts w:ascii="Calibri" w:hAnsi="Calibri" w:cs="Calibri"/>
          <w:szCs w:val="20"/>
        </w:rPr>
      </w:pPr>
      <w:r>
        <w:rPr>
          <w:rFonts w:ascii="Calibri" w:hAnsi="Calibri" w:cs="Calibri"/>
          <w:szCs w:val="20"/>
        </w:rPr>
        <w:t>The specialist</w:t>
      </w:r>
      <w:r w:rsidR="000B560E" w:rsidRPr="0009695A">
        <w:rPr>
          <w:rFonts w:ascii="Calibri" w:hAnsi="Calibri" w:cs="Calibri"/>
          <w:szCs w:val="20"/>
        </w:rPr>
        <w:t xml:space="preserve"> is required to support </w:t>
      </w:r>
      <w:r>
        <w:rPr>
          <w:rFonts w:ascii="Calibri" w:hAnsi="Calibri" w:cs="Calibri"/>
          <w:szCs w:val="20"/>
        </w:rPr>
        <w:t>ERAV</w:t>
      </w:r>
      <w:r w:rsidR="000B560E" w:rsidRPr="0009695A">
        <w:rPr>
          <w:rFonts w:ascii="Calibri" w:hAnsi="Calibri" w:cs="Calibri"/>
          <w:szCs w:val="20"/>
        </w:rPr>
        <w:t>, DEA and the LTA in the implementation of the DE</w:t>
      </w:r>
      <w:r>
        <w:rPr>
          <w:rFonts w:ascii="Calibri" w:hAnsi="Calibri" w:cs="Calibri"/>
          <w:szCs w:val="20"/>
        </w:rPr>
        <w:t>2</w:t>
      </w:r>
      <w:r w:rsidR="000B560E" w:rsidRPr="0009695A">
        <w:rPr>
          <w:rFonts w:ascii="Calibri" w:hAnsi="Calibri" w:cs="Calibri"/>
          <w:szCs w:val="20"/>
        </w:rPr>
        <w:t xml:space="preserve"> activities based on his/her in-depth relevant technical experiences and practice understanding in Vietnam.</w:t>
      </w:r>
      <w:r w:rsidR="0009695A" w:rsidDel="0009695A">
        <w:rPr>
          <w:rFonts w:ascii="Calibri" w:hAnsi="Calibri" w:cs="Calibri"/>
          <w:szCs w:val="20"/>
        </w:rPr>
        <w:t xml:space="preserve"> </w:t>
      </w:r>
      <w:r w:rsidR="009443CF">
        <w:rPr>
          <w:rFonts w:ascii="Calibri" w:hAnsi="Calibri" w:cs="Calibri"/>
          <w:szCs w:val="20"/>
        </w:rPr>
        <w:t>And like the LTA, will be based in the</w:t>
      </w:r>
      <w:r w:rsidR="009443CF" w:rsidRPr="0009695A">
        <w:rPr>
          <w:rFonts w:ascii="Calibri" w:hAnsi="Calibri" w:cs="Calibri"/>
          <w:szCs w:val="20"/>
        </w:rPr>
        <w:t xml:space="preserve"> </w:t>
      </w:r>
      <w:r w:rsidR="009443CF">
        <w:rPr>
          <w:rFonts w:ascii="Calibri" w:hAnsi="Calibri" w:cs="Calibri"/>
          <w:szCs w:val="20"/>
        </w:rPr>
        <w:t>ERAV main</w:t>
      </w:r>
      <w:r w:rsidR="009443CF" w:rsidRPr="0009695A">
        <w:rPr>
          <w:rFonts w:ascii="Calibri" w:hAnsi="Calibri" w:cs="Calibri"/>
          <w:szCs w:val="20"/>
        </w:rPr>
        <w:t xml:space="preserve"> office</w:t>
      </w:r>
      <w:r w:rsidR="009443CF">
        <w:rPr>
          <w:rFonts w:ascii="Calibri" w:hAnsi="Calibri" w:cs="Calibri"/>
          <w:szCs w:val="20"/>
        </w:rPr>
        <w:t xml:space="preserve"> in Hanoi</w:t>
      </w:r>
      <w:r w:rsidR="009443CF" w:rsidRPr="0009695A">
        <w:rPr>
          <w:rFonts w:ascii="Calibri" w:hAnsi="Calibri" w:cs="Calibri"/>
          <w:szCs w:val="20"/>
        </w:rPr>
        <w:t>.</w:t>
      </w:r>
    </w:p>
    <w:p w14:paraId="2097F441" w14:textId="77777777" w:rsidR="00265570" w:rsidRPr="00F629A3" w:rsidRDefault="00265570" w:rsidP="00F629A3">
      <w:pPr>
        <w:keepNext/>
        <w:spacing w:after="120"/>
        <w:ind w:right="56"/>
        <w:rPr>
          <w:rFonts w:ascii="Calibri" w:hAnsi="Calibri" w:cs="Calibri"/>
          <w:szCs w:val="20"/>
        </w:rPr>
      </w:pPr>
    </w:p>
    <w:p w14:paraId="18852803" w14:textId="77777777" w:rsidR="00265570" w:rsidRDefault="00265570">
      <w:pPr>
        <w:spacing w:after="200" w:line="276" w:lineRule="auto"/>
        <w:rPr>
          <w:rFonts w:ascii="Calibri" w:hAnsi="Calibri" w:cs="Calibri"/>
          <w:b/>
          <w:szCs w:val="20"/>
        </w:rPr>
      </w:pPr>
      <w:r>
        <w:rPr>
          <w:rFonts w:ascii="Calibri" w:hAnsi="Calibri" w:cs="Calibri"/>
          <w:b/>
          <w:szCs w:val="20"/>
        </w:rPr>
        <w:br w:type="page"/>
      </w:r>
    </w:p>
    <w:p w14:paraId="0B9DE323" w14:textId="2903F971" w:rsidR="00363DF6" w:rsidRPr="000A0A1A" w:rsidRDefault="00363DF6" w:rsidP="003C32AB">
      <w:pPr>
        <w:keepNext/>
        <w:spacing w:after="120"/>
        <w:ind w:right="-113"/>
        <w:rPr>
          <w:rFonts w:ascii="Calibri" w:hAnsi="Calibri" w:cs="Calibri"/>
          <w:b/>
          <w:szCs w:val="20"/>
        </w:rPr>
      </w:pPr>
      <w:r w:rsidRPr="000A0A1A">
        <w:rPr>
          <w:rFonts w:ascii="Calibri" w:hAnsi="Calibri" w:cs="Calibri"/>
          <w:b/>
          <w:szCs w:val="20"/>
        </w:rPr>
        <w:lastRenderedPageBreak/>
        <w:t>2. Objectives of the assignment</w:t>
      </w:r>
      <w:r w:rsidRPr="000A0A1A">
        <w:rPr>
          <w:rFonts w:ascii="Calibri" w:hAnsi="Calibri" w:cs="Calibri"/>
          <w:b/>
          <w:szCs w:val="20"/>
        </w:rPr>
        <w:tab/>
      </w:r>
    </w:p>
    <w:p w14:paraId="060C28ED" w14:textId="17DF5A85" w:rsidR="00F629A3" w:rsidRDefault="009E6E87" w:rsidP="00F629A3">
      <w:pPr>
        <w:keepNext/>
        <w:spacing w:after="120"/>
        <w:ind w:right="56"/>
        <w:rPr>
          <w:rFonts w:ascii="Calibri" w:hAnsi="Calibri" w:cs="Calibri"/>
          <w:szCs w:val="20"/>
        </w:rPr>
      </w:pPr>
      <w:r w:rsidRPr="0009695A">
        <w:rPr>
          <w:rFonts w:ascii="Calibri" w:hAnsi="Calibri" w:cs="Calibri"/>
          <w:szCs w:val="20"/>
        </w:rPr>
        <w:t xml:space="preserve">The objective of this assignment for the </w:t>
      </w:r>
      <w:r>
        <w:rPr>
          <w:rFonts w:ascii="Calibri" w:hAnsi="Calibri" w:cs="Calibri"/>
          <w:szCs w:val="20"/>
        </w:rPr>
        <w:t>specialist</w:t>
      </w:r>
      <w:r w:rsidRPr="0009695A">
        <w:rPr>
          <w:rFonts w:ascii="Calibri" w:hAnsi="Calibri" w:cs="Calibri"/>
          <w:szCs w:val="20"/>
        </w:rPr>
        <w:t xml:space="preserve"> is to provide specific technical support to the implementation of the DE</w:t>
      </w:r>
      <w:r>
        <w:rPr>
          <w:rFonts w:ascii="Calibri" w:hAnsi="Calibri" w:cs="Calibri"/>
          <w:szCs w:val="20"/>
        </w:rPr>
        <w:t>2</w:t>
      </w:r>
      <w:r w:rsidRPr="0009695A">
        <w:rPr>
          <w:rFonts w:ascii="Calibri" w:hAnsi="Calibri" w:cs="Calibri"/>
          <w:szCs w:val="20"/>
        </w:rPr>
        <w:t xml:space="preserve"> activities on </w:t>
      </w:r>
      <w:r>
        <w:rPr>
          <w:rFonts w:ascii="Calibri" w:hAnsi="Calibri" w:cs="Calibri"/>
          <w:szCs w:val="20"/>
        </w:rPr>
        <w:t>integration of variable renewable energy</w:t>
      </w:r>
      <w:r w:rsidRPr="0009695A">
        <w:rPr>
          <w:rFonts w:ascii="Calibri" w:hAnsi="Calibri" w:cs="Calibri"/>
          <w:szCs w:val="20"/>
        </w:rPr>
        <w:t xml:space="preserve"> under DEPP III </w:t>
      </w:r>
      <w:r w:rsidRPr="009E6E87">
        <w:rPr>
          <w:rFonts w:ascii="Calibri" w:hAnsi="Calibri" w:cs="Calibri"/>
          <w:szCs w:val="20"/>
        </w:rPr>
        <w:t>to</w:t>
      </w:r>
      <w:r w:rsidRPr="0009695A">
        <w:rPr>
          <w:rFonts w:ascii="Calibri" w:hAnsi="Calibri" w:cs="Calibri"/>
          <w:szCs w:val="20"/>
        </w:rPr>
        <w:t xml:space="preserve"> ensure an effective transfer and adaptability of the international expertise, lessons learned and best practices to a Vietnamese context incl. providing technical inputs to the deliverables and programme outputs.</w:t>
      </w:r>
    </w:p>
    <w:p w14:paraId="77682DF9" w14:textId="77777777" w:rsidR="009E6E87" w:rsidRPr="00C53131" w:rsidRDefault="009E6E87" w:rsidP="00F629A3">
      <w:pPr>
        <w:keepNext/>
        <w:spacing w:after="120"/>
        <w:ind w:right="56"/>
        <w:rPr>
          <w:rFonts w:ascii="Calibri" w:hAnsi="Calibri" w:cs="Calibri"/>
          <w:szCs w:val="20"/>
        </w:rPr>
      </w:pPr>
    </w:p>
    <w:p w14:paraId="54D9114E" w14:textId="77777777" w:rsidR="00363DF6" w:rsidRPr="000A0A1A" w:rsidRDefault="00363DF6" w:rsidP="003C32AB">
      <w:pPr>
        <w:keepNext/>
        <w:spacing w:after="120"/>
        <w:ind w:right="-113"/>
        <w:rPr>
          <w:rFonts w:ascii="Calibri" w:hAnsi="Calibri" w:cs="Calibri"/>
          <w:b/>
          <w:szCs w:val="20"/>
        </w:rPr>
      </w:pPr>
      <w:r w:rsidRPr="000A0A1A">
        <w:rPr>
          <w:rFonts w:ascii="Calibri" w:hAnsi="Calibri" w:cs="Calibri"/>
          <w:b/>
          <w:szCs w:val="20"/>
        </w:rPr>
        <w:t>3. Tasks and activities / Scope of work</w:t>
      </w:r>
    </w:p>
    <w:p w14:paraId="2679AFFC" w14:textId="4BF0ACAF" w:rsidR="007A46DB" w:rsidRDefault="007A46DB" w:rsidP="003620EB">
      <w:pPr>
        <w:keepNext/>
        <w:spacing w:after="120"/>
        <w:ind w:right="56"/>
        <w:rPr>
          <w:rFonts w:ascii="Calibri" w:hAnsi="Calibri" w:cs="Calibri"/>
          <w:szCs w:val="20"/>
        </w:rPr>
      </w:pPr>
      <w:r>
        <w:rPr>
          <w:rFonts w:ascii="Calibri" w:hAnsi="Calibri" w:cs="Calibri"/>
          <w:szCs w:val="20"/>
        </w:rPr>
        <w:t xml:space="preserve">This Term of Reference (ToR) is addressing </w:t>
      </w:r>
      <w:r w:rsidR="003620EB">
        <w:rPr>
          <w:rFonts w:ascii="Calibri" w:hAnsi="Calibri" w:cs="Calibri"/>
          <w:szCs w:val="20"/>
        </w:rPr>
        <w:t xml:space="preserve">all 3 outputs under </w:t>
      </w:r>
      <w:r w:rsidR="009E6E87">
        <w:rPr>
          <w:rFonts w:ascii="Calibri" w:hAnsi="Calibri" w:cs="Calibri"/>
          <w:szCs w:val="20"/>
        </w:rPr>
        <w:t>DE2</w:t>
      </w:r>
      <w:r w:rsidR="003620EB">
        <w:rPr>
          <w:rFonts w:ascii="Calibri" w:hAnsi="Calibri" w:cs="Calibri"/>
          <w:szCs w:val="20"/>
        </w:rPr>
        <w:t xml:space="preserve">. It is the task of the specialist to support </w:t>
      </w:r>
      <w:r w:rsidR="00B23211">
        <w:rPr>
          <w:rFonts w:ascii="Calibri" w:hAnsi="Calibri" w:cs="Calibri"/>
          <w:szCs w:val="20"/>
        </w:rPr>
        <w:t>ERAV in carrying out and managing all activities in DE2</w:t>
      </w:r>
      <w:r w:rsidR="003620EB">
        <w:rPr>
          <w:rFonts w:ascii="Calibri" w:hAnsi="Calibri" w:cs="Calibri"/>
          <w:szCs w:val="20"/>
        </w:rPr>
        <w:t xml:space="preserve">, which revolves around </w:t>
      </w:r>
      <w:r w:rsidR="003620EB" w:rsidRPr="003620EB">
        <w:rPr>
          <w:rFonts w:ascii="Calibri" w:hAnsi="Calibri" w:cs="Calibri"/>
          <w:szCs w:val="20"/>
        </w:rPr>
        <w:t>capacity development for renewable energy integration</w:t>
      </w:r>
      <w:r w:rsidR="003620EB">
        <w:rPr>
          <w:rFonts w:ascii="Calibri" w:hAnsi="Calibri" w:cs="Calibri"/>
          <w:szCs w:val="20"/>
        </w:rPr>
        <w:t xml:space="preserve"> at ERAV and NLDC. The specialist is not key responsible for any specific output, but will support the progress of all activities agreed upon by the DE2 implementation group.</w:t>
      </w:r>
    </w:p>
    <w:p w14:paraId="65A335FA" w14:textId="6AF9C49F" w:rsidR="002F5D3C" w:rsidRDefault="0070023F" w:rsidP="0070023F">
      <w:pPr>
        <w:keepNext/>
        <w:spacing w:after="120"/>
        <w:ind w:right="56"/>
        <w:rPr>
          <w:rFonts w:ascii="Calibri" w:hAnsi="Calibri" w:cs="Calibri"/>
          <w:szCs w:val="20"/>
        </w:rPr>
      </w:pPr>
      <w:r w:rsidRPr="0009695A">
        <w:rPr>
          <w:rFonts w:ascii="Calibri" w:hAnsi="Calibri" w:cs="Calibri"/>
          <w:szCs w:val="20"/>
        </w:rPr>
        <w:t>Tasks to be performed by the specialist includes</w:t>
      </w:r>
      <w:r w:rsidRPr="0070023F">
        <w:rPr>
          <w:rFonts w:ascii="Calibri" w:hAnsi="Calibri" w:cs="Calibri"/>
          <w:szCs w:val="20"/>
        </w:rPr>
        <w:t>:</w:t>
      </w:r>
    </w:p>
    <w:p w14:paraId="3B5E73DF" w14:textId="77777777" w:rsidR="009443CF" w:rsidRDefault="009443CF" w:rsidP="0009695A">
      <w:pPr>
        <w:spacing w:line="276" w:lineRule="auto"/>
        <w:rPr>
          <w:rFonts w:ascii="Calibri" w:hAnsi="Calibri" w:cs="Calibri"/>
          <w:b/>
          <w:bCs/>
        </w:rPr>
      </w:pPr>
    </w:p>
    <w:p w14:paraId="194DC7A5" w14:textId="1B44D9A6" w:rsidR="00362E14" w:rsidRPr="0009695A" w:rsidRDefault="00362E14" w:rsidP="0009695A">
      <w:pPr>
        <w:spacing w:line="276" w:lineRule="auto"/>
        <w:rPr>
          <w:rFonts w:ascii="Calibri" w:hAnsi="Calibri" w:cs="Calibri"/>
          <w:b/>
          <w:bCs/>
          <w:szCs w:val="20"/>
        </w:rPr>
      </w:pPr>
      <w:r>
        <w:rPr>
          <w:rFonts w:ascii="Calibri" w:hAnsi="Calibri" w:cs="Calibri"/>
          <w:b/>
          <w:bCs/>
        </w:rPr>
        <w:t>Technical</w:t>
      </w:r>
    </w:p>
    <w:p w14:paraId="6961ADBC" w14:textId="6E915542" w:rsidR="0070023F" w:rsidRPr="0009695A" w:rsidRDefault="0070023F" w:rsidP="0009695A">
      <w:pPr>
        <w:pStyle w:val="ListParagraph"/>
        <w:keepNext/>
        <w:numPr>
          <w:ilvl w:val="0"/>
          <w:numId w:val="44"/>
        </w:numPr>
        <w:spacing w:after="120"/>
        <w:ind w:right="56"/>
        <w:rPr>
          <w:rFonts w:ascii="Calibri" w:hAnsi="Calibri" w:cs="Calibri"/>
          <w:sz w:val="20"/>
          <w:szCs w:val="18"/>
          <w:lang w:val="en-US"/>
        </w:rPr>
      </w:pPr>
      <w:r w:rsidRPr="0009695A">
        <w:rPr>
          <w:rFonts w:ascii="Calibri" w:hAnsi="Calibri" w:cs="Calibri"/>
          <w:sz w:val="20"/>
          <w:szCs w:val="18"/>
          <w:lang w:val="en-US"/>
        </w:rPr>
        <w:t>Provide specific technical inputs to the assessment of Vietnam’s current policy, legislation, planning and procedures related to the DE</w:t>
      </w:r>
      <w:r w:rsidR="0062698D">
        <w:rPr>
          <w:rFonts w:ascii="Calibri" w:hAnsi="Calibri" w:cs="Calibri"/>
          <w:sz w:val="20"/>
          <w:szCs w:val="18"/>
          <w:lang w:val="en-US"/>
        </w:rPr>
        <w:t>2</w:t>
      </w:r>
      <w:r w:rsidRPr="0009695A">
        <w:rPr>
          <w:rFonts w:ascii="Calibri" w:hAnsi="Calibri" w:cs="Calibri"/>
          <w:sz w:val="20"/>
          <w:szCs w:val="18"/>
          <w:lang w:val="en-US"/>
        </w:rPr>
        <w:t>.</w:t>
      </w:r>
    </w:p>
    <w:p w14:paraId="6352F6F6" w14:textId="60D7DA89" w:rsidR="0070023F" w:rsidRPr="0009695A" w:rsidRDefault="0070023F" w:rsidP="0009695A">
      <w:pPr>
        <w:pStyle w:val="ListParagraph"/>
        <w:keepNext/>
        <w:numPr>
          <w:ilvl w:val="0"/>
          <w:numId w:val="44"/>
        </w:numPr>
        <w:spacing w:after="120"/>
        <w:ind w:right="56"/>
        <w:rPr>
          <w:rFonts w:ascii="Calibri" w:hAnsi="Calibri" w:cs="Calibri"/>
          <w:sz w:val="20"/>
          <w:szCs w:val="18"/>
          <w:lang w:val="en-US"/>
        </w:rPr>
      </w:pPr>
      <w:r w:rsidRPr="0009695A">
        <w:rPr>
          <w:rFonts w:ascii="Calibri" w:hAnsi="Calibri" w:cs="Calibri"/>
          <w:sz w:val="20"/>
          <w:szCs w:val="18"/>
          <w:lang w:val="en-US"/>
        </w:rPr>
        <w:t>Provide specific technical inputs to the developments/revisions of various policies and programme-wide strategic issues in close cooperation with the DEA, EDK and the LTA.</w:t>
      </w:r>
    </w:p>
    <w:p w14:paraId="26371F96" w14:textId="1B4A6463" w:rsidR="0070023F" w:rsidRPr="0009695A" w:rsidRDefault="0070023F" w:rsidP="0009695A">
      <w:pPr>
        <w:pStyle w:val="ListParagraph"/>
        <w:keepNext/>
        <w:numPr>
          <w:ilvl w:val="0"/>
          <w:numId w:val="44"/>
        </w:numPr>
        <w:spacing w:after="120"/>
        <w:ind w:right="56"/>
        <w:rPr>
          <w:rFonts w:ascii="Calibri" w:hAnsi="Calibri" w:cs="Calibri"/>
          <w:sz w:val="20"/>
          <w:szCs w:val="20"/>
          <w:lang w:val="en-US"/>
        </w:rPr>
      </w:pPr>
      <w:r w:rsidRPr="0009695A">
        <w:rPr>
          <w:rFonts w:ascii="Calibri" w:hAnsi="Calibri" w:cs="Calibri"/>
          <w:sz w:val="20"/>
          <w:szCs w:val="18"/>
          <w:lang w:val="en-US"/>
        </w:rPr>
        <w:t>Support in consultation process of policy dialogues relevant for the partners and specific DEPP III activities as req</w:t>
      </w:r>
      <w:r w:rsidRPr="0009695A">
        <w:rPr>
          <w:rFonts w:ascii="Calibri" w:hAnsi="Calibri" w:cs="Calibri"/>
          <w:sz w:val="20"/>
          <w:szCs w:val="20"/>
          <w:lang w:val="en-US"/>
        </w:rPr>
        <w:t>uested.</w:t>
      </w:r>
    </w:p>
    <w:p w14:paraId="086F221E" w14:textId="77777777" w:rsidR="0070023F" w:rsidRPr="0009695A" w:rsidRDefault="0070023F" w:rsidP="0009695A">
      <w:pPr>
        <w:pStyle w:val="ListParagraph"/>
        <w:keepNext/>
        <w:numPr>
          <w:ilvl w:val="0"/>
          <w:numId w:val="45"/>
        </w:numPr>
        <w:spacing w:after="120"/>
        <w:ind w:right="56"/>
        <w:rPr>
          <w:rFonts w:ascii="Calibri" w:hAnsi="Calibri" w:cs="Calibri"/>
          <w:sz w:val="20"/>
          <w:szCs w:val="20"/>
          <w:lang w:val="en-US"/>
        </w:rPr>
      </w:pPr>
      <w:r w:rsidRPr="0009695A">
        <w:rPr>
          <w:rFonts w:ascii="Calibri" w:hAnsi="Calibri" w:cs="Calibri"/>
          <w:sz w:val="20"/>
          <w:szCs w:val="20"/>
          <w:lang w:val="en-US"/>
        </w:rPr>
        <w:t>Provide up-to-date information about Vietnam’s energy sector in general and specific areas of DEPP III in particular to facilitate technical missions of DEA experts, international and other local consultants.</w:t>
      </w:r>
    </w:p>
    <w:p w14:paraId="44E281C5" w14:textId="03F4C2F6" w:rsidR="00903F50" w:rsidRPr="0062698D" w:rsidRDefault="00903F50" w:rsidP="00903F50">
      <w:pPr>
        <w:pStyle w:val="ListParagraph"/>
        <w:numPr>
          <w:ilvl w:val="0"/>
          <w:numId w:val="45"/>
        </w:numPr>
        <w:spacing w:line="276" w:lineRule="auto"/>
        <w:rPr>
          <w:rFonts w:ascii="Calibri" w:hAnsi="Calibri" w:cs="Calibri"/>
          <w:sz w:val="20"/>
          <w:szCs w:val="20"/>
          <w:lang w:val="en-US"/>
        </w:rPr>
      </w:pPr>
      <w:r w:rsidRPr="00A408CC">
        <w:rPr>
          <w:rFonts w:ascii="Calibri" w:hAnsi="Calibri" w:cs="Calibri"/>
          <w:sz w:val="20"/>
          <w:szCs w:val="20"/>
          <w:lang w:val="en-US"/>
        </w:rPr>
        <w:t xml:space="preserve">In </w:t>
      </w:r>
      <w:r w:rsidRPr="0062698D">
        <w:rPr>
          <w:rFonts w:ascii="Calibri" w:hAnsi="Calibri" w:cs="Calibri"/>
          <w:sz w:val="20"/>
          <w:szCs w:val="20"/>
          <w:lang w:val="en-US"/>
        </w:rPr>
        <w:t>cooperation with the LTA</w:t>
      </w:r>
      <w:r w:rsidR="00B23211" w:rsidRPr="0062698D">
        <w:rPr>
          <w:rFonts w:ascii="Calibri" w:hAnsi="Calibri" w:cs="Calibri"/>
          <w:sz w:val="20"/>
          <w:szCs w:val="20"/>
          <w:lang w:val="en-US"/>
        </w:rPr>
        <w:t>, EDK</w:t>
      </w:r>
      <w:r w:rsidR="00A07FD7">
        <w:rPr>
          <w:rFonts w:ascii="Calibri" w:hAnsi="Calibri" w:cs="Calibri"/>
          <w:sz w:val="20"/>
          <w:szCs w:val="20"/>
          <w:lang w:val="en-US"/>
        </w:rPr>
        <w:t xml:space="preserve">, </w:t>
      </w:r>
      <w:r w:rsidR="00B23211" w:rsidRPr="0062698D">
        <w:rPr>
          <w:rFonts w:ascii="Calibri" w:hAnsi="Calibri" w:cs="Calibri"/>
          <w:sz w:val="20"/>
          <w:szCs w:val="20"/>
          <w:lang w:val="en-US"/>
        </w:rPr>
        <w:t xml:space="preserve">the DEA </w:t>
      </w:r>
      <w:r w:rsidR="00B23211">
        <w:rPr>
          <w:rFonts w:ascii="Calibri" w:hAnsi="Calibri" w:cs="Calibri"/>
          <w:sz w:val="20"/>
          <w:szCs w:val="20"/>
          <w:lang w:val="en-US"/>
        </w:rPr>
        <w:t xml:space="preserve">and </w:t>
      </w:r>
      <w:r w:rsidRPr="0062698D">
        <w:rPr>
          <w:rFonts w:ascii="Calibri" w:hAnsi="Calibri" w:cs="Calibri"/>
          <w:sz w:val="20"/>
          <w:szCs w:val="20"/>
          <w:lang w:val="en-US"/>
        </w:rPr>
        <w:t>assist ERAV</w:t>
      </w:r>
      <w:r w:rsidR="00B23211">
        <w:rPr>
          <w:rFonts w:ascii="Calibri" w:hAnsi="Calibri" w:cs="Calibri"/>
          <w:sz w:val="20"/>
          <w:szCs w:val="20"/>
          <w:lang w:val="en-US"/>
        </w:rPr>
        <w:t xml:space="preserve"> </w:t>
      </w:r>
      <w:r w:rsidRPr="0062698D">
        <w:rPr>
          <w:rFonts w:ascii="Calibri" w:hAnsi="Calibri" w:cs="Calibri"/>
          <w:sz w:val="20"/>
          <w:szCs w:val="20"/>
          <w:lang w:val="en-US"/>
        </w:rPr>
        <w:t xml:space="preserve">in </w:t>
      </w:r>
      <w:r w:rsidR="00B23211" w:rsidRPr="00B165C7">
        <w:rPr>
          <w:rFonts w:ascii="Calibri" w:hAnsi="Calibri" w:cs="Calibri"/>
          <w:sz w:val="20"/>
          <w:szCs w:val="18"/>
          <w:lang w:val="en-US"/>
        </w:rPr>
        <w:t xml:space="preserve">evaluating and commenting </w:t>
      </w:r>
      <w:r w:rsidRPr="0062698D">
        <w:rPr>
          <w:rFonts w:ascii="Calibri" w:hAnsi="Calibri" w:cs="Calibri"/>
          <w:sz w:val="20"/>
          <w:szCs w:val="20"/>
          <w:lang w:val="en-US"/>
        </w:rPr>
        <w:t>ToRs and undertaking quality assurance for short-term consultancy inputs.</w:t>
      </w:r>
    </w:p>
    <w:p w14:paraId="6A4FF964" w14:textId="0FC3F7D8" w:rsidR="00903F50" w:rsidRPr="0062698D" w:rsidRDefault="00903F50" w:rsidP="00903F50">
      <w:pPr>
        <w:pStyle w:val="ListParagraph"/>
        <w:numPr>
          <w:ilvl w:val="0"/>
          <w:numId w:val="45"/>
        </w:numPr>
        <w:spacing w:line="276" w:lineRule="auto"/>
        <w:rPr>
          <w:rFonts w:ascii="Calibri" w:hAnsi="Calibri" w:cs="Calibri"/>
          <w:sz w:val="20"/>
          <w:szCs w:val="20"/>
          <w:lang w:val="en-US"/>
        </w:rPr>
      </w:pPr>
      <w:r w:rsidRPr="0062698D">
        <w:rPr>
          <w:rFonts w:ascii="Calibri" w:hAnsi="Calibri" w:cs="Calibri"/>
          <w:sz w:val="20"/>
          <w:szCs w:val="20"/>
          <w:lang w:val="en-US"/>
        </w:rPr>
        <w:t>Support revision and development of deliverables</w:t>
      </w:r>
      <w:r w:rsidR="0062698D" w:rsidRPr="0062698D">
        <w:rPr>
          <w:rFonts w:ascii="Calibri" w:hAnsi="Calibri" w:cs="Calibri"/>
          <w:sz w:val="20"/>
          <w:szCs w:val="20"/>
          <w:lang w:val="en-US"/>
        </w:rPr>
        <w:t xml:space="preserve"> within the three outputs</w:t>
      </w:r>
    </w:p>
    <w:p w14:paraId="68C66FE1" w14:textId="41F92B35" w:rsidR="0070023F" w:rsidRPr="0009695A" w:rsidRDefault="0070023F" w:rsidP="0009695A">
      <w:pPr>
        <w:pStyle w:val="ListParagraph"/>
        <w:numPr>
          <w:ilvl w:val="0"/>
          <w:numId w:val="45"/>
        </w:numPr>
        <w:spacing w:line="276" w:lineRule="auto"/>
        <w:rPr>
          <w:rFonts w:ascii="Calibri" w:hAnsi="Calibri" w:cs="Calibri"/>
          <w:sz w:val="20"/>
          <w:szCs w:val="20"/>
          <w:lang w:val="en-US"/>
        </w:rPr>
      </w:pPr>
      <w:r w:rsidRPr="0009695A">
        <w:rPr>
          <w:rFonts w:ascii="Calibri" w:hAnsi="Calibri" w:cs="Calibri"/>
          <w:sz w:val="20"/>
          <w:szCs w:val="20"/>
          <w:lang w:val="en-US"/>
        </w:rPr>
        <w:t>Provide technical support to training and capacity building activities under DE</w:t>
      </w:r>
      <w:r w:rsidR="0062698D">
        <w:rPr>
          <w:rFonts w:ascii="Calibri" w:hAnsi="Calibri" w:cs="Calibri"/>
          <w:sz w:val="20"/>
          <w:szCs w:val="20"/>
          <w:lang w:val="en-US"/>
        </w:rPr>
        <w:t>2</w:t>
      </w:r>
      <w:r w:rsidRPr="0009695A">
        <w:rPr>
          <w:rFonts w:ascii="Calibri" w:hAnsi="Calibri" w:cs="Calibri"/>
          <w:sz w:val="20"/>
          <w:szCs w:val="20"/>
          <w:lang w:val="en-US"/>
        </w:rPr>
        <w:t xml:space="preserve"> including missions and study tours</w:t>
      </w:r>
    </w:p>
    <w:p w14:paraId="1F49F321" w14:textId="77777777" w:rsidR="009443CF" w:rsidRDefault="009443CF" w:rsidP="0009695A">
      <w:pPr>
        <w:spacing w:line="276" w:lineRule="auto"/>
        <w:rPr>
          <w:rFonts w:ascii="Calibri" w:hAnsi="Calibri" w:cs="Calibri"/>
          <w:b/>
          <w:bCs/>
        </w:rPr>
      </w:pPr>
    </w:p>
    <w:p w14:paraId="1FBEEE9F" w14:textId="04147144" w:rsidR="0070023F" w:rsidRPr="0009695A" w:rsidRDefault="0070023F" w:rsidP="0009695A">
      <w:pPr>
        <w:spacing w:line="276" w:lineRule="auto"/>
        <w:rPr>
          <w:rFonts w:ascii="Calibri" w:hAnsi="Calibri" w:cs="Calibri"/>
          <w:b/>
          <w:szCs w:val="20"/>
        </w:rPr>
      </w:pPr>
      <w:r w:rsidRPr="0009695A">
        <w:rPr>
          <w:rFonts w:ascii="Calibri" w:hAnsi="Calibri" w:cs="Calibri"/>
          <w:b/>
          <w:bCs/>
        </w:rPr>
        <w:t xml:space="preserve">Project </w:t>
      </w:r>
      <w:r w:rsidRPr="0009695A">
        <w:rPr>
          <w:rFonts w:ascii="Calibri" w:hAnsi="Calibri" w:cs="Calibri"/>
          <w:b/>
          <w:bCs/>
          <w:szCs w:val="20"/>
        </w:rPr>
        <w:t xml:space="preserve">management </w:t>
      </w:r>
    </w:p>
    <w:p w14:paraId="7AD5021B" w14:textId="41B367C9" w:rsidR="0070023F" w:rsidRPr="0009695A" w:rsidRDefault="0070023F" w:rsidP="0009695A">
      <w:pPr>
        <w:pStyle w:val="ListParagraph"/>
        <w:numPr>
          <w:ilvl w:val="0"/>
          <w:numId w:val="47"/>
        </w:numPr>
        <w:spacing w:line="276" w:lineRule="auto"/>
        <w:rPr>
          <w:rFonts w:ascii="Calibri" w:hAnsi="Calibri" w:cs="Calibri"/>
          <w:sz w:val="20"/>
          <w:szCs w:val="20"/>
          <w:lang w:val="en-US"/>
        </w:rPr>
      </w:pPr>
      <w:r w:rsidRPr="0009695A">
        <w:rPr>
          <w:rFonts w:ascii="Calibri" w:hAnsi="Calibri" w:cs="Calibri"/>
          <w:sz w:val="20"/>
          <w:szCs w:val="20"/>
          <w:lang w:val="en-US"/>
        </w:rPr>
        <w:t>Assist with day-to-day management of activities; provide input to the preparation of detailed work plan, budget, organization of events/workshops/meetings, and conduction of activities according to the project description;</w:t>
      </w:r>
    </w:p>
    <w:p w14:paraId="58BEB66D" w14:textId="71ACCDB2" w:rsidR="0070023F" w:rsidRPr="0009695A" w:rsidRDefault="0070023F" w:rsidP="0009695A">
      <w:pPr>
        <w:pStyle w:val="ListParagraph"/>
        <w:numPr>
          <w:ilvl w:val="0"/>
          <w:numId w:val="47"/>
        </w:numPr>
        <w:spacing w:line="276" w:lineRule="auto"/>
        <w:rPr>
          <w:rFonts w:ascii="Calibri" w:hAnsi="Calibri" w:cs="Calibri"/>
          <w:sz w:val="20"/>
          <w:szCs w:val="20"/>
          <w:lang w:val="en-US"/>
        </w:rPr>
      </w:pPr>
      <w:r w:rsidRPr="0009695A">
        <w:rPr>
          <w:rFonts w:ascii="Calibri" w:hAnsi="Calibri" w:cs="Calibri"/>
          <w:sz w:val="20"/>
          <w:szCs w:val="20"/>
          <w:lang w:val="en-US"/>
        </w:rPr>
        <w:t xml:space="preserve">Coordinate with the </w:t>
      </w:r>
      <w:r w:rsidR="0062698D" w:rsidRPr="0009695A">
        <w:rPr>
          <w:rFonts w:ascii="Calibri" w:hAnsi="Calibri" w:cs="Calibri"/>
          <w:sz w:val="20"/>
          <w:szCs w:val="20"/>
          <w:lang w:val="en-US"/>
        </w:rPr>
        <w:t>ERAV</w:t>
      </w:r>
      <w:r w:rsidRPr="0009695A">
        <w:rPr>
          <w:rFonts w:ascii="Calibri" w:hAnsi="Calibri" w:cs="Calibri"/>
          <w:sz w:val="20"/>
          <w:szCs w:val="20"/>
          <w:lang w:val="en-US"/>
        </w:rPr>
        <w:t xml:space="preserve">, EDK, DEA, </w:t>
      </w:r>
      <w:r w:rsidR="0062698D" w:rsidRPr="0009695A">
        <w:rPr>
          <w:rFonts w:ascii="Calibri" w:hAnsi="Calibri" w:cs="Calibri"/>
          <w:sz w:val="20"/>
          <w:szCs w:val="20"/>
          <w:lang w:val="en-US"/>
        </w:rPr>
        <w:t>NLDC</w:t>
      </w:r>
      <w:r w:rsidR="0062698D">
        <w:rPr>
          <w:rFonts w:ascii="Calibri" w:hAnsi="Calibri" w:cs="Calibri"/>
          <w:sz w:val="20"/>
          <w:szCs w:val="20"/>
          <w:lang w:val="en-US"/>
        </w:rPr>
        <w:t xml:space="preserve">, </w:t>
      </w:r>
      <w:r w:rsidRPr="0009695A">
        <w:rPr>
          <w:rFonts w:ascii="Calibri" w:hAnsi="Calibri" w:cs="Calibri"/>
          <w:sz w:val="20"/>
          <w:szCs w:val="20"/>
          <w:lang w:val="en-US"/>
        </w:rPr>
        <w:t>line ministries, provinces and stakeholders to ensure smooth project implementation; Identify bottlenecks, difficulties during project implementation and propose solutions to overcome these identified barriers for achievement of project objectives;</w:t>
      </w:r>
    </w:p>
    <w:p w14:paraId="27694DBD" w14:textId="77777777" w:rsidR="0070023F" w:rsidRPr="0009695A" w:rsidRDefault="0070023F" w:rsidP="0009695A">
      <w:pPr>
        <w:pStyle w:val="ListParagraph"/>
        <w:numPr>
          <w:ilvl w:val="0"/>
          <w:numId w:val="47"/>
        </w:numPr>
        <w:spacing w:line="276" w:lineRule="auto"/>
        <w:rPr>
          <w:rFonts w:ascii="Calibri" w:hAnsi="Calibri" w:cs="Calibri"/>
          <w:sz w:val="20"/>
          <w:szCs w:val="20"/>
          <w:lang w:val="en-US"/>
        </w:rPr>
      </w:pPr>
      <w:r w:rsidRPr="0009695A">
        <w:rPr>
          <w:rFonts w:ascii="Calibri" w:hAnsi="Calibri" w:cs="Calibri"/>
          <w:sz w:val="20"/>
          <w:szCs w:val="20"/>
          <w:lang w:val="en-US"/>
        </w:rPr>
        <w:t>Contribute to the preparation and conduction of project-related workshops, communication, dissemination and training events;</w:t>
      </w:r>
    </w:p>
    <w:p w14:paraId="0DD812D8" w14:textId="77777777" w:rsidR="0070023F" w:rsidRPr="0009695A" w:rsidRDefault="0070023F" w:rsidP="0009695A">
      <w:pPr>
        <w:pStyle w:val="ListParagraph"/>
        <w:numPr>
          <w:ilvl w:val="0"/>
          <w:numId w:val="47"/>
        </w:numPr>
        <w:spacing w:line="276" w:lineRule="auto"/>
        <w:rPr>
          <w:rFonts w:ascii="Calibri" w:hAnsi="Calibri" w:cs="Calibri"/>
          <w:sz w:val="20"/>
          <w:szCs w:val="20"/>
          <w:lang w:val="en-US"/>
        </w:rPr>
      </w:pPr>
      <w:r w:rsidRPr="0009695A">
        <w:rPr>
          <w:rFonts w:ascii="Calibri" w:hAnsi="Calibri" w:cs="Calibri"/>
          <w:sz w:val="20"/>
          <w:szCs w:val="20"/>
          <w:lang w:val="en-US"/>
        </w:rPr>
        <w:t>Ensure the regular update of project information and reports for stakeholders.</w:t>
      </w:r>
    </w:p>
    <w:p w14:paraId="409782EC" w14:textId="77777777" w:rsidR="0070023F" w:rsidRPr="00903F50" w:rsidRDefault="0070023F" w:rsidP="0009695A">
      <w:pPr>
        <w:spacing w:line="276" w:lineRule="auto"/>
        <w:rPr>
          <w:rFonts w:ascii="Calibri" w:hAnsi="Calibri" w:cs="Calibri"/>
          <w:szCs w:val="20"/>
        </w:rPr>
      </w:pPr>
    </w:p>
    <w:p w14:paraId="35926504" w14:textId="3CBF79E9" w:rsidR="00EE35EA" w:rsidRPr="0009695A" w:rsidRDefault="00EE35EA" w:rsidP="0009695A">
      <w:pPr>
        <w:spacing w:line="276" w:lineRule="auto"/>
        <w:rPr>
          <w:rFonts w:ascii="Calibri" w:hAnsi="Calibri" w:cs="Calibri"/>
          <w:b/>
          <w:bCs/>
        </w:rPr>
      </w:pPr>
      <w:r w:rsidRPr="00362E14">
        <w:rPr>
          <w:rFonts w:ascii="Calibri" w:hAnsi="Calibri" w:cs="Calibri"/>
          <w:b/>
          <w:bCs/>
        </w:rPr>
        <w:t>4. Deliverables / Output</w:t>
      </w:r>
    </w:p>
    <w:p w14:paraId="19B36B4D" w14:textId="77777777" w:rsidR="00362E14" w:rsidRPr="0009695A" w:rsidRDefault="00362E14" w:rsidP="0009695A">
      <w:pPr>
        <w:pStyle w:val="ListParagraph"/>
        <w:numPr>
          <w:ilvl w:val="0"/>
          <w:numId w:val="47"/>
        </w:numPr>
        <w:spacing w:line="276" w:lineRule="auto"/>
        <w:rPr>
          <w:rFonts w:ascii="Calibri" w:hAnsi="Calibri" w:cs="Calibri"/>
          <w:sz w:val="20"/>
          <w:szCs w:val="20"/>
          <w:lang w:val="en-US"/>
        </w:rPr>
      </w:pPr>
      <w:bookmarkStart w:id="0" w:name="_Hlk100694085"/>
      <w:r w:rsidRPr="0009695A">
        <w:rPr>
          <w:rFonts w:ascii="Calibri" w:hAnsi="Calibri" w:cs="Calibri"/>
          <w:sz w:val="20"/>
          <w:szCs w:val="20"/>
          <w:lang w:val="en-US"/>
        </w:rPr>
        <w:t>Good timing and effective support of the listed tasks.</w:t>
      </w:r>
    </w:p>
    <w:p w14:paraId="132837CD" w14:textId="77777777" w:rsidR="00362E14" w:rsidRPr="0009695A" w:rsidRDefault="00362E14" w:rsidP="0009695A">
      <w:pPr>
        <w:pStyle w:val="ListParagraph"/>
        <w:numPr>
          <w:ilvl w:val="0"/>
          <w:numId w:val="47"/>
        </w:numPr>
        <w:spacing w:line="276" w:lineRule="auto"/>
        <w:rPr>
          <w:rFonts w:ascii="Calibri" w:hAnsi="Calibri" w:cs="Calibri"/>
          <w:sz w:val="20"/>
          <w:szCs w:val="20"/>
          <w:lang w:val="en-US"/>
        </w:rPr>
      </w:pPr>
      <w:r w:rsidRPr="0009695A">
        <w:rPr>
          <w:rFonts w:ascii="Calibri" w:hAnsi="Calibri" w:cs="Calibri"/>
          <w:sz w:val="20"/>
          <w:szCs w:val="20"/>
          <w:lang w:val="en-US"/>
        </w:rPr>
        <w:t>Technical support of high quality and relevance.</w:t>
      </w:r>
    </w:p>
    <w:p w14:paraId="08F16A40" w14:textId="733D67BB" w:rsidR="00362E14" w:rsidRPr="0009695A" w:rsidRDefault="00362E14" w:rsidP="0009695A">
      <w:pPr>
        <w:pStyle w:val="ListParagraph"/>
        <w:numPr>
          <w:ilvl w:val="0"/>
          <w:numId w:val="47"/>
        </w:numPr>
        <w:spacing w:line="276" w:lineRule="auto"/>
        <w:rPr>
          <w:rFonts w:ascii="Calibri" w:hAnsi="Calibri" w:cs="Calibri"/>
          <w:sz w:val="20"/>
          <w:szCs w:val="20"/>
          <w:lang w:val="en-US"/>
        </w:rPr>
      </w:pPr>
      <w:r w:rsidRPr="0009695A">
        <w:rPr>
          <w:rFonts w:ascii="Calibri" w:hAnsi="Calibri" w:cs="Calibri"/>
          <w:sz w:val="20"/>
          <w:szCs w:val="20"/>
          <w:lang w:val="en-US"/>
        </w:rPr>
        <w:t>Effective teamwork with E</w:t>
      </w:r>
      <w:r w:rsidR="0040112E">
        <w:rPr>
          <w:rFonts w:ascii="Calibri" w:hAnsi="Calibri" w:cs="Calibri"/>
          <w:sz w:val="20"/>
          <w:szCs w:val="20"/>
          <w:lang w:val="en-US"/>
        </w:rPr>
        <w:t>RAV</w:t>
      </w:r>
      <w:r w:rsidRPr="0009695A">
        <w:rPr>
          <w:rFonts w:ascii="Calibri" w:hAnsi="Calibri" w:cs="Calibri"/>
          <w:sz w:val="20"/>
          <w:szCs w:val="20"/>
          <w:lang w:val="en-US"/>
        </w:rPr>
        <w:t>, EDK, DEA and the LTA.</w:t>
      </w:r>
    </w:p>
    <w:bookmarkEnd w:id="0"/>
    <w:p w14:paraId="5DED1915" w14:textId="77777777" w:rsidR="00362E14" w:rsidRPr="0009695A" w:rsidRDefault="00362E14" w:rsidP="0009695A">
      <w:pPr>
        <w:spacing w:line="276" w:lineRule="auto"/>
        <w:rPr>
          <w:rFonts w:ascii="Calibri" w:hAnsi="Calibri" w:cs="Calibri"/>
          <w:b/>
          <w:szCs w:val="20"/>
        </w:rPr>
      </w:pPr>
      <w:r w:rsidRPr="0009695A">
        <w:rPr>
          <w:rFonts w:ascii="Calibri" w:hAnsi="Calibri" w:cs="Calibri"/>
          <w:b/>
          <w:bCs/>
          <w:szCs w:val="20"/>
        </w:rPr>
        <w:t>5. Method of working</w:t>
      </w:r>
    </w:p>
    <w:p w14:paraId="6BE82374" w14:textId="7E622D1E" w:rsidR="00362E14" w:rsidRDefault="00362E14" w:rsidP="0009695A">
      <w:pPr>
        <w:spacing w:line="276" w:lineRule="auto"/>
        <w:rPr>
          <w:rFonts w:ascii="Calibri" w:hAnsi="Calibri" w:cs="Calibri"/>
          <w:szCs w:val="20"/>
        </w:rPr>
      </w:pPr>
      <w:r w:rsidRPr="0009695A">
        <w:rPr>
          <w:rFonts w:ascii="Calibri" w:hAnsi="Calibri" w:cs="Calibri"/>
          <w:szCs w:val="20"/>
        </w:rPr>
        <w:lastRenderedPageBreak/>
        <w:t xml:space="preserve">The </w:t>
      </w:r>
      <w:r>
        <w:rPr>
          <w:rFonts w:ascii="Calibri" w:hAnsi="Calibri" w:cs="Calibri"/>
          <w:szCs w:val="20"/>
        </w:rPr>
        <w:t>expert</w:t>
      </w:r>
      <w:r w:rsidRPr="0009695A">
        <w:rPr>
          <w:rFonts w:ascii="Calibri" w:hAnsi="Calibri" w:cs="Calibri"/>
          <w:szCs w:val="20"/>
        </w:rPr>
        <w:t xml:space="preserve"> will work </w:t>
      </w:r>
      <w:r>
        <w:rPr>
          <w:rFonts w:ascii="Calibri" w:hAnsi="Calibri" w:cs="Calibri"/>
          <w:szCs w:val="20"/>
        </w:rPr>
        <w:t>from</w:t>
      </w:r>
      <w:r w:rsidRPr="0009695A">
        <w:rPr>
          <w:rFonts w:ascii="Calibri" w:hAnsi="Calibri" w:cs="Calibri"/>
          <w:szCs w:val="20"/>
        </w:rPr>
        <w:t xml:space="preserve"> </w:t>
      </w:r>
      <w:r>
        <w:rPr>
          <w:rFonts w:ascii="Calibri" w:hAnsi="Calibri" w:cs="Calibri"/>
          <w:szCs w:val="20"/>
        </w:rPr>
        <w:t>the project office in ERAV</w:t>
      </w:r>
      <w:r w:rsidRPr="0009695A">
        <w:rPr>
          <w:rFonts w:ascii="Calibri" w:hAnsi="Calibri" w:cs="Calibri"/>
          <w:szCs w:val="20"/>
        </w:rPr>
        <w:t>, refer to the</w:t>
      </w:r>
      <w:r>
        <w:rPr>
          <w:rFonts w:ascii="Calibri" w:hAnsi="Calibri" w:cs="Calibri"/>
          <w:szCs w:val="20"/>
        </w:rPr>
        <w:t xml:space="preserve"> </w:t>
      </w:r>
      <w:r w:rsidRPr="0009695A">
        <w:rPr>
          <w:rFonts w:ascii="Calibri" w:hAnsi="Calibri" w:cs="Calibri"/>
          <w:szCs w:val="20"/>
        </w:rPr>
        <w:t xml:space="preserve">Senior Programme Manager at the Danish Embassy and the </w:t>
      </w:r>
      <w:r w:rsidR="008B71E6">
        <w:rPr>
          <w:rFonts w:ascii="Calibri" w:hAnsi="Calibri" w:cs="Calibri"/>
          <w:szCs w:val="20"/>
        </w:rPr>
        <w:t>DE2 team leader</w:t>
      </w:r>
      <w:r w:rsidRPr="0009695A">
        <w:rPr>
          <w:rFonts w:ascii="Calibri" w:hAnsi="Calibri" w:cs="Calibri"/>
          <w:szCs w:val="20"/>
        </w:rPr>
        <w:t xml:space="preserve"> at the Danish Energy Agency. She/he will be in a team with the LTA, DEA experts, consultants and </w:t>
      </w:r>
      <w:r w:rsidR="00E57A67">
        <w:rPr>
          <w:rFonts w:ascii="Calibri" w:hAnsi="Calibri" w:cs="Calibri"/>
          <w:szCs w:val="20"/>
        </w:rPr>
        <w:t>ERAV</w:t>
      </w:r>
      <w:r w:rsidRPr="0009695A">
        <w:rPr>
          <w:rFonts w:ascii="Calibri" w:hAnsi="Calibri" w:cs="Calibri"/>
          <w:szCs w:val="20"/>
        </w:rPr>
        <w:t xml:space="preserve"> staff who work with DEPP III.</w:t>
      </w:r>
    </w:p>
    <w:p w14:paraId="1769CE5D" w14:textId="0370BD90" w:rsidR="008C37FD" w:rsidRDefault="008C37FD" w:rsidP="0009695A">
      <w:pPr>
        <w:spacing w:line="276" w:lineRule="auto"/>
        <w:rPr>
          <w:rFonts w:ascii="Calibri" w:hAnsi="Calibri" w:cs="Calibri"/>
          <w:szCs w:val="20"/>
        </w:rPr>
      </w:pPr>
    </w:p>
    <w:p w14:paraId="3E42009A" w14:textId="01135F6F" w:rsidR="008C37FD" w:rsidRPr="0009695A" w:rsidRDefault="008C37FD" w:rsidP="008C37FD">
      <w:pPr>
        <w:spacing w:line="276" w:lineRule="auto"/>
        <w:rPr>
          <w:rFonts w:ascii="Calibri" w:hAnsi="Calibri" w:cs="Calibri"/>
          <w:b/>
          <w:szCs w:val="20"/>
        </w:rPr>
      </w:pPr>
      <w:r>
        <w:rPr>
          <w:rFonts w:ascii="Calibri" w:hAnsi="Calibri" w:cs="Calibri"/>
          <w:b/>
          <w:bCs/>
          <w:szCs w:val="20"/>
        </w:rPr>
        <w:t xml:space="preserve">6. Timing </w:t>
      </w:r>
    </w:p>
    <w:p w14:paraId="172501E0" w14:textId="37B39B87" w:rsidR="008C37FD" w:rsidRPr="008C37FD" w:rsidRDefault="005D78F8" w:rsidP="0009695A">
      <w:pPr>
        <w:spacing w:line="276" w:lineRule="auto"/>
        <w:rPr>
          <w:rFonts w:ascii="Calibri" w:hAnsi="Calibri" w:cs="Calibri"/>
          <w:szCs w:val="20"/>
        </w:rPr>
      </w:pPr>
      <w:r>
        <w:rPr>
          <w:rFonts w:ascii="Calibri" w:hAnsi="Calibri" w:cs="Calibri"/>
          <w:szCs w:val="20"/>
        </w:rPr>
        <w:t>The contract will be 12 months with possible extension.</w:t>
      </w:r>
    </w:p>
    <w:p w14:paraId="606A96D4" w14:textId="471982A9" w:rsidR="00040657" w:rsidRPr="0009695A" w:rsidRDefault="00040657" w:rsidP="0009695A">
      <w:pPr>
        <w:spacing w:line="276" w:lineRule="auto"/>
        <w:rPr>
          <w:rFonts w:ascii="Calibri" w:hAnsi="Calibri" w:cs="Calibri"/>
          <w:szCs w:val="20"/>
        </w:rPr>
      </w:pPr>
    </w:p>
    <w:p w14:paraId="74293DF8" w14:textId="77777777" w:rsidR="00040657" w:rsidRPr="0009695A" w:rsidRDefault="00040657" w:rsidP="0009695A">
      <w:pPr>
        <w:spacing w:line="276" w:lineRule="auto"/>
        <w:rPr>
          <w:rFonts w:ascii="Calibri" w:hAnsi="Calibri" w:cs="Calibri"/>
          <w:b/>
          <w:szCs w:val="20"/>
        </w:rPr>
      </w:pPr>
      <w:r w:rsidRPr="0009695A">
        <w:rPr>
          <w:rFonts w:ascii="Calibri" w:hAnsi="Calibri" w:cs="Calibri"/>
          <w:b/>
          <w:bCs/>
          <w:szCs w:val="20"/>
        </w:rPr>
        <w:t>7. Payment</w:t>
      </w:r>
    </w:p>
    <w:p w14:paraId="6D3B5611" w14:textId="77777777" w:rsidR="00040657" w:rsidRPr="00040657" w:rsidRDefault="00040657" w:rsidP="0009695A">
      <w:pPr>
        <w:spacing w:line="276" w:lineRule="auto"/>
        <w:rPr>
          <w:rFonts w:ascii="Calibri" w:hAnsi="Calibri" w:cs="Calibri"/>
          <w:szCs w:val="20"/>
        </w:rPr>
      </w:pPr>
      <w:r w:rsidRPr="0009695A">
        <w:rPr>
          <w:rFonts w:ascii="Calibri" w:hAnsi="Calibri" w:cs="Calibri"/>
          <w:szCs w:val="20"/>
        </w:rPr>
        <w:t>Payment will be made on quarterly basis.</w:t>
      </w:r>
    </w:p>
    <w:p w14:paraId="537ECC8E" w14:textId="180E8AA1" w:rsidR="00040657" w:rsidRPr="0009695A" w:rsidRDefault="00040657" w:rsidP="0009695A">
      <w:pPr>
        <w:spacing w:line="276" w:lineRule="auto"/>
        <w:rPr>
          <w:rFonts w:ascii="Calibri" w:hAnsi="Calibri" w:cs="Calibri"/>
          <w:szCs w:val="20"/>
        </w:rPr>
      </w:pPr>
      <w:r w:rsidRPr="0009695A">
        <w:rPr>
          <w:rFonts w:ascii="Calibri" w:hAnsi="Calibri" w:cs="Calibri"/>
          <w:szCs w:val="20"/>
        </w:rPr>
        <w:t>Travel expenditures will be reimbursed on actual basis, providing the prior written approval of the travel plan by EDK Senior Programme Manager and within the regulation of the “UN-EU guidelines for financing of local costs in development cooperation with Vietnam”.</w:t>
      </w:r>
    </w:p>
    <w:p w14:paraId="7DDC31FD" w14:textId="77777777" w:rsidR="00040657" w:rsidRPr="0009695A" w:rsidRDefault="00040657" w:rsidP="0009695A">
      <w:pPr>
        <w:spacing w:line="276" w:lineRule="auto"/>
        <w:rPr>
          <w:rFonts w:ascii="Calibri" w:hAnsi="Calibri" w:cs="Calibri"/>
          <w:szCs w:val="20"/>
        </w:rPr>
      </w:pPr>
    </w:p>
    <w:p w14:paraId="1BC816AC" w14:textId="7ADDFB3D" w:rsidR="00E1136E" w:rsidRPr="00040657" w:rsidRDefault="00040657" w:rsidP="0009695A">
      <w:pPr>
        <w:spacing w:line="276" w:lineRule="auto"/>
        <w:rPr>
          <w:rFonts w:ascii="Calibri" w:hAnsi="Calibri" w:cs="Calibri"/>
          <w:b/>
          <w:bCs/>
          <w:szCs w:val="20"/>
        </w:rPr>
      </w:pPr>
      <w:r>
        <w:rPr>
          <w:rFonts w:ascii="Calibri" w:hAnsi="Calibri" w:cs="Calibri"/>
          <w:b/>
          <w:bCs/>
          <w:szCs w:val="20"/>
        </w:rPr>
        <w:t>8</w:t>
      </w:r>
      <w:r w:rsidR="00EE35EA" w:rsidRPr="00040657">
        <w:rPr>
          <w:rFonts w:ascii="Calibri" w:hAnsi="Calibri" w:cs="Calibri"/>
          <w:b/>
          <w:bCs/>
          <w:szCs w:val="20"/>
        </w:rPr>
        <w:t xml:space="preserve">. Staffing and </w:t>
      </w:r>
      <w:r w:rsidR="004A0ADC" w:rsidRPr="00040657">
        <w:rPr>
          <w:rFonts w:ascii="Calibri" w:hAnsi="Calibri" w:cs="Calibri"/>
          <w:b/>
          <w:bCs/>
          <w:szCs w:val="20"/>
        </w:rPr>
        <w:t>organi</w:t>
      </w:r>
      <w:r w:rsidR="00E57723" w:rsidRPr="00040657">
        <w:rPr>
          <w:rFonts w:ascii="Calibri" w:hAnsi="Calibri" w:cs="Calibri"/>
          <w:b/>
          <w:bCs/>
          <w:szCs w:val="20"/>
        </w:rPr>
        <w:t>s</w:t>
      </w:r>
      <w:r w:rsidR="004A0ADC" w:rsidRPr="00040657">
        <w:rPr>
          <w:rFonts w:ascii="Calibri" w:hAnsi="Calibri" w:cs="Calibri"/>
          <w:b/>
          <w:bCs/>
          <w:szCs w:val="20"/>
        </w:rPr>
        <w:t xml:space="preserve">ation / </w:t>
      </w:r>
      <w:r w:rsidR="000A17DF" w:rsidRPr="00040657">
        <w:rPr>
          <w:rFonts w:ascii="Calibri" w:hAnsi="Calibri" w:cs="Calibri"/>
          <w:b/>
          <w:bCs/>
          <w:szCs w:val="20"/>
        </w:rPr>
        <w:t>required</w:t>
      </w:r>
      <w:r w:rsidR="004A0ADC" w:rsidRPr="00040657">
        <w:rPr>
          <w:rFonts w:ascii="Calibri" w:hAnsi="Calibri" w:cs="Calibri"/>
          <w:b/>
          <w:bCs/>
          <w:szCs w:val="20"/>
        </w:rPr>
        <w:t xml:space="preserve"> skills</w:t>
      </w:r>
      <w:r w:rsidR="000F154C" w:rsidRPr="00040657">
        <w:rPr>
          <w:rFonts w:ascii="Calibri" w:hAnsi="Calibri" w:cs="Calibri"/>
          <w:b/>
          <w:bCs/>
          <w:szCs w:val="20"/>
        </w:rPr>
        <w:t xml:space="preserve"> </w:t>
      </w:r>
    </w:p>
    <w:p w14:paraId="7413D738" w14:textId="6F3C66D6" w:rsidR="002C6E5B" w:rsidRPr="00A02C79" w:rsidRDefault="002C6E5B" w:rsidP="002C6E5B">
      <w:pPr>
        <w:rPr>
          <w:rFonts w:ascii="Cambria" w:hAnsi="Cambria"/>
          <w:bCs/>
        </w:rPr>
      </w:pPr>
    </w:p>
    <w:p w14:paraId="38348804" w14:textId="0CE0F2F1" w:rsidR="002C6E5B" w:rsidRPr="00A02C79" w:rsidRDefault="002C6E5B" w:rsidP="002C6E5B">
      <w:r>
        <w:rPr>
          <w:rFonts w:ascii="Cambria" w:hAnsi="Cambria"/>
          <w:bCs/>
        </w:rPr>
        <w:t>General requirement</w:t>
      </w:r>
      <w:r w:rsidR="00E42A82">
        <w:rPr>
          <w:rFonts w:ascii="Cambria" w:hAnsi="Cambria"/>
          <w:bCs/>
        </w:rPr>
        <w:t>s</w:t>
      </w:r>
      <w:r>
        <w:rPr>
          <w:rFonts w:ascii="Cambria" w:hAnsi="Cambria"/>
          <w:bCs/>
        </w:rPr>
        <w:t>:</w:t>
      </w:r>
    </w:p>
    <w:p w14:paraId="5252C0EB" w14:textId="28CE7192" w:rsidR="002C6E5B" w:rsidRPr="00206E0D" w:rsidRDefault="00FF6A92" w:rsidP="002C6E5B">
      <w:pPr>
        <w:pStyle w:val="ListParagraph"/>
        <w:numPr>
          <w:ilvl w:val="0"/>
          <w:numId w:val="35"/>
        </w:numPr>
        <w:spacing w:after="0" w:line="280" w:lineRule="atLeast"/>
        <w:contextualSpacing w:val="0"/>
        <w:rPr>
          <w:rFonts w:ascii="Cambria" w:hAnsi="Cambria"/>
          <w:sz w:val="20"/>
          <w:szCs w:val="20"/>
          <w:lang w:val="en-US"/>
        </w:rPr>
      </w:pPr>
      <w:r>
        <w:rPr>
          <w:rFonts w:ascii="Cambria" w:hAnsi="Cambria"/>
          <w:sz w:val="20"/>
          <w:szCs w:val="20"/>
          <w:lang w:val="en-US"/>
        </w:rPr>
        <w:t>University</w:t>
      </w:r>
      <w:r w:rsidR="002C6E5B" w:rsidRPr="00206E0D">
        <w:rPr>
          <w:rFonts w:ascii="Cambria" w:hAnsi="Cambria"/>
          <w:sz w:val="20"/>
          <w:szCs w:val="20"/>
          <w:lang w:val="en-US"/>
        </w:rPr>
        <w:t xml:space="preserve"> in </w:t>
      </w:r>
      <w:r w:rsidR="00E42A82">
        <w:rPr>
          <w:rFonts w:ascii="Cambria" w:hAnsi="Cambria"/>
          <w:sz w:val="20"/>
          <w:szCs w:val="20"/>
          <w:lang w:val="en-US"/>
        </w:rPr>
        <w:t xml:space="preserve">energy </w:t>
      </w:r>
      <w:r w:rsidR="002C6E5B" w:rsidRPr="00206E0D">
        <w:rPr>
          <w:rFonts w:ascii="Cambria" w:hAnsi="Cambria"/>
          <w:sz w:val="20"/>
          <w:szCs w:val="20"/>
          <w:lang w:val="en-US"/>
        </w:rPr>
        <w:t>economics</w:t>
      </w:r>
      <w:r w:rsidR="00E42A82">
        <w:rPr>
          <w:rFonts w:ascii="Cambria" w:hAnsi="Cambria"/>
          <w:sz w:val="20"/>
          <w:szCs w:val="20"/>
          <w:lang w:val="en-US"/>
        </w:rPr>
        <w:t>,</w:t>
      </w:r>
      <w:r w:rsidR="002C6E5B" w:rsidRPr="00206E0D">
        <w:rPr>
          <w:rFonts w:ascii="Cambria" w:hAnsi="Cambria"/>
          <w:sz w:val="20"/>
          <w:szCs w:val="20"/>
          <w:lang w:val="en-US"/>
        </w:rPr>
        <w:t xml:space="preserve"> </w:t>
      </w:r>
      <w:r w:rsidR="00E42A82">
        <w:rPr>
          <w:rFonts w:ascii="Cambria" w:hAnsi="Cambria"/>
          <w:sz w:val="20"/>
          <w:szCs w:val="20"/>
          <w:lang w:val="en-US"/>
        </w:rPr>
        <w:t xml:space="preserve">power </w:t>
      </w:r>
      <w:r w:rsidR="002C6E5B" w:rsidRPr="00206E0D">
        <w:rPr>
          <w:rFonts w:ascii="Cambria" w:hAnsi="Cambria"/>
          <w:sz w:val="20"/>
          <w:szCs w:val="20"/>
          <w:lang w:val="en-US"/>
        </w:rPr>
        <w:t xml:space="preserve">engineering </w:t>
      </w:r>
      <w:r w:rsidR="00E42A82">
        <w:rPr>
          <w:rFonts w:ascii="Cambria" w:hAnsi="Cambria"/>
          <w:sz w:val="20"/>
          <w:szCs w:val="20"/>
          <w:lang w:val="en-US"/>
        </w:rPr>
        <w:t xml:space="preserve">or </w:t>
      </w:r>
      <w:r w:rsidR="008B71E6">
        <w:rPr>
          <w:rFonts w:ascii="Cambria" w:hAnsi="Cambria"/>
          <w:sz w:val="20"/>
          <w:szCs w:val="20"/>
          <w:lang w:val="en-US"/>
        </w:rPr>
        <w:t>relevant fields</w:t>
      </w:r>
      <w:r w:rsidR="002C6E5B" w:rsidRPr="00206E0D">
        <w:rPr>
          <w:rFonts w:ascii="Cambria" w:hAnsi="Cambria"/>
          <w:sz w:val="20"/>
          <w:szCs w:val="20"/>
          <w:lang w:val="en-US"/>
        </w:rPr>
        <w:t xml:space="preserve">. </w:t>
      </w:r>
    </w:p>
    <w:p w14:paraId="4BBFCB71" w14:textId="77777777" w:rsidR="002C6E5B" w:rsidRPr="00206E0D" w:rsidRDefault="002C6E5B" w:rsidP="002C6E5B">
      <w:pPr>
        <w:pStyle w:val="ListParagraph"/>
        <w:numPr>
          <w:ilvl w:val="0"/>
          <w:numId w:val="35"/>
        </w:numPr>
        <w:spacing w:after="0" w:line="280" w:lineRule="atLeast"/>
        <w:contextualSpacing w:val="0"/>
        <w:rPr>
          <w:rFonts w:ascii="Cambria" w:hAnsi="Cambria"/>
          <w:sz w:val="20"/>
          <w:szCs w:val="20"/>
          <w:lang w:val="en-US"/>
        </w:rPr>
      </w:pPr>
      <w:r w:rsidRPr="00206E0D">
        <w:rPr>
          <w:rFonts w:ascii="Cambria" w:hAnsi="Cambria"/>
          <w:sz w:val="20"/>
          <w:szCs w:val="20"/>
          <w:lang w:val="en-US"/>
        </w:rPr>
        <w:t xml:space="preserve">A profound knowledge and understanding of: </w:t>
      </w:r>
    </w:p>
    <w:p w14:paraId="17EC8040" w14:textId="0FB0CBE1" w:rsidR="002C6E5B" w:rsidRPr="00206E0D" w:rsidRDefault="002C6E5B" w:rsidP="002C6E5B">
      <w:pPr>
        <w:pStyle w:val="ListParagraph"/>
        <w:numPr>
          <w:ilvl w:val="1"/>
          <w:numId w:val="35"/>
        </w:numPr>
        <w:spacing w:after="0" w:line="280" w:lineRule="atLeast"/>
        <w:contextualSpacing w:val="0"/>
        <w:rPr>
          <w:rFonts w:ascii="Cambria" w:hAnsi="Cambria"/>
          <w:sz w:val="20"/>
          <w:szCs w:val="20"/>
          <w:lang w:val="en-US"/>
        </w:rPr>
      </w:pPr>
      <w:r w:rsidRPr="00206E0D">
        <w:rPr>
          <w:rFonts w:ascii="Cambria" w:hAnsi="Cambria"/>
          <w:sz w:val="20"/>
          <w:szCs w:val="20"/>
          <w:lang w:val="en-US"/>
        </w:rPr>
        <w:t xml:space="preserve">The Vietnamese energy system </w:t>
      </w:r>
      <w:r w:rsidR="00C910AF">
        <w:rPr>
          <w:rFonts w:ascii="Cambria" w:hAnsi="Cambria"/>
          <w:sz w:val="20"/>
          <w:szCs w:val="20"/>
          <w:lang w:val="en-US"/>
        </w:rPr>
        <w:t>an</w:t>
      </w:r>
      <w:bookmarkStart w:id="1" w:name="_GoBack"/>
      <w:bookmarkEnd w:id="1"/>
      <w:r w:rsidR="00C910AF">
        <w:rPr>
          <w:rFonts w:ascii="Cambria" w:hAnsi="Cambria"/>
          <w:sz w:val="20"/>
          <w:szCs w:val="20"/>
          <w:lang w:val="en-US"/>
        </w:rPr>
        <w:t>d especially the power sector</w:t>
      </w:r>
    </w:p>
    <w:p w14:paraId="6700D4B0" w14:textId="77777777" w:rsidR="002C6E5B" w:rsidRPr="00206E0D" w:rsidRDefault="002C6E5B" w:rsidP="002C6E5B">
      <w:pPr>
        <w:pStyle w:val="ListParagraph"/>
        <w:numPr>
          <w:ilvl w:val="1"/>
          <w:numId w:val="35"/>
        </w:numPr>
        <w:spacing w:after="0" w:line="280" w:lineRule="atLeast"/>
        <w:contextualSpacing w:val="0"/>
        <w:rPr>
          <w:rFonts w:ascii="Cambria" w:hAnsi="Cambria"/>
          <w:sz w:val="20"/>
          <w:szCs w:val="20"/>
          <w:lang w:val="en-US"/>
        </w:rPr>
      </w:pPr>
      <w:r w:rsidRPr="00206E0D">
        <w:rPr>
          <w:rFonts w:ascii="Cambria" w:hAnsi="Cambria"/>
          <w:sz w:val="20"/>
          <w:szCs w:val="20"/>
          <w:lang w:val="en-US"/>
        </w:rPr>
        <w:t>The stakeholders of the Vietnamese energy system</w:t>
      </w:r>
    </w:p>
    <w:p w14:paraId="25EC620B" w14:textId="77777777" w:rsidR="002C6E5B" w:rsidRPr="00206E0D" w:rsidRDefault="002C6E5B" w:rsidP="002C6E5B">
      <w:pPr>
        <w:pStyle w:val="ListParagraph"/>
        <w:numPr>
          <w:ilvl w:val="1"/>
          <w:numId w:val="35"/>
        </w:numPr>
        <w:spacing w:after="0" w:line="280" w:lineRule="atLeast"/>
        <w:contextualSpacing w:val="0"/>
        <w:rPr>
          <w:rFonts w:ascii="Cambria" w:hAnsi="Cambria"/>
          <w:sz w:val="20"/>
          <w:szCs w:val="20"/>
          <w:lang w:val="en-US"/>
        </w:rPr>
      </w:pPr>
      <w:r>
        <w:rPr>
          <w:rFonts w:ascii="Cambria" w:hAnsi="Cambria"/>
          <w:sz w:val="20"/>
          <w:szCs w:val="20"/>
          <w:lang w:val="en-US"/>
        </w:rPr>
        <w:t>Regulatory framework</w:t>
      </w:r>
    </w:p>
    <w:p w14:paraId="787A0E5E" w14:textId="2AF58176" w:rsidR="002C6E5B" w:rsidRDefault="002C6E5B" w:rsidP="002C6E5B">
      <w:pPr>
        <w:pStyle w:val="ListParagraph"/>
        <w:numPr>
          <w:ilvl w:val="1"/>
          <w:numId w:val="35"/>
        </w:numPr>
        <w:spacing w:after="0" w:line="280" w:lineRule="atLeast"/>
        <w:contextualSpacing w:val="0"/>
        <w:rPr>
          <w:rFonts w:ascii="Cambria" w:hAnsi="Cambria"/>
          <w:sz w:val="20"/>
          <w:szCs w:val="20"/>
          <w:lang w:val="en-US"/>
        </w:rPr>
      </w:pPr>
      <w:r w:rsidRPr="00206E0D">
        <w:rPr>
          <w:rFonts w:ascii="Cambria" w:hAnsi="Cambria"/>
          <w:sz w:val="20"/>
          <w:szCs w:val="20"/>
          <w:lang w:val="en-US"/>
        </w:rPr>
        <w:t>Power generation technologies, with focus on renewable energy</w:t>
      </w:r>
    </w:p>
    <w:p w14:paraId="277452AD" w14:textId="6E74506A" w:rsidR="00E42A82" w:rsidRPr="0006347E" w:rsidRDefault="00E42A82" w:rsidP="002C6E5B">
      <w:pPr>
        <w:pStyle w:val="ListParagraph"/>
        <w:numPr>
          <w:ilvl w:val="1"/>
          <w:numId w:val="35"/>
        </w:numPr>
        <w:spacing w:after="0" w:line="280" w:lineRule="atLeast"/>
        <w:contextualSpacing w:val="0"/>
        <w:rPr>
          <w:rFonts w:ascii="Cambria" w:hAnsi="Cambria"/>
          <w:sz w:val="20"/>
          <w:szCs w:val="20"/>
          <w:lang w:val="en-US"/>
        </w:rPr>
      </w:pPr>
      <w:r>
        <w:rPr>
          <w:rFonts w:ascii="Cambria" w:hAnsi="Cambria"/>
          <w:sz w:val="20"/>
          <w:szCs w:val="20"/>
          <w:lang w:val="en-US"/>
        </w:rPr>
        <w:t>Political procedures, developments and targets within energy</w:t>
      </w:r>
    </w:p>
    <w:p w14:paraId="7D862C33" w14:textId="163AD9B4" w:rsidR="002C6E5B" w:rsidRPr="00206E0D" w:rsidRDefault="00E42A82" w:rsidP="002C6E5B">
      <w:pPr>
        <w:pStyle w:val="ListParagraph"/>
        <w:numPr>
          <w:ilvl w:val="0"/>
          <w:numId w:val="35"/>
        </w:numPr>
        <w:rPr>
          <w:rFonts w:ascii="Cambria" w:hAnsi="Cambria"/>
          <w:sz w:val="20"/>
          <w:szCs w:val="20"/>
          <w:lang w:val="en-US"/>
        </w:rPr>
      </w:pPr>
      <w:r>
        <w:rPr>
          <w:rFonts w:ascii="Cambria" w:hAnsi="Cambria"/>
          <w:sz w:val="20"/>
          <w:szCs w:val="20"/>
          <w:lang w:val="en-US"/>
        </w:rPr>
        <w:t>Strong</w:t>
      </w:r>
      <w:r w:rsidRPr="00206E0D">
        <w:rPr>
          <w:rFonts w:ascii="Cambria" w:hAnsi="Cambria"/>
          <w:sz w:val="20"/>
          <w:szCs w:val="20"/>
          <w:lang w:val="en-US"/>
        </w:rPr>
        <w:t xml:space="preserve"> </w:t>
      </w:r>
      <w:r w:rsidR="002C6E5B" w:rsidRPr="00206E0D">
        <w:rPr>
          <w:rFonts w:ascii="Cambria" w:hAnsi="Cambria"/>
          <w:sz w:val="20"/>
          <w:szCs w:val="20"/>
          <w:lang w:val="en-US"/>
        </w:rPr>
        <w:t xml:space="preserve">network within the Vietnamese Energy Sector </w:t>
      </w:r>
    </w:p>
    <w:p w14:paraId="1F5A8AB4" w14:textId="77777777" w:rsidR="002C6E5B" w:rsidRPr="0006347E" w:rsidRDefault="002C6E5B" w:rsidP="002C6E5B">
      <w:pPr>
        <w:pStyle w:val="ListParagraph"/>
        <w:numPr>
          <w:ilvl w:val="0"/>
          <w:numId w:val="35"/>
        </w:numPr>
        <w:spacing w:after="0" w:line="280" w:lineRule="atLeast"/>
        <w:contextualSpacing w:val="0"/>
        <w:rPr>
          <w:rFonts w:ascii="Cambria" w:hAnsi="Cambria"/>
          <w:sz w:val="20"/>
          <w:szCs w:val="20"/>
          <w:lang w:val="en-GB"/>
        </w:rPr>
      </w:pPr>
      <w:r w:rsidRPr="0006347E">
        <w:rPr>
          <w:rFonts w:ascii="Cambria" w:hAnsi="Cambria"/>
          <w:sz w:val="20"/>
          <w:szCs w:val="20"/>
          <w:lang w:val="en-GB"/>
        </w:rPr>
        <w:t xml:space="preserve">Extensive work experience within: </w:t>
      </w:r>
    </w:p>
    <w:p w14:paraId="4A5112B7" w14:textId="77777777" w:rsidR="002C6E5B" w:rsidRDefault="002C6E5B" w:rsidP="002C6E5B">
      <w:pPr>
        <w:pStyle w:val="ListParagraph"/>
        <w:numPr>
          <w:ilvl w:val="1"/>
          <w:numId w:val="35"/>
        </w:numPr>
        <w:spacing w:after="0" w:line="280" w:lineRule="atLeast"/>
        <w:contextualSpacing w:val="0"/>
        <w:rPr>
          <w:rFonts w:ascii="Cambria" w:hAnsi="Cambria"/>
          <w:sz w:val="20"/>
          <w:szCs w:val="20"/>
          <w:lang w:val="en-US"/>
        </w:rPr>
      </w:pPr>
      <w:r>
        <w:rPr>
          <w:rFonts w:ascii="Cambria" w:hAnsi="Cambria"/>
          <w:sz w:val="20"/>
          <w:szCs w:val="20"/>
          <w:lang w:val="en-US"/>
        </w:rPr>
        <w:t>P</w:t>
      </w:r>
      <w:r w:rsidRPr="00206E0D">
        <w:rPr>
          <w:rFonts w:ascii="Cambria" w:hAnsi="Cambria"/>
          <w:sz w:val="20"/>
          <w:szCs w:val="20"/>
          <w:lang w:val="en-US"/>
        </w:rPr>
        <w:t xml:space="preserve">rocess </w:t>
      </w:r>
      <w:r>
        <w:rPr>
          <w:rFonts w:ascii="Cambria" w:hAnsi="Cambria"/>
          <w:sz w:val="20"/>
          <w:szCs w:val="20"/>
          <w:lang w:val="en-US"/>
        </w:rPr>
        <w:t xml:space="preserve">for the creation of framework </w:t>
      </w:r>
      <w:r w:rsidRPr="00206E0D">
        <w:rPr>
          <w:rFonts w:ascii="Cambria" w:hAnsi="Cambria"/>
          <w:sz w:val="20"/>
          <w:szCs w:val="20"/>
          <w:lang w:val="en-US"/>
        </w:rPr>
        <w:t>in Vietnam</w:t>
      </w:r>
    </w:p>
    <w:p w14:paraId="2347C588" w14:textId="77777777" w:rsidR="002C6E5B" w:rsidRPr="00206E0D" w:rsidRDefault="002C6E5B" w:rsidP="002C6E5B">
      <w:pPr>
        <w:pStyle w:val="ListParagraph"/>
        <w:numPr>
          <w:ilvl w:val="1"/>
          <w:numId w:val="35"/>
        </w:numPr>
        <w:spacing w:after="0" w:line="280" w:lineRule="atLeast"/>
        <w:contextualSpacing w:val="0"/>
        <w:rPr>
          <w:rFonts w:ascii="Cambria" w:hAnsi="Cambria"/>
          <w:sz w:val="20"/>
          <w:szCs w:val="20"/>
          <w:lang w:val="en-US"/>
        </w:rPr>
      </w:pPr>
      <w:r w:rsidRPr="00206E0D">
        <w:rPr>
          <w:rFonts w:ascii="Cambria" w:hAnsi="Cambria"/>
          <w:sz w:val="20"/>
          <w:szCs w:val="20"/>
          <w:lang w:val="en-US"/>
        </w:rPr>
        <w:t>Representation of data in spreadsheets/databases</w:t>
      </w:r>
    </w:p>
    <w:p w14:paraId="1371BE16" w14:textId="77777777" w:rsidR="002C6E5B" w:rsidRPr="00206E0D" w:rsidRDefault="002C6E5B" w:rsidP="002C6E5B">
      <w:pPr>
        <w:pStyle w:val="ListParagraph"/>
        <w:numPr>
          <w:ilvl w:val="1"/>
          <w:numId w:val="35"/>
        </w:numPr>
        <w:spacing w:after="0" w:line="280" w:lineRule="atLeast"/>
        <w:contextualSpacing w:val="0"/>
        <w:rPr>
          <w:rFonts w:ascii="Cambria" w:hAnsi="Cambria"/>
          <w:sz w:val="20"/>
          <w:szCs w:val="20"/>
          <w:lang w:val="en-US"/>
        </w:rPr>
      </w:pPr>
      <w:r w:rsidRPr="00206E0D">
        <w:rPr>
          <w:rFonts w:ascii="Cambria" w:hAnsi="Cambria"/>
          <w:sz w:val="20"/>
          <w:szCs w:val="20"/>
          <w:lang w:val="en-US"/>
        </w:rPr>
        <w:t>Presentation of results at meetings and report writing</w:t>
      </w:r>
    </w:p>
    <w:p w14:paraId="0D961701" w14:textId="7F26CA22" w:rsidR="002C6E5B" w:rsidRDefault="00C910AF" w:rsidP="002C6E5B">
      <w:pPr>
        <w:pStyle w:val="ListParagraph"/>
        <w:numPr>
          <w:ilvl w:val="0"/>
          <w:numId w:val="35"/>
        </w:numPr>
        <w:spacing w:after="0" w:line="280" w:lineRule="atLeast"/>
        <w:contextualSpacing w:val="0"/>
        <w:rPr>
          <w:rFonts w:ascii="Cambria" w:hAnsi="Cambria"/>
          <w:sz w:val="20"/>
          <w:szCs w:val="20"/>
          <w:lang w:val="en-US"/>
        </w:rPr>
      </w:pPr>
      <w:r>
        <w:rPr>
          <w:rFonts w:ascii="Cambria" w:hAnsi="Cambria"/>
          <w:sz w:val="20"/>
          <w:szCs w:val="20"/>
          <w:lang w:val="en-US"/>
        </w:rPr>
        <w:t>Excellent</w:t>
      </w:r>
      <w:r w:rsidRPr="00206E0D">
        <w:rPr>
          <w:rFonts w:ascii="Cambria" w:hAnsi="Cambria"/>
          <w:sz w:val="20"/>
          <w:szCs w:val="20"/>
          <w:lang w:val="en-US"/>
        </w:rPr>
        <w:t xml:space="preserve"> </w:t>
      </w:r>
      <w:r w:rsidR="002C6E5B" w:rsidRPr="00206E0D">
        <w:rPr>
          <w:rFonts w:ascii="Cambria" w:hAnsi="Cambria"/>
          <w:sz w:val="20"/>
          <w:szCs w:val="20"/>
          <w:lang w:val="en-US"/>
        </w:rPr>
        <w:t>written and spoken communication skills in English and Vietnamese</w:t>
      </w:r>
    </w:p>
    <w:p w14:paraId="37713C27" w14:textId="7DACA1E4" w:rsidR="00A54663" w:rsidRPr="00206E0D" w:rsidRDefault="00A54663" w:rsidP="00A54663">
      <w:pPr>
        <w:pStyle w:val="ListParagraph"/>
        <w:numPr>
          <w:ilvl w:val="0"/>
          <w:numId w:val="35"/>
        </w:numPr>
        <w:spacing w:after="0" w:line="280" w:lineRule="atLeast"/>
        <w:contextualSpacing w:val="0"/>
        <w:rPr>
          <w:rFonts w:ascii="Cambria" w:hAnsi="Cambria"/>
          <w:sz w:val="20"/>
          <w:szCs w:val="20"/>
          <w:lang w:val="en-US"/>
        </w:rPr>
      </w:pPr>
      <w:r>
        <w:rPr>
          <w:rFonts w:ascii="Cambria" w:hAnsi="Cambria"/>
          <w:sz w:val="20"/>
          <w:szCs w:val="20"/>
          <w:lang w:val="en-US"/>
        </w:rPr>
        <w:t>Experience in giving presentations in English</w:t>
      </w:r>
    </w:p>
    <w:p w14:paraId="51FD4001" w14:textId="2DE5B657" w:rsidR="002C6E5B" w:rsidRPr="00206E0D" w:rsidRDefault="00A54663" w:rsidP="002C6E5B">
      <w:pPr>
        <w:pStyle w:val="ListParagraph"/>
        <w:numPr>
          <w:ilvl w:val="0"/>
          <w:numId w:val="35"/>
        </w:numPr>
        <w:spacing w:after="0" w:line="280" w:lineRule="atLeast"/>
        <w:contextualSpacing w:val="0"/>
        <w:rPr>
          <w:rFonts w:ascii="Cambria" w:hAnsi="Cambria"/>
          <w:sz w:val="20"/>
          <w:szCs w:val="20"/>
          <w:lang w:val="en-US"/>
        </w:rPr>
      </w:pPr>
      <w:r>
        <w:rPr>
          <w:rFonts w:ascii="Cambria" w:hAnsi="Cambria"/>
          <w:sz w:val="20"/>
          <w:szCs w:val="20"/>
          <w:lang w:val="en-US"/>
        </w:rPr>
        <w:t>E</w:t>
      </w:r>
      <w:r w:rsidR="002C6E5B" w:rsidRPr="00206E0D">
        <w:rPr>
          <w:rFonts w:ascii="Cambria" w:hAnsi="Cambria"/>
          <w:sz w:val="20"/>
          <w:szCs w:val="20"/>
          <w:lang w:val="en-US"/>
        </w:rPr>
        <w:t xml:space="preserve">xperience in the following </w:t>
      </w:r>
      <w:r>
        <w:rPr>
          <w:rFonts w:ascii="Cambria" w:hAnsi="Cambria"/>
          <w:sz w:val="20"/>
          <w:szCs w:val="20"/>
          <w:lang w:val="en-US"/>
        </w:rPr>
        <w:t>is not required but an advantage</w:t>
      </w:r>
      <w:r w:rsidR="002C6E5B" w:rsidRPr="00206E0D">
        <w:rPr>
          <w:rFonts w:ascii="Cambria" w:hAnsi="Cambria"/>
          <w:sz w:val="20"/>
          <w:szCs w:val="20"/>
          <w:lang w:val="en-US"/>
        </w:rPr>
        <w:t>:</w:t>
      </w:r>
    </w:p>
    <w:p w14:paraId="7B8D3A81" w14:textId="25270176" w:rsidR="002C6E5B" w:rsidRDefault="00A54663" w:rsidP="002C6E5B">
      <w:pPr>
        <w:pStyle w:val="ListParagraph"/>
        <w:numPr>
          <w:ilvl w:val="1"/>
          <w:numId w:val="35"/>
        </w:numPr>
        <w:spacing w:after="0" w:line="280" w:lineRule="atLeast"/>
        <w:contextualSpacing w:val="0"/>
        <w:rPr>
          <w:rFonts w:ascii="Cambria" w:hAnsi="Cambria"/>
          <w:sz w:val="20"/>
          <w:szCs w:val="20"/>
          <w:lang w:val="en-US"/>
        </w:rPr>
      </w:pPr>
      <w:r>
        <w:rPr>
          <w:rFonts w:ascii="Cambria" w:hAnsi="Cambria"/>
          <w:sz w:val="20"/>
          <w:szCs w:val="20"/>
          <w:lang w:val="en-US"/>
        </w:rPr>
        <w:t xml:space="preserve">Grid </w:t>
      </w:r>
      <w:r w:rsidR="00DA3702">
        <w:rPr>
          <w:rFonts w:ascii="Cambria" w:hAnsi="Cambria"/>
          <w:sz w:val="20"/>
          <w:szCs w:val="20"/>
          <w:lang w:val="en-US"/>
        </w:rPr>
        <w:t>connection requirement</w:t>
      </w:r>
      <w:r w:rsidR="002C6E5B">
        <w:rPr>
          <w:rFonts w:ascii="Cambria" w:hAnsi="Cambria"/>
          <w:sz w:val="20"/>
          <w:szCs w:val="20"/>
          <w:lang w:val="en-US"/>
        </w:rPr>
        <w:t>s</w:t>
      </w:r>
    </w:p>
    <w:p w14:paraId="740A6663" w14:textId="4BED24F2" w:rsidR="002C6E5B" w:rsidRDefault="002C6E5B" w:rsidP="002C6E5B">
      <w:pPr>
        <w:pStyle w:val="ListParagraph"/>
        <w:numPr>
          <w:ilvl w:val="1"/>
          <w:numId w:val="35"/>
        </w:numPr>
        <w:spacing w:after="0" w:line="280" w:lineRule="atLeast"/>
        <w:contextualSpacing w:val="0"/>
        <w:rPr>
          <w:rFonts w:ascii="Cambria" w:hAnsi="Cambria"/>
          <w:sz w:val="20"/>
          <w:szCs w:val="20"/>
          <w:lang w:val="en-US"/>
        </w:rPr>
      </w:pPr>
      <w:r>
        <w:rPr>
          <w:rFonts w:ascii="Cambria" w:hAnsi="Cambria"/>
          <w:sz w:val="20"/>
          <w:szCs w:val="20"/>
          <w:lang w:val="en-US"/>
        </w:rPr>
        <w:t>Flexib</w:t>
      </w:r>
      <w:r w:rsidR="00A54663">
        <w:rPr>
          <w:rFonts w:ascii="Cambria" w:hAnsi="Cambria"/>
          <w:sz w:val="20"/>
          <w:szCs w:val="20"/>
          <w:lang w:val="en-US"/>
        </w:rPr>
        <w:t xml:space="preserve">ility in power systems </w:t>
      </w:r>
    </w:p>
    <w:p w14:paraId="70E793D9" w14:textId="65A0B417" w:rsidR="00A54663" w:rsidRPr="00A54663" w:rsidRDefault="00A54663" w:rsidP="00A54663">
      <w:pPr>
        <w:pStyle w:val="ListParagraph"/>
        <w:numPr>
          <w:ilvl w:val="1"/>
          <w:numId w:val="35"/>
        </w:numPr>
        <w:spacing w:after="0" w:line="280" w:lineRule="atLeast"/>
        <w:contextualSpacing w:val="0"/>
        <w:rPr>
          <w:rFonts w:ascii="Cambria" w:hAnsi="Cambria"/>
          <w:sz w:val="20"/>
          <w:szCs w:val="20"/>
          <w:lang w:val="en-US"/>
        </w:rPr>
      </w:pPr>
      <w:r>
        <w:rPr>
          <w:rFonts w:ascii="Cambria" w:hAnsi="Cambria"/>
          <w:sz w:val="20"/>
          <w:szCs w:val="20"/>
          <w:lang w:val="en-US"/>
        </w:rPr>
        <w:t>Electricity markets</w:t>
      </w:r>
    </w:p>
    <w:p w14:paraId="1C990950" w14:textId="4D3F37EA" w:rsidR="008E6F4F" w:rsidRPr="0009695A" w:rsidRDefault="00A54663" w:rsidP="0009695A">
      <w:pPr>
        <w:pStyle w:val="ListParagraph"/>
        <w:numPr>
          <w:ilvl w:val="1"/>
          <w:numId w:val="35"/>
        </w:numPr>
        <w:spacing w:after="0" w:line="280" w:lineRule="atLeast"/>
        <w:contextualSpacing w:val="0"/>
        <w:rPr>
          <w:rFonts w:ascii="Cambria" w:hAnsi="Cambria"/>
          <w:sz w:val="20"/>
          <w:szCs w:val="20"/>
          <w:lang w:val="en-US"/>
        </w:rPr>
      </w:pPr>
      <w:r w:rsidRPr="0009695A">
        <w:rPr>
          <w:rFonts w:ascii="Cambria" w:hAnsi="Cambria"/>
          <w:sz w:val="20"/>
          <w:szCs w:val="20"/>
          <w:lang w:val="en-US"/>
        </w:rPr>
        <w:t>T</w:t>
      </w:r>
      <w:r w:rsidR="008E6F4F" w:rsidRPr="0009695A">
        <w:rPr>
          <w:rFonts w:ascii="Cambria" w:hAnsi="Cambria"/>
          <w:sz w:val="20"/>
          <w:szCs w:val="20"/>
          <w:lang w:val="en-US"/>
        </w:rPr>
        <w:t xml:space="preserve">he European </w:t>
      </w:r>
      <w:r>
        <w:rPr>
          <w:rFonts w:ascii="Cambria" w:hAnsi="Cambria"/>
          <w:sz w:val="20"/>
          <w:szCs w:val="20"/>
          <w:lang w:val="en-US"/>
        </w:rPr>
        <w:t>energy</w:t>
      </w:r>
      <w:r w:rsidR="008E6F4F" w:rsidRPr="0009695A">
        <w:rPr>
          <w:rFonts w:ascii="Cambria" w:hAnsi="Cambria"/>
          <w:sz w:val="20"/>
          <w:szCs w:val="20"/>
          <w:lang w:val="en-US"/>
        </w:rPr>
        <w:t xml:space="preserve"> sector</w:t>
      </w:r>
    </w:p>
    <w:p w14:paraId="34A213A5" w14:textId="19F15420" w:rsidR="00E946C4" w:rsidRDefault="00E946C4">
      <w:pPr>
        <w:spacing w:after="200" w:line="276" w:lineRule="auto"/>
        <w:rPr>
          <w:rFonts w:ascii="Calibri" w:hAnsi="Calibri" w:cs="Calibri"/>
          <w:b/>
          <w:szCs w:val="20"/>
        </w:rPr>
      </w:pPr>
    </w:p>
    <w:p w14:paraId="4BB45115" w14:textId="5FEB09AA" w:rsidR="00A551CB" w:rsidRDefault="00A551CB" w:rsidP="0009695A">
      <w:pPr>
        <w:keepNext/>
        <w:spacing w:after="120"/>
        <w:ind w:right="-2098"/>
        <w:rPr>
          <w:rFonts w:ascii="Calibri" w:hAnsi="Calibri" w:cs="Calibri"/>
        </w:rPr>
      </w:pPr>
    </w:p>
    <w:sectPr w:rsidR="00A551CB" w:rsidSect="00265570">
      <w:footerReference w:type="default" r:id="rId11"/>
      <w:headerReference w:type="first" r:id="rId12"/>
      <w:pgSz w:w="11906" w:h="16838" w:code="9"/>
      <w:pgMar w:top="993" w:right="1247" w:bottom="170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580D9" w14:textId="77777777" w:rsidR="00AB23BB" w:rsidRDefault="00AB23BB" w:rsidP="008969C1">
      <w:pPr>
        <w:spacing w:line="240" w:lineRule="auto"/>
      </w:pPr>
      <w:r>
        <w:separator/>
      </w:r>
    </w:p>
  </w:endnote>
  <w:endnote w:type="continuationSeparator" w:id="0">
    <w:p w14:paraId="39B1C0A1" w14:textId="77777777" w:rsidR="00AB23BB" w:rsidRDefault="00AB23BB" w:rsidP="008969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4716348"/>
      <w:docPartObj>
        <w:docPartGallery w:val="Page Numbers (Bottom of Page)"/>
        <w:docPartUnique/>
      </w:docPartObj>
    </w:sdtPr>
    <w:sdtEndPr>
      <w:rPr>
        <w:noProof/>
      </w:rPr>
    </w:sdtEndPr>
    <w:sdtContent>
      <w:p w14:paraId="41691847" w14:textId="0AEF82C9" w:rsidR="002B672C" w:rsidRDefault="002B672C">
        <w:pPr>
          <w:pStyle w:val="Footer"/>
          <w:jc w:val="right"/>
        </w:pPr>
        <w:r>
          <w:fldChar w:fldCharType="begin"/>
        </w:r>
        <w:r>
          <w:instrText xml:space="preserve"> PAGE   \* MERGEFORMAT </w:instrText>
        </w:r>
        <w:r>
          <w:fldChar w:fldCharType="separate"/>
        </w:r>
        <w:r w:rsidR="00FF6A92">
          <w:rPr>
            <w:noProof/>
          </w:rPr>
          <w:t>4</w:t>
        </w:r>
        <w:r>
          <w:rPr>
            <w:noProof/>
          </w:rPr>
          <w:fldChar w:fldCharType="end"/>
        </w:r>
      </w:p>
    </w:sdtContent>
  </w:sdt>
  <w:p w14:paraId="77D5297E" w14:textId="77777777" w:rsidR="002B672C" w:rsidRDefault="002B6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F9A12" w14:textId="77777777" w:rsidR="00AB23BB" w:rsidRDefault="00AB23BB" w:rsidP="008969C1">
      <w:pPr>
        <w:spacing w:line="240" w:lineRule="auto"/>
      </w:pPr>
      <w:r>
        <w:separator/>
      </w:r>
    </w:p>
  </w:footnote>
  <w:footnote w:type="continuationSeparator" w:id="0">
    <w:p w14:paraId="1467EE6C" w14:textId="77777777" w:rsidR="00AB23BB" w:rsidRDefault="00AB23BB" w:rsidP="008969C1">
      <w:pPr>
        <w:spacing w:line="240" w:lineRule="auto"/>
      </w:pPr>
      <w:r>
        <w:continuationSeparator/>
      </w:r>
    </w:p>
  </w:footnote>
  <w:footnote w:id="1">
    <w:p w14:paraId="0FE2CEF4" w14:textId="24A1405C" w:rsidR="000B560E" w:rsidRPr="0009695A" w:rsidRDefault="000B560E">
      <w:pPr>
        <w:pStyle w:val="FootnoteText"/>
        <w:rPr>
          <w:lang w:val="en-US"/>
        </w:rPr>
      </w:pPr>
      <w:r w:rsidRPr="0009695A">
        <w:rPr>
          <w:rStyle w:val="FootnoteReference"/>
          <w:sz w:val="16"/>
          <w:szCs w:val="16"/>
        </w:rPr>
        <w:footnoteRef/>
      </w:r>
      <w:r w:rsidRPr="0009695A">
        <w:rPr>
          <w:sz w:val="16"/>
          <w:szCs w:val="16"/>
        </w:rPr>
        <w:t xml:space="preserve"> </w:t>
      </w:r>
      <w:r w:rsidRPr="0009695A">
        <w:rPr>
          <w:sz w:val="16"/>
          <w:szCs w:val="16"/>
          <w:lang w:val="en-US"/>
        </w:rPr>
        <w:t xml:space="preserve">More information about the activities can be found here: </w:t>
      </w:r>
      <w:hyperlink r:id="rId1" w:history="1">
        <w:r w:rsidRPr="0009695A">
          <w:rPr>
            <w:rStyle w:val="Hyperlink"/>
            <w:sz w:val="16"/>
            <w:szCs w:val="16"/>
            <w:lang w:val="en-US"/>
          </w:rPr>
          <w:t>https://depp3.vn/</w:t>
        </w:r>
      </w:hyperlink>
      <w:r w:rsidRPr="0009695A">
        <w:rPr>
          <w:sz w:val="16"/>
          <w:szCs w:val="16"/>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340C8" w14:textId="77777777" w:rsidR="002B672C" w:rsidRPr="00473CDE" w:rsidRDefault="002B672C">
    <w:pPr>
      <w:pStyle w:val="Header"/>
      <w:rPr>
        <w:sz w:val="16"/>
      </w:rPr>
    </w:pPr>
    <w:r w:rsidRPr="00473CDE">
      <w:rPr>
        <w:noProof/>
        <w:sz w:val="16"/>
        <w:lang w:eastAsia="en-GB"/>
      </w:rPr>
      <w:drawing>
        <wp:anchor distT="0" distB="0" distL="114300" distR="114300" simplePos="0" relativeHeight="251669504" behindDoc="0" locked="0" layoutInCell="1" allowOverlap="1" wp14:anchorId="26873D37" wp14:editId="2D442BEA">
          <wp:simplePos x="0" y="0"/>
          <wp:positionH relativeFrom="page">
            <wp:posOffset>5464396</wp:posOffset>
          </wp:positionH>
          <wp:positionV relativeFrom="page">
            <wp:posOffset>429260</wp:posOffset>
          </wp:positionV>
          <wp:extent cx="1168013" cy="410613"/>
          <wp:effectExtent l="0" t="0" r="0" b="8890"/>
          <wp:wrapNone/>
          <wp:docPr id="7"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S_RGB_UK.png"/>
                  <pic:cNvPicPr/>
                </pic:nvPicPr>
                <pic:blipFill>
                  <a:blip r:embed="rId1">
                    <a:extLst>
                      <a:ext uri="{28A0092B-C50C-407E-A947-70E740481C1C}">
                        <a14:useLocalDpi xmlns:a14="http://schemas.microsoft.com/office/drawing/2010/main" val="0"/>
                      </a:ext>
                    </a:extLst>
                  </a:blip>
                  <a:stretch>
                    <a:fillRect/>
                  </a:stretch>
                </pic:blipFill>
                <pic:spPr>
                  <a:xfrm>
                    <a:off x="0" y="0"/>
                    <a:ext cx="1168013" cy="41061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9E26C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F0E7B"/>
    <w:multiLevelType w:val="hybridMultilevel"/>
    <w:tmpl w:val="06B47A5A"/>
    <w:lvl w:ilvl="0" w:tplc="4C90A388">
      <w:start w:val="1"/>
      <w:numFmt w:val="decimal"/>
      <w:pStyle w:val="Heading1"/>
      <w:lvlText w:val="%1"/>
      <w:lvlJc w:val="left"/>
      <w:pPr>
        <w:ind w:left="360" w:hanging="360"/>
      </w:pPr>
      <w:rPr>
        <w:rFonts w:hint="default"/>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15:restartNumberingAfterBreak="0">
    <w:nsid w:val="093D1488"/>
    <w:multiLevelType w:val="multilevel"/>
    <w:tmpl w:val="67BC1A1C"/>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37149A"/>
    <w:multiLevelType w:val="singleLevel"/>
    <w:tmpl w:val="5AB2D174"/>
    <w:lvl w:ilvl="0">
      <w:start w:val="1"/>
      <w:numFmt w:val="decimal"/>
      <w:lvlRestart w:val="0"/>
      <w:lvlText w:val="%1."/>
      <w:lvlJc w:val="left"/>
      <w:pPr>
        <w:tabs>
          <w:tab w:val="num" w:pos="360"/>
        </w:tabs>
        <w:ind w:left="360" w:hanging="360"/>
      </w:pPr>
      <w:rPr>
        <w:sz w:val="20"/>
        <w:szCs w:val="20"/>
      </w:rPr>
    </w:lvl>
  </w:abstractNum>
  <w:abstractNum w:abstractNumId="4" w15:restartNumberingAfterBreak="0">
    <w:nsid w:val="0B515F5B"/>
    <w:multiLevelType w:val="hybridMultilevel"/>
    <w:tmpl w:val="EAD4894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F513B9D"/>
    <w:multiLevelType w:val="multilevel"/>
    <w:tmpl w:val="3058EAD2"/>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11D42B4"/>
    <w:multiLevelType w:val="hybridMultilevel"/>
    <w:tmpl w:val="8EA6EC80"/>
    <w:lvl w:ilvl="0" w:tplc="2450837C">
      <w:start w:val="1"/>
      <w:numFmt w:val="bullet"/>
      <w:lvlText w:val=""/>
      <w:lvlJc w:val="left"/>
      <w:pPr>
        <w:ind w:left="1069" w:hanging="360"/>
      </w:pPr>
      <w:rPr>
        <w:rFonts w:ascii="Symbol" w:hAnsi="Symbol"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15C9654C"/>
    <w:multiLevelType w:val="hybridMultilevel"/>
    <w:tmpl w:val="3C96A6E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6933949"/>
    <w:multiLevelType w:val="multilevel"/>
    <w:tmpl w:val="354AA8D2"/>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6BC7195"/>
    <w:multiLevelType w:val="hybridMultilevel"/>
    <w:tmpl w:val="CBF4ECF8"/>
    <w:lvl w:ilvl="0" w:tplc="20248D3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4D797B"/>
    <w:multiLevelType w:val="multilevel"/>
    <w:tmpl w:val="16E6B92A"/>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B4D1D1B"/>
    <w:multiLevelType w:val="hybridMultilevel"/>
    <w:tmpl w:val="7EBA2CF0"/>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2" w15:restartNumberingAfterBreak="0">
    <w:nsid w:val="1D5A2DBD"/>
    <w:multiLevelType w:val="multilevel"/>
    <w:tmpl w:val="D354E6D0"/>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E0A2F44"/>
    <w:multiLevelType w:val="hybridMultilevel"/>
    <w:tmpl w:val="97982136"/>
    <w:lvl w:ilvl="0" w:tplc="C15A0DE6">
      <w:start w:val="1"/>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F844838"/>
    <w:multiLevelType w:val="multilevel"/>
    <w:tmpl w:val="BDAE357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24D143E"/>
    <w:multiLevelType w:val="hybridMultilevel"/>
    <w:tmpl w:val="78CC854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6EB3D41"/>
    <w:multiLevelType w:val="hybridMultilevel"/>
    <w:tmpl w:val="5F1E5C8E"/>
    <w:lvl w:ilvl="0" w:tplc="FAC866B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4C0807"/>
    <w:multiLevelType w:val="hybridMultilevel"/>
    <w:tmpl w:val="DD7802B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2C446313"/>
    <w:multiLevelType w:val="hybridMultilevel"/>
    <w:tmpl w:val="546C0872"/>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2CDA6707"/>
    <w:multiLevelType w:val="hybridMultilevel"/>
    <w:tmpl w:val="7DBE8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CEA53CA"/>
    <w:multiLevelType w:val="hybridMultilevel"/>
    <w:tmpl w:val="8716F7CA"/>
    <w:lvl w:ilvl="0" w:tplc="0406000B">
      <w:start w:val="1"/>
      <w:numFmt w:val="bullet"/>
      <w:lvlText w:val=""/>
      <w:lvlJc w:val="left"/>
      <w:pPr>
        <w:ind w:left="1069" w:hanging="360"/>
      </w:pPr>
      <w:rPr>
        <w:rFonts w:ascii="Wingdings" w:hAnsi="Wingdings"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2E2577C0"/>
    <w:multiLevelType w:val="hybridMultilevel"/>
    <w:tmpl w:val="2ADC901C"/>
    <w:lvl w:ilvl="0" w:tplc="FAC866B4">
      <w:start w:val="1"/>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2E3D0823"/>
    <w:multiLevelType w:val="hybridMultilevel"/>
    <w:tmpl w:val="93606466"/>
    <w:lvl w:ilvl="0" w:tplc="CBA28F38">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33AF6BDD"/>
    <w:multiLevelType w:val="multilevel"/>
    <w:tmpl w:val="7FE04318"/>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57517D1"/>
    <w:multiLevelType w:val="hybridMultilevel"/>
    <w:tmpl w:val="AC4082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3857316A"/>
    <w:multiLevelType w:val="hybridMultilevel"/>
    <w:tmpl w:val="7CE6FA92"/>
    <w:lvl w:ilvl="0" w:tplc="E5440156">
      <w:start w:val="3"/>
      <w:numFmt w:val="bullet"/>
      <w:lvlText w:val="-"/>
      <w:lvlJc w:val="left"/>
      <w:pPr>
        <w:ind w:left="1069" w:hanging="360"/>
      </w:pPr>
      <w:rPr>
        <w:rFonts w:ascii="Calibri" w:eastAsiaTheme="minorHAns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15:restartNumberingAfterBreak="0">
    <w:nsid w:val="39B05904"/>
    <w:multiLevelType w:val="hybridMultilevel"/>
    <w:tmpl w:val="7EBA2CF0"/>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43E67E33"/>
    <w:multiLevelType w:val="hybridMultilevel"/>
    <w:tmpl w:val="93F824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45C146FF"/>
    <w:multiLevelType w:val="hybridMultilevel"/>
    <w:tmpl w:val="CAB2C726"/>
    <w:lvl w:ilvl="0" w:tplc="5748D250">
      <w:numFmt w:val="bullet"/>
      <w:lvlText w:val="-"/>
      <w:lvlJc w:val="left"/>
      <w:pPr>
        <w:ind w:left="720" w:hanging="360"/>
      </w:pPr>
      <w:rPr>
        <w:rFonts w:ascii="Cambria" w:eastAsiaTheme="minorHAnsi" w:hAnsi="Cambria" w:cstheme="minorHAns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4C1C0F10"/>
    <w:multiLevelType w:val="multilevel"/>
    <w:tmpl w:val="425A02B0"/>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C674EE4"/>
    <w:multiLevelType w:val="multilevel"/>
    <w:tmpl w:val="AF5C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5D1BDD"/>
    <w:multiLevelType w:val="hybridMultilevel"/>
    <w:tmpl w:val="34D88E5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2" w15:restartNumberingAfterBreak="0">
    <w:nsid w:val="55E6179B"/>
    <w:multiLevelType w:val="hybridMultilevel"/>
    <w:tmpl w:val="7810859A"/>
    <w:lvl w:ilvl="0" w:tplc="04220001">
      <w:start w:val="1"/>
      <w:numFmt w:val="bullet"/>
      <w:lvlText w:val=""/>
      <w:lvlJc w:val="left"/>
      <w:pPr>
        <w:ind w:left="720" w:hanging="360"/>
      </w:pPr>
      <w:rPr>
        <w:rFonts w:ascii="Symbol" w:hAnsi="Symbol" w:hint="default"/>
      </w:rPr>
    </w:lvl>
    <w:lvl w:ilvl="1" w:tplc="2450837C">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563A2FFF"/>
    <w:multiLevelType w:val="multilevel"/>
    <w:tmpl w:val="C936AC96"/>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9172232"/>
    <w:multiLevelType w:val="multilevel"/>
    <w:tmpl w:val="B0DA244A"/>
    <w:lvl w:ilvl="0">
      <w:start w:val="1"/>
      <w:numFmt w:val="bullet"/>
      <w:lvlRestart w:val="0"/>
      <w:lvlText w:val=""/>
      <w:lvlJc w:val="left"/>
      <w:pPr>
        <w:tabs>
          <w:tab w:val="num" w:pos="720"/>
        </w:tabs>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5" w15:restartNumberingAfterBreak="0">
    <w:nsid w:val="63D06482"/>
    <w:multiLevelType w:val="multilevel"/>
    <w:tmpl w:val="05EA4A96"/>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10B7199"/>
    <w:multiLevelType w:val="multilevel"/>
    <w:tmpl w:val="8C2268E0"/>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6A31C55"/>
    <w:multiLevelType w:val="hybridMultilevel"/>
    <w:tmpl w:val="23921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AE4A9C"/>
    <w:multiLevelType w:val="hybridMultilevel"/>
    <w:tmpl w:val="146E094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Times New Roman"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Times New Roman"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Times New Roman" w:hint="default"/>
      </w:rPr>
    </w:lvl>
    <w:lvl w:ilvl="8" w:tplc="04060005">
      <w:start w:val="1"/>
      <w:numFmt w:val="bullet"/>
      <w:lvlText w:val=""/>
      <w:lvlJc w:val="left"/>
      <w:pPr>
        <w:ind w:left="6480" w:hanging="360"/>
      </w:pPr>
      <w:rPr>
        <w:rFonts w:ascii="Wingdings" w:hAnsi="Wingdings" w:hint="default"/>
      </w:rPr>
    </w:lvl>
  </w:abstractNum>
  <w:abstractNum w:abstractNumId="39" w15:restartNumberingAfterBreak="0">
    <w:nsid w:val="77EE308F"/>
    <w:multiLevelType w:val="multilevel"/>
    <w:tmpl w:val="1520CFB6"/>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8EB315A"/>
    <w:multiLevelType w:val="hybridMultilevel"/>
    <w:tmpl w:val="0CFC7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7356FB"/>
    <w:multiLevelType w:val="hybridMultilevel"/>
    <w:tmpl w:val="29AC0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ED3295"/>
    <w:multiLevelType w:val="hybridMultilevel"/>
    <w:tmpl w:val="62586366"/>
    <w:lvl w:ilvl="0" w:tplc="F31CFC44">
      <w:start w:val="4"/>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7C3C6FE2"/>
    <w:multiLevelType w:val="multilevel"/>
    <w:tmpl w:val="3804554E"/>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4C4511"/>
    <w:multiLevelType w:val="multilevel"/>
    <w:tmpl w:val="71A09106"/>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F1C2FF9"/>
    <w:multiLevelType w:val="hybridMultilevel"/>
    <w:tmpl w:val="2308477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18"/>
  </w:num>
  <w:num w:numId="2">
    <w:abstractNumId w:val="22"/>
  </w:num>
  <w:num w:numId="3">
    <w:abstractNumId w:val="13"/>
  </w:num>
  <w:num w:numId="4">
    <w:abstractNumId w:val="3"/>
  </w:num>
  <w:num w:numId="5">
    <w:abstractNumId w:val="0"/>
  </w:num>
  <w:num w:numId="6">
    <w:abstractNumId w:val="29"/>
  </w:num>
  <w:num w:numId="7">
    <w:abstractNumId w:val="34"/>
  </w:num>
  <w:num w:numId="8">
    <w:abstractNumId w:val="39"/>
  </w:num>
  <w:num w:numId="9">
    <w:abstractNumId w:val="5"/>
  </w:num>
  <w:num w:numId="10">
    <w:abstractNumId w:val="10"/>
  </w:num>
  <w:num w:numId="11">
    <w:abstractNumId w:val="1"/>
  </w:num>
  <w:num w:numId="12">
    <w:abstractNumId w:val="38"/>
  </w:num>
  <w:num w:numId="13">
    <w:abstractNumId w:val="23"/>
  </w:num>
  <w:num w:numId="14">
    <w:abstractNumId w:val="8"/>
  </w:num>
  <w:num w:numId="15">
    <w:abstractNumId w:val="42"/>
  </w:num>
  <w:num w:numId="16">
    <w:abstractNumId w:val="24"/>
  </w:num>
  <w:num w:numId="17">
    <w:abstractNumId w:val="45"/>
  </w:num>
  <w:num w:numId="18">
    <w:abstractNumId w:val="31"/>
  </w:num>
  <w:num w:numId="19">
    <w:abstractNumId w:val="35"/>
  </w:num>
  <w:num w:numId="20">
    <w:abstractNumId w:val="33"/>
  </w:num>
  <w:num w:numId="21">
    <w:abstractNumId w:val="43"/>
  </w:num>
  <w:num w:numId="22">
    <w:abstractNumId w:val="36"/>
  </w:num>
  <w:num w:numId="23">
    <w:abstractNumId w:val="44"/>
  </w:num>
  <w:num w:numId="24">
    <w:abstractNumId w:val="2"/>
  </w:num>
  <w:num w:numId="25">
    <w:abstractNumId w:val="12"/>
  </w:num>
  <w:num w:numId="26">
    <w:abstractNumId w:val="7"/>
  </w:num>
  <w:num w:numId="27">
    <w:abstractNumId w:val="4"/>
  </w:num>
  <w:num w:numId="28">
    <w:abstractNumId w:val="14"/>
  </w:num>
  <w:num w:numId="29">
    <w:abstractNumId w:val="32"/>
  </w:num>
  <w:num w:numId="30">
    <w:abstractNumId w:val="19"/>
  </w:num>
  <w:num w:numId="31">
    <w:abstractNumId w:val="25"/>
  </w:num>
  <w:num w:numId="32">
    <w:abstractNumId w:val="6"/>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11"/>
  </w:num>
  <w:num w:numId="36">
    <w:abstractNumId w:val="20"/>
  </w:num>
  <w:num w:numId="37">
    <w:abstractNumId w:val="9"/>
  </w:num>
  <w:num w:numId="38">
    <w:abstractNumId w:val="27"/>
  </w:num>
  <w:num w:numId="39">
    <w:abstractNumId w:val="21"/>
  </w:num>
  <w:num w:numId="40">
    <w:abstractNumId w:val="17"/>
  </w:num>
  <w:num w:numId="41">
    <w:abstractNumId w:val="28"/>
  </w:num>
  <w:num w:numId="42">
    <w:abstractNumId w:val="26"/>
  </w:num>
  <w:num w:numId="43">
    <w:abstractNumId w:val="37"/>
  </w:num>
  <w:num w:numId="44">
    <w:abstractNumId w:val="40"/>
  </w:num>
  <w:num w:numId="45">
    <w:abstractNumId w:val="41"/>
  </w:num>
  <w:num w:numId="46">
    <w:abstractNumId w:val="16"/>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activeWritingStyle w:appName="MSWord" w:lang="da-DK"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a-DK"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da-DK" w:vendorID="64" w:dllVersion="131078" w:nlCheck="1" w:checkStyle="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F91"/>
    <w:rsid w:val="00001FBB"/>
    <w:rsid w:val="00005122"/>
    <w:rsid w:val="00005286"/>
    <w:rsid w:val="0000672F"/>
    <w:rsid w:val="00010E13"/>
    <w:rsid w:val="00016A91"/>
    <w:rsid w:val="00020490"/>
    <w:rsid w:val="000227C6"/>
    <w:rsid w:val="00022817"/>
    <w:rsid w:val="00024463"/>
    <w:rsid w:val="00024D6A"/>
    <w:rsid w:val="00030058"/>
    <w:rsid w:val="000333F9"/>
    <w:rsid w:val="00034EFD"/>
    <w:rsid w:val="00036061"/>
    <w:rsid w:val="00037F26"/>
    <w:rsid w:val="00040657"/>
    <w:rsid w:val="000442A8"/>
    <w:rsid w:val="00044D72"/>
    <w:rsid w:val="00064564"/>
    <w:rsid w:val="000658F3"/>
    <w:rsid w:val="00065C74"/>
    <w:rsid w:val="00070DBD"/>
    <w:rsid w:val="00075D5C"/>
    <w:rsid w:val="000778A4"/>
    <w:rsid w:val="000806FA"/>
    <w:rsid w:val="0008556C"/>
    <w:rsid w:val="00086163"/>
    <w:rsid w:val="00086882"/>
    <w:rsid w:val="000916DF"/>
    <w:rsid w:val="00092AE4"/>
    <w:rsid w:val="00095992"/>
    <w:rsid w:val="0009695A"/>
    <w:rsid w:val="000A08E2"/>
    <w:rsid w:val="000A0A1A"/>
    <w:rsid w:val="000A1299"/>
    <w:rsid w:val="000A13DB"/>
    <w:rsid w:val="000A17DF"/>
    <w:rsid w:val="000A6923"/>
    <w:rsid w:val="000B2EFA"/>
    <w:rsid w:val="000B3A07"/>
    <w:rsid w:val="000B560E"/>
    <w:rsid w:val="000B794D"/>
    <w:rsid w:val="000C0F67"/>
    <w:rsid w:val="000C2E04"/>
    <w:rsid w:val="000C5E5F"/>
    <w:rsid w:val="000D4055"/>
    <w:rsid w:val="000D4473"/>
    <w:rsid w:val="000D6165"/>
    <w:rsid w:val="000D660A"/>
    <w:rsid w:val="000D7D55"/>
    <w:rsid w:val="000E7EAF"/>
    <w:rsid w:val="000F154C"/>
    <w:rsid w:val="000F25F5"/>
    <w:rsid w:val="000F50F8"/>
    <w:rsid w:val="000F5B29"/>
    <w:rsid w:val="000F7587"/>
    <w:rsid w:val="00102630"/>
    <w:rsid w:val="00103B91"/>
    <w:rsid w:val="00106658"/>
    <w:rsid w:val="0011017A"/>
    <w:rsid w:val="0011021C"/>
    <w:rsid w:val="00111B14"/>
    <w:rsid w:val="0011348D"/>
    <w:rsid w:val="00114337"/>
    <w:rsid w:val="0012008D"/>
    <w:rsid w:val="00125CE7"/>
    <w:rsid w:val="001265EF"/>
    <w:rsid w:val="00132B65"/>
    <w:rsid w:val="0013690C"/>
    <w:rsid w:val="00140C61"/>
    <w:rsid w:val="00141FCE"/>
    <w:rsid w:val="0014458A"/>
    <w:rsid w:val="001453D3"/>
    <w:rsid w:val="0015458F"/>
    <w:rsid w:val="0015648B"/>
    <w:rsid w:val="00156600"/>
    <w:rsid w:val="00156733"/>
    <w:rsid w:val="001576CF"/>
    <w:rsid w:val="00161758"/>
    <w:rsid w:val="00162854"/>
    <w:rsid w:val="001701D9"/>
    <w:rsid w:val="00171CD6"/>
    <w:rsid w:val="0017234E"/>
    <w:rsid w:val="00173F22"/>
    <w:rsid w:val="00174CF5"/>
    <w:rsid w:val="00181710"/>
    <w:rsid w:val="0018347A"/>
    <w:rsid w:val="0019002F"/>
    <w:rsid w:val="0019024A"/>
    <w:rsid w:val="001922F5"/>
    <w:rsid w:val="001975A7"/>
    <w:rsid w:val="001A1CAA"/>
    <w:rsid w:val="001A2903"/>
    <w:rsid w:val="001A33EA"/>
    <w:rsid w:val="001A544B"/>
    <w:rsid w:val="001A78BD"/>
    <w:rsid w:val="001B7007"/>
    <w:rsid w:val="001C332C"/>
    <w:rsid w:val="001C599B"/>
    <w:rsid w:val="001C6359"/>
    <w:rsid w:val="001D2793"/>
    <w:rsid w:val="001D3E0B"/>
    <w:rsid w:val="001E0A18"/>
    <w:rsid w:val="001E22AC"/>
    <w:rsid w:val="001E322F"/>
    <w:rsid w:val="001E6061"/>
    <w:rsid w:val="001F433E"/>
    <w:rsid w:val="001F5681"/>
    <w:rsid w:val="001F654A"/>
    <w:rsid w:val="00204DB3"/>
    <w:rsid w:val="00210D49"/>
    <w:rsid w:val="0021215D"/>
    <w:rsid w:val="002150F3"/>
    <w:rsid w:val="0021682C"/>
    <w:rsid w:val="00217FDD"/>
    <w:rsid w:val="00225CFD"/>
    <w:rsid w:val="00226068"/>
    <w:rsid w:val="00227C11"/>
    <w:rsid w:val="00234DC2"/>
    <w:rsid w:val="00245E81"/>
    <w:rsid w:val="00251488"/>
    <w:rsid w:val="00260E47"/>
    <w:rsid w:val="002611C9"/>
    <w:rsid w:val="002624CB"/>
    <w:rsid w:val="002645B6"/>
    <w:rsid w:val="00265570"/>
    <w:rsid w:val="0027768F"/>
    <w:rsid w:val="00280E8D"/>
    <w:rsid w:val="00283626"/>
    <w:rsid w:val="002861AB"/>
    <w:rsid w:val="0028679F"/>
    <w:rsid w:val="00291C97"/>
    <w:rsid w:val="00295CAC"/>
    <w:rsid w:val="00296E6F"/>
    <w:rsid w:val="002A0FE1"/>
    <w:rsid w:val="002A1915"/>
    <w:rsid w:val="002A44CC"/>
    <w:rsid w:val="002A4EDA"/>
    <w:rsid w:val="002B672C"/>
    <w:rsid w:val="002C3412"/>
    <w:rsid w:val="002C4A66"/>
    <w:rsid w:val="002C5005"/>
    <w:rsid w:val="002C6E5B"/>
    <w:rsid w:val="002D763B"/>
    <w:rsid w:val="002E11DD"/>
    <w:rsid w:val="002E435E"/>
    <w:rsid w:val="002E6E73"/>
    <w:rsid w:val="002E72E3"/>
    <w:rsid w:val="002E79B2"/>
    <w:rsid w:val="002F1126"/>
    <w:rsid w:val="002F5BB2"/>
    <w:rsid w:val="002F5D3C"/>
    <w:rsid w:val="0030300A"/>
    <w:rsid w:val="00305435"/>
    <w:rsid w:val="003224C8"/>
    <w:rsid w:val="00325BA8"/>
    <w:rsid w:val="00331603"/>
    <w:rsid w:val="00331BD5"/>
    <w:rsid w:val="00332494"/>
    <w:rsid w:val="0033441A"/>
    <w:rsid w:val="00334BFA"/>
    <w:rsid w:val="00335D38"/>
    <w:rsid w:val="003369CF"/>
    <w:rsid w:val="0034007A"/>
    <w:rsid w:val="00342541"/>
    <w:rsid w:val="0034311A"/>
    <w:rsid w:val="003479FE"/>
    <w:rsid w:val="00347BCC"/>
    <w:rsid w:val="00352DBE"/>
    <w:rsid w:val="00354D40"/>
    <w:rsid w:val="0035775C"/>
    <w:rsid w:val="003620EB"/>
    <w:rsid w:val="00362E14"/>
    <w:rsid w:val="003631E0"/>
    <w:rsid w:val="00363841"/>
    <w:rsid w:val="00363DF6"/>
    <w:rsid w:val="00364BE6"/>
    <w:rsid w:val="00370DB0"/>
    <w:rsid w:val="00375E69"/>
    <w:rsid w:val="0038239F"/>
    <w:rsid w:val="00390101"/>
    <w:rsid w:val="00390A80"/>
    <w:rsid w:val="0039375D"/>
    <w:rsid w:val="00397797"/>
    <w:rsid w:val="003A1D35"/>
    <w:rsid w:val="003B2847"/>
    <w:rsid w:val="003B31EC"/>
    <w:rsid w:val="003B37FD"/>
    <w:rsid w:val="003B5DBB"/>
    <w:rsid w:val="003C32AB"/>
    <w:rsid w:val="003C4EC3"/>
    <w:rsid w:val="003D762D"/>
    <w:rsid w:val="003E0FAB"/>
    <w:rsid w:val="003E1AB6"/>
    <w:rsid w:val="003E5864"/>
    <w:rsid w:val="003E6236"/>
    <w:rsid w:val="003F532F"/>
    <w:rsid w:val="0040112E"/>
    <w:rsid w:val="0040249B"/>
    <w:rsid w:val="00406D75"/>
    <w:rsid w:val="004129C4"/>
    <w:rsid w:val="00421D0F"/>
    <w:rsid w:val="00422D5E"/>
    <w:rsid w:val="00424D0E"/>
    <w:rsid w:val="0042773E"/>
    <w:rsid w:val="004319A4"/>
    <w:rsid w:val="00441DBB"/>
    <w:rsid w:val="00444AC6"/>
    <w:rsid w:val="004456A7"/>
    <w:rsid w:val="00450B3B"/>
    <w:rsid w:val="0045143B"/>
    <w:rsid w:val="0045239B"/>
    <w:rsid w:val="004532ED"/>
    <w:rsid w:val="00464A6E"/>
    <w:rsid w:val="0046522C"/>
    <w:rsid w:val="004704DA"/>
    <w:rsid w:val="004730C0"/>
    <w:rsid w:val="00473CDE"/>
    <w:rsid w:val="00481526"/>
    <w:rsid w:val="00481EDB"/>
    <w:rsid w:val="00486C59"/>
    <w:rsid w:val="004A0ADC"/>
    <w:rsid w:val="004A4508"/>
    <w:rsid w:val="004A62D4"/>
    <w:rsid w:val="004B0F0F"/>
    <w:rsid w:val="004B148E"/>
    <w:rsid w:val="004B5781"/>
    <w:rsid w:val="004C36DA"/>
    <w:rsid w:val="004C399F"/>
    <w:rsid w:val="004D2C97"/>
    <w:rsid w:val="004D7A9D"/>
    <w:rsid w:val="004E12CD"/>
    <w:rsid w:val="004E4D62"/>
    <w:rsid w:val="004F16BA"/>
    <w:rsid w:val="004F262C"/>
    <w:rsid w:val="004F32B3"/>
    <w:rsid w:val="004F5C81"/>
    <w:rsid w:val="004F60C4"/>
    <w:rsid w:val="004F7ACC"/>
    <w:rsid w:val="00504DA6"/>
    <w:rsid w:val="00506F01"/>
    <w:rsid w:val="00525168"/>
    <w:rsid w:val="00525B7E"/>
    <w:rsid w:val="00525CBC"/>
    <w:rsid w:val="00525F26"/>
    <w:rsid w:val="00527652"/>
    <w:rsid w:val="00532B23"/>
    <w:rsid w:val="00534231"/>
    <w:rsid w:val="00537AA2"/>
    <w:rsid w:val="00543952"/>
    <w:rsid w:val="005456CC"/>
    <w:rsid w:val="00545C33"/>
    <w:rsid w:val="00550907"/>
    <w:rsid w:val="00552C03"/>
    <w:rsid w:val="00560254"/>
    <w:rsid w:val="005735F2"/>
    <w:rsid w:val="005765AA"/>
    <w:rsid w:val="00577AF2"/>
    <w:rsid w:val="005839FD"/>
    <w:rsid w:val="0058449F"/>
    <w:rsid w:val="00587E68"/>
    <w:rsid w:val="00595A72"/>
    <w:rsid w:val="00595F46"/>
    <w:rsid w:val="00596CB5"/>
    <w:rsid w:val="005A3B24"/>
    <w:rsid w:val="005A4F1B"/>
    <w:rsid w:val="005A5528"/>
    <w:rsid w:val="005B2B0B"/>
    <w:rsid w:val="005C6154"/>
    <w:rsid w:val="005D4E8E"/>
    <w:rsid w:val="005D78F8"/>
    <w:rsid w:val="005E6E05"/>
    <w:rsid w:val="005F1025"/>
    <w:rsid w:val="005F1668"/>
    <w:rsid w:val="005F30E5"/>
    <w:rsid w:val="005F3CA5"/>
    <w:rsid w:val="005F7668"/>
    <w:rsid w:val="005F7890"/>
    <w:rsid w:val="00600C3E"/>
    <w:rsid w:val="00600F34"/>
    <w:rsid w:val="0060432B"/>
    <w:rsid w:val="00604883"/>
    <w:rsid w:val="00606384"/>
    <w:rsid w:val="006066EA"/>
    <w:rsid w:val="00607774"/>
    <w:rsid w:val="00615814"/>
    <w:rsid w:val="00617F91"/>
    <w:rsid w:val="006202F5"/>
    <w:rsid w:val="00621590"/>
    <w:rsid w:val="00622845"/>
    <w:rsid w:val="00622EAD"/>
    <w:rsid w:val="00624196"/>
    <w:rsid w:val="0062698D"/>
    <w:rsid w:val="00627C61"/>
    <w:rsid w:val="00632164"/>
    <w:rsid w:val="00632C99"/>
    <w:rsid w:val="00632E9C"/>
    <w:rsid w:val="006334E5"/>
    <w:rsid w:val="00637555"/>
    <w:rsid w:val="00637DA3"/>
    <w:rsid w:val="0064721B"/>
    <w:rsid w:val="00647D40"/>
    <w:rsid w:val="00651E4E"/>
    <w:rsid w:val="00655018"/>
    <w:rsid w:val="006574B6"/>
    <w:rsid w:val="00657880"/>
    <w:rsid w:val="00663CF6"/>
    <w:rsid w:val="006652F9"/>
    <w:rsid w:val="00665F29"/>
    <w:rsid w:val="00671195"/>
    <w:rsid w:val="006803EB"/>
    <w:rsid w:val="00681DB3"/>
    <w:rsid w:val="00682A6E"/>
    <w:rsid w:val="00685D60"/>
    <w:rsid w:val="00691553"/>
    <w:rsid w:val="00692624"/>
    <w:rsid w:val="0069266B"/>
    <w:rsid w:val="0069299F"/>
    <w:rsid w:val="00696247"/>
    <w:rsid w:val="006974AB"/>
    <w:rsid w:val="006B0DEA"/>
    <w:rsid w:val="006B264B"/>
    <w:rsid w:val="006B6D1F"/>
    <w:rsid w:val="006B7FC9"/>
    <w:rsid w:val="006C3F62"/>
    <w:rsid w:val="006C6CDE"/>
    <w:rsid w:val="006C7F03"/>
    <w:rsid w:val="006D0834"/>
    <w:rsid w:val="006D3FA6"/>
    <w:rsid w:val="006D414C"/>
    <w:rsid w:val="006D5356"/>
    <w:rsid w:val="006D6210"/>
    <w:rsid w:val="006E33C4"/>
    <w:rsid w:val="006E489B"/>
    <w:rsid w:val="006E5BFD"/>
    <w:rsid w:val="006E691D"/>
    <w:rsid w:val="006E6A80"/>
    <w:rsid w:val="006E7946"/>
    <w:rsid w:val="006F14E4"/>
    <w:rsid w:val="006F4553"/>
    <w:rsid w:val="006F463F"/>
    <w:rsid w:val="0070023F"/>
    <w:rsid w:val="007033C6"/>
    <w:rsid w:val="0070595E"/>
    <w:rsid w:val="007212C7"/>
    <w:rsid w:val="00721870"/>
    <w:rsid w:val="00724D52"/>
    <w:rsid w:val="00725358"/>
    <w:rsid w:val="00727053"/>
    <w:rsid w:val="00727FF8"/>
    <w:rsid w:val="00732AB0"/>
    <w:rsid w:val="00745E34"/>
    <w:rsid w:val="00747AEB"/>
    <w:rsid w:val="007636C2"/>
    <w:rsid w:val="00772F68"/>
    <w:rsid w:val="00782391"/>
    <w:rsid w:val="007832F0"/>
    <w:rsid w:val="0078780A"/>
    <w:rsid w:val="00795533"/>
    <w:rsid w:val="00796FC6"/>
    <w:rsid w:val="007A29B9"/>
    <w:rsid w:val="007A46DB"/>
    <w:rsid w:val="007B419B"/>
    <w:rsid w:val="007B7270"/>
    <w:rsid w:val="007D37DA"/>
    <w:rsid w:val="007D3861"/>
    <w:rsid w:val="007E0288"/>
    <w:rsid w:val="007E0E8B"/>
    <w:rsid w:val="007E622B"/>
    <w:rsid w:val="007F3B2B"/>
    <w:rsid w:val="00800E2B"/>
    <w:rsid w:val="00802C9E"/>
    <w:rsid w:val="0080468E"/>
    <w:rsid w:val="0080571F"/>
    <w:rsid w:val="008064D5"/>
    <w:rsid w:val="00811BB6"/>
    <w:rsid w:val="008131BA"/>
    <w:rsid w:val="0081380D"/>
    <w:rsid w:val="00815972"/>
    <w:rsid w:val="008176EC"/>
    <w:rsid w:val="00817EFE"/>
    <w:rsid w:val="00820B4F"/>
    <w:rsid w:val="00823E2F"/>
    <w:rsid w:val="0082538E"/>
    <w:rsid w:val="008255FF"/>
    <w:rsid w:val="00825BEF"/>
    <w:rsid w:val="00833573"/>
    <w:rsid w:val="0083638C"/>
    <w:rsid w:val="00847556"/>
    <w:rsid w:val="0085177D"/>
    <w:rsid w:val="008519A7"/>
    <w:rsid w:val="0085640B"/>
    <w:rsid w:val="00860126"/>
    <w:rsid w:val="00860581"/>
    <w:rsid w:val="00861E88"/>
    <w:rsid w:val="00863004"/>
    <w:rsid w:val="0086479D"/>
    <w:rsid w:val="008651B3"/>
    <w:rsid w:val="00876FD2"/>
    <w:rsid w:val="0088093C"/>
    <w:rsid w:val="00882046"/>
    <w:rsid w:val="00884969"/>
    <w:rsid w:val="00884B2E"/>
    <w:rsid w:val="00885DAD"/>
    <w:rsid w:val="00886C46"/>
    <w:rsid w:val="00890574"/>
    <w:rsid w:val="00891059"/>
    <w:rsid w:val="008968E8"/>
    <w:rsid w:val="008969C1"/>
    <w:rsid w:val="0089742F"/>
    <w:rsid w:val="008976EC"/>
    <w:rsid w:val="008A656B"/>
    <w:rsid w:val="008B17AA"/>
    <w:rsid w:val="008B29DD"/>
    <w:rsid w:val="008B5287"/>
    <w:rsid w:val="008B6CCA"/>
    <w:rsid w:val="008B71E6"/>
    <w:rsid w:val="008C24B2"/>
    <w:rsid w:val="008C2CA2"/>
    <w:rsid w:val="008C371F"/>
    <w:rsid w:val="008C37FD"/>
    <w:rsid w:val="008C6D26"/>
    <w:rsid w:val="008E0B71"/>
    <w:rsid w:val="008E1D8A"/>
    <w:rsid w:val="008E6F4F"/>
    <w:rsid w:val="008F2666"/>
    <w:rsid w:val="008F2F2F"/>
    <w:rsid w:val="008F5254"/>
    <w:rsid w:val="008F61AF"/>
    <w:rsid w:val="008F6B57"/>
    <w:rsid w:val="008F7204"/>
    <w:rsid w:val="00903F50"/>
    <w:rsid w:val="00913476"/>
    <w:rsid w:val="00914B15"/>
    <w:rsid w:val="009200B5"/>
    <w:rsid w:val="00923F35"/>
    <w:rsid w:val="009259AD"/>
    <w:rsid w:val="00931367"/>
    <w:rsid w:val="00935AC5"/>
    <w:rsid w:val="0093620D"/>
    <w:rsid w:val="00942095"/>
    <w:rsid w:val="009443CF"/>
    <w:rsid w:val="0095714B"/>
    <w:rsid w:val="00957317"/>
    <w:rsid w:val="00957E4E"/>
    <w:rsid w:val="009608AF"/>
    <w:rsid w:val="00963ABF"/>
    <w:rsid w:val="009644A7"/>
    <w:rsid w:val="00967818"/>
    <w:rsid w:val="00972467"/>
    <w:rsid w:val="00975897"/>
    <w:rsid w:val="00985037"/>
    <w:rsid w:val="00986007"/>
    <w:rsid w:val="00990C48"/>
    <w:rsid w:val="00993B1B"/>
    <w:rsid w:val="009A3E44"/>
    <w:rsid w:val="009A5A08"/>
    <w:rsid w:val="009A7DD5"/>
    <w:rsid w:val="009B05C6"/>
    <w:rsid w:val="009B2DC8"/>
    <w:rsid w:val="009B5D7D"/>
    <w:rsid w:val="009C0197"/>
    <w:rsid w:val="009C1D20"/>
    <w:rsid w:val="009C4BF5"/>
    <w:rsid w:val="009C5927"/>
    <w:rsid w:val="009D3307"/>
    <w:rsid w:val="009D5EB1"/>
    <w:rsid w:val="009E4D7C"/>
    <w:rsid w:val="009E6E87"/>
    <w:rsid w:val="009F5418"/>
    <w:rsid w:val="009F59DE"/>
    <w:rsid w:val="009F7D4E"/>
    <w:rsid w:val="00A02A8A"/>
    <w:rsid w:val="00A07FD7"/>
    <w:rsid w:val="00A141BB"/>
    <w:rsid w:val="00A178C1"/>
    <w:rsid w:val="00A25320"/>
    <w:rsid w:val="00A330F1"/>
    <w:rsid w:val="00A34E93"/>
    <w:rsid w:val="00A36D9B"/>
    <w:rsid w:val="00A37899"/>
    <w:rsid w:val="00A43683"/>
    <w:rsid w:val="00A46851"/>
    <w:rsid w:val="00A46964"/>
    <w:rsid w:val="00A46BA5"/>
    <w:rsid w:val="00A53C43"/>
    <w:rsid w:val="00A54663"/>
    <w:rsid w:val="00A54DCE"/>
    <w:rsid w:val="00A551CB"/>
    <w:rsid w:val="00A60231"/>
    <w:rsid w:val="00A62E1E"/>
    <w:rsid w:val="00A67F39"/>
    <w:rsid w:val="00A70063"/>
    <w:rsid w:val="00A71A1F"/>
    <w:rsid w:val="00A7539D"/>
    <w:rsid w:val="00A91A36"/>
    <w:rsid w:val="00A9284C"/>
    <w:rsid w:val="00A93C01"/>
    <w:rsid w:val="00A96456"/>
    <w:rsid w:val="00A97352"/>
    <w:rsid w:val="00AA14B0"/>
    <w:rsid w:val="00AB08C3"/>
    <w:rsid w:val="00AB23BB"/>
    <w:rsid w:val="00AB4196"/>
    <w:rsid w:val="00AB4885"/>
    <w:rsid w:val="00AC60EA"/>
    <w:rsid w:val="00AC7263"/>
    <w:rsid w:val="00AD0382"/>
    <w:rsid w:val="00AD7464"/>
    <w:rsid w:val="00AE0BE6"/>
    <w:rsid w:val="00AE5FE3"/>
    <w:rsid w:val="00AE6F09"/>
    <w:rsid w:val="00AF190A"/>
    <w:rsid w:val="00AF4142"/>
    <w:rsid w:val="00AF4FCB"/>
    <w:rsid w:val="00AF67CF"/>
    <w:rsid w:val="00AF729D"/>
    <w:rsid w:val="00B0267E"/>
    <w:rsid w:val="00B02F05"/>
    <w:rsid w:val="00B0410C"/>
    <w:rsid w:val="00B13602"/>
    <w:rsid w:val="00B13969"/>
    <w:rsid w:val="00B13CD9"/>
    <w:rsid w:val="00B1566A"/>
    <w:rsid w:val="00B168B1"/>
    <w:rsid w:val="00B23211"/>
    <w:rsid w:val="00B249C8"/>
    <w:rsid w:val="00B24D31"/>
    <w:rsid w:val="00B27966"/>
    <w:rsid w:val="00B3479F"/>
    <w:rsid w:val="00B37805"/>
    <w:rsid w:val="00B42C2B"/>
    <w:rsid w:val="00B4752E"/>
    <w:rsid w:val="00B476F2"/>
    <w:rsid w:val="00B536E9"/>
    <w:rsid w:val="00B5746D"/>
    <w:rsid w:val="00B57FF2"/>
    <w:rsid w:val="00B62061"/>
    <w:rsid w:val="00B62331"/>
    <w:rsid w:val="00B67C66"/>
    <w:rsid w:val="00B811BD"/>
    <w:rsid w:val="00B82E9E"/>
    <w:rsid w:val="00B84CED"/>
    <w:rsid w:val="00B86F75"/>
    <w:rsid w:val="00B87B12"/>
    <w:rsid w:val="00B93D87"/>
    <w:rsid w:val="00B95328"/>
    <w:rsid w:val="00BA0FCB"/>
    <w:rsid w:val="00BA1813"/>
    <w:rsid w:val="00BB0276"/>
    <w:rsid w:val="00BB52C0"/>
    <w:rsid w:val="00BB61F5"/>
    <w:rsid w:val="00BC11C5"/>
    <w:rsid w:val="00BC4032"/>
    <w:rsid w:val="00BD0973"/>
    <w:rsid w:val="00BD2772"/>
    <w:rsid w:val="00BD4011"/>
    <w:rsid w:val="00BE6897"/>
    <w:rsid w:val="00BF2089"/>
    <w:rsid w:val="00BF55C7"/>
    <w:rsid w:val="00BF5723"/>
    <w:rsid w:val="00BF5FFF"/>
    <w:rsid w:val="00C014AB"/>
    <w:rsid w:val="00C156BA"/>
    <w:rsid w:val="00C17114"/>
    <w:rsid w:val="00C20E5C"/>
    <w:rsid w:val="00C24DCF"/>
    <w:rsid w:val="00C268DD"/>
    <w:rsid w:val="00C32D3D"/>
    <w:rsid w:val="00C3324F"/>
    <w:rsid w:val="00C37643"/>
    <w:rsid w:val="00C43835"/>
    <w:rsid w:val="00C447A4"/>
    <w:rsid w:val="00C51594"/>
    <w:rsid w:val="00C5209E"/>
    <w:rsid w:val="00C52503"/>
    <w:rsid w:val="00C53131"/>
    <w:rsid w:val="00C64729"/>
    <w:rsid w:val="00C651CC"/>
    <w:rsid w:val="00C6540C"/>
    <w:rsid w:val="00C676D4"/>
    <w:rsid w:val="00C70226"/>
    <w:rsid w:val="00C75612"/>
    <w:rsid w:val="00C7747A"/>
    <w:rsid w:val="00C86C56"/>
    <w:rsid w:val="00C910AF"/>
    <w:rsid w:val="00C93670"/>
    <w:rsid w:val="00C954F7"/>
    <w:rsid w:val="00CA5FE4"/>
    <w:rsid w:val="00CB2258"/>
    <w:rsid w:val="00CB3107"/>
    <w:rsid w:val="00CB3A7C"/>
    <w:rsid w:val="00CB5AC6"/>
    <w:rsid w:val="00CC177D"/>
    <w:rsid w:val="00CC1799"/>
    <w:rsid w:val="00CC26CE"/>
    <w:rsid w:val="00CC4666"/>
    <w:rsid w:val="00CC7D7F"/>
    <w:rsid w:val="00CD03AB"/>
    <w:rsid w:val="00CD3524"/>
    <w:rsid w:val="00CD3551"/>
    <w:rsid w:val="00CD584C"/>
    <w:rsid w:val="00CE15A3"/>
    <w:rsid w:val="00CF24BA"/>
    <w:rsid w:val="00CF70EA"/>
    <w:rsid w:val="00D03344"/>
    <w:rsid w:val="00D03942"/>
    <w:rsid w:val="00D11660"/>
    <w:rsid w:val="00D118A0"/>
    <w:rsid w:val="00D1257F"/>
    <w:rsid w:val="00D12E7B"/>
    <w:rsid w:val="00D134B7"/>
    <w:rsid w:val="00D33D0F"/>
    <w:rsid w:val="00D33E6D"/>
    <w:rsid w:val="00D34BF3"/>
    <w:rsid w:val="00D357CF"/>
    <w:rsid w:val="00D3615D"/>
    <w:rsid w:val="00D4246D"/>
    <w:rsid w:val="00D4390F"/>
    <w:rsid w:val="00D45047"/>
    <w:rsid w:val="00D46BF3"/>
    <w:rsid w:val="00D514EE"/>
    <w:rsid w:val="00D51A23"/>
    <w:rsid w:val="00D532D4"/>
    <w:rsid w:val="00D57B85"/>
    <w:rsid w:val="00D62748"/>
    <w:rsid w:val="00D66FE7"/>
    <w:rsid w:val="00D67A08"/>
    <w:rsid w:val="00D70F76"/>
    <w:rsid w:val="00D74D91"/>
    <w:rsid w:val="00D7621F"/>
    <w:rsid w:val="00D84673"/>
    <w:rsid w:val="00D84D19"/>
    <w:rsid w:val="00D86120"/>
    <w:rsid w:val="00D909F4"/>
    <w:rsid w:val="00D93447"/>
    <w:rsid w:val="00D948E8"/>
    <w:rsid w:val="00D94A54"/>
    <w:rsid w:val="00DA2020"/>
    <w:rsid w:val="00DA3702"/>
    <w:rsid w:val="00DA4A23"/>
    <w:rsid w:val="00DA53B1"/>
    <w:rsid w:val="00DA6A66"/>
    <w:rsid w:val="00DA7419"/>
    <w:rsid w:val="00DB6446"/>
    <w:rsid w:val="00DC2AE0"/>
    <w:rsid w:val="00DC465D"/>
    <w:rsid w:val="00DC630B"/>
    <w:rsid w:val="00DD0219"/>
    <w:rsid w:val="00DD0D91"/>
    <w:rsid w:val="00DD1186"/>
    <w:rsid w:val="00DD43D9"/>
    <w:rsid w:val="00DD6DB1"/>
    <w:rsid w:val="00DF1C55"/>
    <w:rsid w:val="00E0148D"/>
    <w:rsid w:val="00E112CB"/>
    <w:rsid w:val="00E1136E"/>
    <w:rsid w:val="00E1290C"/>
    <w:rsid w:val="00E137C7"/>
    <w:rsid w:val="00E245D2"/>
    <w:rsid w:val="00E30F13"/>
    <w:rsid w:val="00E33B4B"/>
    <w:rsid w:val="00E37ACB"/>
    <w:rsid w:val="00E42A82"/>
    <w:rsid w:val="00E452E8"/>
    <w:rsid w:val="00E45FCA"/>
    <w:rsid w:val="00E46544"/>
    <w:rsid w:val="00E557B2"/>
    <w:rsid w:val="00E57723"/>
    <w:rsid w:val="00E578B6"/>
    <w:rsid w:val="00E57A67"/>
    <w:rsid w:val="00E65202"/>
    <w:rsid w:val="00E65C07"/>
    <w:rsid w:val="00E71C81"/>
    <w:rsid w:val="00E73400"/>
    <w:rsid w:val="00E77860"/>
    <w:rsid w:val="00E848AA"/>
    <w:rsid w:val="00E862AB"/>
    <w:rsid w:val="00E93B39"/>
    <w:rsid w:val="00E94154"/>
    <w:rsid w:val="00E946C4"/>
    <w:rsid w:val="00EA42FC"/>
    <w:rsid w:val="00EB35B5"/>
    <w:rsid w:val="00EB735E"/>
    <w:rsid w:val="00EC0CB7"/>
    <w:rsid w:val="00EC1BB6"/>
    <w:rsid w:val="00EC5545"/>
    <w:rsid w:val="00EC71FB"/>
    <w:rsid w:val="00ED066E"/>
    <w:rsid w:val="00ED605E"/>
    <w:rsid w:val="00EE35EA"/>
    <w:rsid w:val="00EE378D"/>
    <w:rsid w:val="00EE44B3"/>
    <w:rsid w:val="00EF7E2C"/>
    <w:rsid w:val="00F025BA"/>
    <w:rsid w:val="00F034A5"/>
    <w:rsid w:val="00F04C1D"/>
    <w:rsid w:val="00F117F2"/>
    <w:rsid w:val="00F15004"/>
    <w:rsid w:val="00F16041"/>
    <w:rsid w:val="00F238FF"/>
    <w:rsid w:val="00F33869"/>
    <w:rsid w:val="00F33FAE"/>
    <w:rsid w:val="00F36494"/>
    <w:rsid w:val="00F365A7"/>
    <w:rsid w:val="00F40533"/>
    <w:rsid w:val="00F40BAF"/>
    <w:rsid w:val="00F462DB"/>
    <w:rsid w:val="00F50765"/>
    <w:rsid w:val="00F51563"/>
    <w:rsid w:val="00F53901"/>
    <w:rsid w:val="00F562F8"/>
    <w:rsid w:val="00F629A3"/>
    <w:rsid w:val="00F714AB"/>
    <w:rsid w:val="00F86962"/>
    <w:rsid w:val="00F871FF"/>
    <w:rsid w:val="00F8754D"/>
    <w:rsid w:val="00F92864"/>
    <w:rsid w:val="00F92FED"/>
    <w:rsid w:val="00F93FCD"/>
    <w:rsid w:val="00F959DF"/>
    <w:rsid w:val="00FA01D9"/>
    <w:rsid w:val="00FA3174"/>
    <w:rsid w:val="00FB6BE7"/>
    <w:rsid w:val="00FC06D0"/>
    <w:rsid w:val="00FC239D"/>
    <w:rsid w:val="00FC3E23"/>
    <w:rsid w:val="00FC4008"/>
    <w:rsid w:val="00FC5C3F"/>
    <w:rsid w:val="00FD32FF"/>
    <w:rsid w:val="00FD44BF"/>
    <w:rsid w:val="00FD4CEA"/>
    <w:rsid w:val="00FD58EA"/>
    <w:rsid w:val="00FE3C96"/>
    <w:rsid w:val="00FF5FE7"/>
    <w:rsid w:val="00FF6A9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371444"/>
  <w15:docId w15:val="{192C6C3F-5722-4A55-8A61-2D5B44B7A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7A4"/>
    <w:pPr>
      <w:spacing w:after="0" w:line="280" w:lineRule="atLeast"/>
    </w:pPr>
    <w:rPr>
      <w:rFonts w:ascii="Arial" w:hAnsi="Arial"/>
      <w:sz w:val="20"/>
      <w:lang w:val="en-GB"/>
    </w:rPr>
  </w:style>
  <w:style w:type="paragraph" w:styleId="Heading1">
    <w:name w:val="heading 1"/>
    <w:basedOn w:val="Normal"/>
    <w:next w:val="Normal"/>
    <w:link w:val="Heading1Char"/>
    <w:autoRedefine/>
    <w:uiPriority w:val="9"/>
    <w:qFormat/>
    <w:rsid w:val="00441DBB"/>
    <w:pPr>
      <w:keepNext/>
      <w:keepLines/>
      <w:numPr>
        <w:numId w:val="11"/>
      </w:numPr>
      <w:spacing w:before="480" w:line="240" w:lineRule="auto"/>
      <w:jc w:val="both"/>
      <w:outlineLvl w:val="0"/>
    </w:pPr>
    <w:rPr>
      <w:rFonts w:ascii="Garamond" w:eastAsiaTheme="majorEastAsia" w:hAnsi="Garamond" w:cstheme="majorBidi"/>
      <w:b/>
      <w:bCs/>
      <w:sz w:val="24"/>
      <w:szCs w:val="28"/>
    </w:rPr>
  </w:style>
  <w:style w:type="paragraph" w:styleId="Heading2">
    <w:name w:val="heading 2"/>
    <w:basedOn w:val="Normal"/>
    <w:next w:val="Normal"/>
    <w:link w:val="Heading2Char"/>
    <w:uiPriority w:val="9"/>
    <w:semiHidden/>
    <w:unhideWhenUsed/>
    <w:qFormat/>
    <w:rsid w:val="00441DBB"/>
    <w:pPr>
      <w:keepNext/>
      <w:keepLines/>
      <w:spacing w:before="200"/>
      <w:outlineLvl w:val="1"/>
    </w:pPr>
    <w:rPr>
      <w:rFonts w:asciiTheme="majorHAnsi" w:eastAsiaTheme="majorEastAsia" w:hAnsiTheme="majorHAnsi" w:cstheme="majorBidi"/>
      <w:b/>
      <w:bCs/>
      <w:color w:val="0097A7" w:themeColor="accent1"/>
      <w:sz w:val="26"/>
      <w:szCs w:val="26"/>
    </w:rPr>
  </w:style>
  <w:style w:type="paragraph" w:styleId="Heading3">
    <w:name w:val="heading 3"/>
    <w:basedOn w:val="Normal"/>
    <w:next w:val="Normal"/>
    <w:link w:val="Heading3Char"/>
    <w:uiPriority w:val="9"/>
    <w:unhideWhenUsed/>
    <w:qFormat/>
    <w:rsid w:val="000F5B29"/>
    <w:pPr>
      <w:keepNext/>
      <w:keepLines/>
      <w:spacing w:before="200"/>
      <w:outlineLvl w:val="2"/>
    </w:pPr>
    <w:rPr>
      <w:rFonts w:asciiTheme="majorHAnsi" w:eastAsiaTheme="majorEastAsia" w:hAnsiTheme="majorHAnsi" w:cstheme="majorBidi"/>
      <w:b/>
      <w:bCs/>
      <w:color w:val="0097A7"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9C1"/>
    <w:pPr>
      <w:tabs>
        <w:tab w:val="center" w:pos="4819"/>
        <w:tab w:val="right" w:pos="9638"/>
      </w:tabs>
      <w:spacing w:line="240" w:lineRule="auto"/>
    </w:pPr>
  </w:style>
  <w:style w:type="character" w:customStyle="1" w:styleId="HeaderChar">
    <w:name w:val="Header Char"/>
    <w:basedOn w:val="DefaultParagraphFont"/>
    <w:link w:val="Header"/>
    <w:uiPriority w:val="99"/>
    <w:rsid w:val="008969C1"/>
  </w:style>
  <w:style w:type="paragraph" w:styleId="Footer">
    <w:name w:val="footer"/>
    <w:basedOn w:val="Normal"/>
    <w:link w:val="FooterChar"/>
    <w:uiPriority w:val="99"/>
    <w:unhideWhenUsed/>
    <w:rsid w:val="008969C1"/>
    <w:pPr>
      <w:tabs>
        <w:tab w:val="center" w:pos="4819"/>
        <w:tab w:val="right" w:pos="9638"/>
      </w:tabs>
      <w:spacing w:line="240" w:lineRule="auto"/>
    </w:pPr>
  </w:style>
  <w:style w:type="character" w:customStyle="1" w:styleId="FooterChar">
    <w:name w:val="Footer Char"/>
    <w:basedOn w:val="DefaultParagraphFont"/>
    <w:link w:val="Footer"/>
    <w:uiPriority w:val="99"/>
    <w:rsid w:val="008969C1"/>
  </w:style>
  <w:style w:type="paragraph" w:styleId="BalloonText">
    <w:name w:val="Balloon Text"/>
    <w:basedOn w:val="Normal"/>
    <w:link w:val="BalloonTextChar"/>
    <w:uiPriority w:val="99"/>
    <w:semiHidden/>
    <w:unhideWhenUsed/>
    <w:rsid w:val="008969C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9C1"/>
    <w:rPr>
      <w:rFonts w:ascii="Tahoma" w:hAnsi="Tahoma" w:cs="Tahoma"/>
      <w:sz w:val="16"/>
      <w:szCs w:val="16"/>
    </w:rPr>
  </w:style>
  <w:style w:type="table" w:styleId="TableGrid">
    <w:name w:val="Table Grid"/>
    <w:aliases w:val="Ea tabel 1"/>
    <w:basedOn w:val="TableNormal"/>
    <w:uiPriority w:val="59"/>
    <w:rsid w:val="008F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4885"/>
    <w:rPr>
      <w:color w:val="0000FF" w:themeColor="hyperlink"/>
      <w:u w:val="single"/>
    </w:rPr>
  </w:style>
  <w:style w:type="paragraph" w:styleId="ListParagraph">
    <w:name w:val="List Paragraph"/>
    <w:aliases w:val="Paragraph,Dot pt,No Spacing1,List Paragraph Char Char Char,Indicator Text,Numbered Para 1,List Paragraph12,Bullet Points,MAIN CONTENT,Bullet 1,Colorful List - Accent 11,Lapis Bulleted List,ADB paragraph numbering,IFCL - List Paragraph"/>
    <w:basedOn w:val="Normal"/>
    <w:link w:val="ListParagraphChar"/>
    <w:uiPriority w:val="34"/>
    <w:qFormat/>
    <w:rsid w:val="00617F91"/>
    <w:pPr>
      <w:spacing w:after="160" w:line="259" w:lineRule="auto"/>
      <w:ind w:left="720"/>
      <w:contextualSpacing/>
    </w:pPr>
    <w:rPr>
      <w:rFonts w:asciiTheme="minorHAnsi" w:hAnsiTheme="minorHAnsi"/>
      <w:sz w:val="22"/>
      <w:lang w:val="da-DK"/>
    </w:rPr>
  </w:style>
  <w:style w:type="paragraph" w:customStyle="1" w:styleId="Normal1">
    <w:name w:val="Normal1"/>
    <w:rsid w:val="00617F91"/>
    <w:pPr>
      <w:suppressAutoHyphens/>
      <w:spacing w:after="0" w:line="100" w:lineRule="atLeast"/>
      <w:jc w:val="both"/>
    </w:pPr>
    <w:rPr>
      <w:rFonts w:ascii="Garamond" w:eastAsia="Calibri" w:hAnsi="Garamond" w:cs="Times New Roman"/>
      <w:sz w:val="26"/>
      <w:szCs w:val="24"/>
      <w:lang w:eastAsia="ar-SA"/>
    </w:rPr>
  </w:style>
  <w:style w:type="character" w:styleId="CommentReference">
    <w:name w:val="annotation reference"/>
    <w:basedOn w:val="DefaultParagraphFont"/>
    <w:uiPriority w:val="99"/>
    <w:semiHidden/>
    <w:unhideWhenUsed/>
    <w:rsid w:val="003631E0"/>
    <w:rPr>
      <w:sz w:val="16"/>
      <w:szCs w:val="16"/>
    </w:rPr>
  </w:style>
  <w:style w:type="paragraph" w:styleId="CommentText">
    <w:name w:val="annotation text"/>
    <w:basedOn w:val="Normal"/>
    <w:link w:val="CommentTextChar"/>
    <w:uiPriority w:val="99"/>
    <w:unhideWhenUsed/>
    <w:rsid w:val="003631E0"/>
    <w:pPr>
      <w:spacing w:line="240" w:lineRule="auto"/>
    </w:pPr>
    <w:rPr>
      <w:szCs w:val="20"/>
    </w:rPr>
  </w:style>
  <w:style w:type="character" w:customStyle="1" w:styleId="CommentTextChar">
    <w:name w:val="Comment Text Char"/>
    <w:basedOn w:val="DefaultParagraphFont"/>
    <w:link w:val="CommentText"/>
    <w:uiPriority w:val="99"/>
    <w:rsid w:val="003631E0"/>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3631E0"/>
    <w:rPr>
      <w:b/>
      <w:bCs/>
    </w:rPr>
  </w:style>
  <w:style w:type="character" w:customStyle="1" w:styleId="CommentSubjectChar">
    <w:name w:val="Comment Subject Char"/>
    <w:basedOn w:val="CommentTextChar"/>
    <w:link w:val="CommentSubject"/>
    <w:uiPriority w:val="99"/>
    <w:semiHidden/>
    <w:rsid w:val="003631E0"/>
    <w:rPr>
      <w:rFonts w:ascii="Arial" w:hAnsi="Arial"/>
      <w:b/>
      <w:bCs/>
      <w:sz w:val="20"/>
      <w:szCs w:val="20"/>
      <w:lang w:val="en-GB"/>
    </w:rPr>
  </w:style>
  <w:style w:type="paragraph" w:styleId="Revision">
    <w:name w:val="Revision"/>
    <w:hidden/>
    <w:uiPriority w:val="99"/>
    <w:semiHidden/>
    <w:rsid w:val="0085177D"/>
    <w:pPr>
      <w:spacing w:after="0" w:line="240" w:lineRule="auto"/>
    </w:pPr>
    <w:rPr>
      <w:rFonts w:ascii="Arial" w:hAnsi="Arial"/>
      <w:sz w:val="20"/>
      <w:lang w:val="en-GB"/>
    </w:rPr>
  </w:style>
  <w:style w:type="character" w:customStyle="1" w:styleId="ListParagraphChar">
    <w:name w:val="List Paragraph Char"/>
    <w:aliases w:val="Paragraph Char,Dot pt Char,No Spacing1 Char,List Paragraph Char Char Char Char,Indicator Text Char,Numbered Para 1 Char,List Paragraph12 Char,Bullet Points Char,MAIN CONTENT Char,Bullet 1 Char,Colorful List - Accent 11 Char"/>
    <w:link w:val="ListParagraph"/>
    <w:uiPriority w:val="34"/>
    <w:qFormat/>
    <w:rsid w:val="006652F9"/>
  </w:style>
  <w:style w:type="table" w:customStyle="1" w:styleId="Tabel-Gitter1">
    <w:name w:val="Tabel - Gitter1"/>
    <w:basedOn w:val="TableNormal"/>
    <w:next w:val="TableGrid"/>
    <w:uiPriority w:val="59"/>
    <w:rsid w:val="00665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unhideWhenUsed/>
    <w:rsid w:val="00F33869"/>
    <w:pPr>
      <w:numPr>
        <w:numId w:val="5"/>
      </w:numPr>
      <w:contextualSpacing/>
    </w:pPr>
  </w:style>
  <w:style w:type="table" w:customStyle="1" w:styleId="TableGrid2">
    <w:name w:val="Table Grid2"/>
    <w:basedOn w:val="TableNormal"/>
    <w:next w:val="TableGrid"/>
    <w:uiPriority w:val="59"/>
    <w:rsid w:val="00441DB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2"/>
    <w:next w:val="Normal"/>
    <w:link w:val="TitleChar"/>
    <w:uiPriority w:val="10"/>
    <w:qFormat/>
    <w:rsid w:val="00441DBB"/>
    <w:pPr>
      <w:spacing w:line="240" w:lineRule="auto"/>
      <w:jc w:val="both"/>
    </w:pPr>
    <w:rPr>
      <w:rFonts w:asciiTheme="minorHAnsi" w:hAnsiTheme="minorHAnsi" w:cstheme="minorHAnsi"/>
      <w:sz w:val="40"/>
    </w:rPr>
  </w:style>
  <w:style w:type="character" w:customStyle="1" w:styleId="TitleChar">
    <w:name w:val="Title Char"/>
    <w:basedOn w:val="DefaultParagraphFont"/>
    <w:link w:val="Title"/>
    <w:uiPriority w:val="10"/>
    <w:rsid w:val="00441DBB"/>
    <w:rPr>
      <w:rFonts w:eastAsiaTheme="majorEastAsia" w:cstheme="minorHAnsi"/>
      <w:b/>
      <w:bCs/>
      <w:color w:val="0097A7" w:themeColor="accent1"/>
      <w:sz w:val="40"/>
      <w:szCs w:val="26"/>
      <w:lang w:val="en-GB"/>
    </w:rPr>
  </w:style>
  <w:style w:type="character" w:customStyle="1" w:styleId="Heading2Char">
    <w:name w:val="Heading 2 Char"/>
    <w:basedOn w:val="DefaultParagraphFont"/>
    <w:link w:val="Heading2"/>
    <w:uiPriority w:val="9"/>
    <w:semiHidden/>
    <w:rsid w:val="00441DBB"/>
    <w:rPr>
      <w:rFonts w:asciiTheme="majorHAnsi" w:eastAsiaTheme="majorEastAsia" w:hAnsiTheme="majorHAnsi" w:cstheme="majorBidi"/>
      <w:b/>
      <w:bCs/>
      <w:color w:val="0097A7" w:themeColor="accent1"/>
      <w:sz w:val="26"/>
      <w:szCs w:val="26"/>
      <w:lang w:val="en-GB"/>
    </w:rPr>
  </w:style>
  <w:style w:type="character" w:customStyle="1" w:styleId="Heading1Char">
    <w:name w:val="Heading 1 Char"/>
    <w:basedOn w:val="DefaultParagraphFont"/>
    <w:link w:val="Heading1"/>
    <w:uiPriority w:val="9"/>
    <w:rsid w:val="00441DBB"/>
    <w:rPr>
      <w:rFonts w:ascii="Garamond" w:eastAsiaTheme="majorEastAsia" w:hAnsi="Garamond" w:cstheme="majorBidi"/>
      <w:b/>
      <w:bCs/>
      <w:sz w:val="24"/>
      <w:szCs w:val="28"/>
      <w:lang w:val="en-GB"/>
    </w:rPr>
  </w:style>
  <w:style w:type="character" w:customStyle="1" w:styleId="hps">
    <w:name w:val="hps"/>
    <w:basedOn w:val="DefaultParagraphFont"/>
    <w:rsid w:val="00914B15"/>
  </w:style>
  <w:style w:type="character" w:styleId="Strong">
    <w:name w:val="Strong"/>
    <w:basedOn w:val="DefaultParagraphFont"/>
    <w:uiPriority w:val="22"/>
    <w:qFormat/>
    <w:rsid w:val="00BB52C0"/>
    <w:rPr>
      <w:b/>
      <w:bCs/>
    </w:rPr>
  </w:style>
  <w:style w:type="character" w:customStyle="1" w:styleId="1">
    <w:name w:val="Неразрешенное упоминание1"/>
    <w:basedOn w:val="DefaultParagraphFont"/>
    <w:uiPriority w:val="99"/>
    <w:semiHidden/>
    <w:unhideWhenUsed/>
    <w:rsid w:val="000658F3"/>
    <w:rPr>
      <w:color w:val="808080"/>
      <w:shd w:val="clear" w:color="auto" w:fill="E6E6E6"/>
    </w:rPr>
  </w:style>
  <w:style w:type="paragraph" w:customStyle="1" w:styleId="Default">
    <w:name w:val="Default"/>
    <w:rsid w:val="005765AA"/>
    <w:pPr>
      <w:autoSpaceDE w:val="0"/>
      <w:autoSpaceDN w:val="0"/>
      <w:adjustRightInd w:val="0"/>
      <w:spacing w:after="0" w:line="240" w:lineRule="auto"/>
    </w:pPr>
    <w:rPr>
      <w:rFonts w:ascii="Garamond" w:eastAsia="Times New Roman" w:hAnsi="Garamond" w:cs="Garamond"/>
      <w:color w:val="000000"/>
      <w:sz w:val="24"/>
      <w:szCs w:val="24"/>
      <w:lang w:eastAsia="da-DK"/>
    </w:rPr>
  </w:style>
  <w:style w:type="character" w:customStyle="1" w:styleId="shorttext">
    <w:name w:val="short_text"/>
    <w:basedOn w:val="DefaultParagraphFont"/>
    <w:rsid w:val="006334E5"/>
  </w:style>
  <w:style w:type="paragraph" w:styleId="FootnoteText">
    <w:name w:val="footnote text"/>
    <w:basedOn w:val="Normal"/>
    <w:link w:val="FootnoteTextChar"/>
    <w:uiPriority w:val="99"/>
    <w:unhideWhenUsed/>
    <w:rsid w:val="002E11DD"/>
    <w:pPr>
      <w:spacing w:line="240" w:lineRule="auto"/>
    </w:pPr>
    <w:rPr>
      <w:szCs w:val="20"/>
    </w:rPr>
  </w:style>
  <w:style w:type="character" w:customStyle="1" w:styleId="FootnoteTextChar">
    <w:name w:val="Footnote Text Char"/>
    <w:basedOn w:val="DefaultParagraphFont"/>
    <w:link w:val="FootnoteText"/>
    <w:uiPriority w:val="99"/>
    <w:rsid w:val="002E11DD"/>
    <w:rPr>
      <w:rFonts w:ascii="Arial" w:hAnsi="Arial"/>
      <w:sz w:val="20"/>
      <w:szCs w:val="20"/>
      <w:lang w:val="en-GB"/>
    </w:rPr>
  </w:style>
  <w:style w:type="character" w:styleId="FootnoteReference">
    <w:name w:val="footnote reference"/>
    <w:aliases w:val=" Char Char1 Char Char Char Char1 Char Char Char Char Char Char Char Char Char Char Char Char Char Char Char Char Char Char Tegn Tegn Char Char Char Char Char Char Char Char Char Char Char,BVI fnr Char Char Char Char Char Char Char"/>
    <w:basedOn w:val="DefaultParagraphFont"/>
    <w:uiPriority w:val="99"/>
    <w:unhideWhenUsed/>
    <w:rsid w:val="002E11DD"/>
    <w:rPr>
      <w:vertAlign w:val="superscript"/>
    </w:rPr>
  </w:style>
  <w:style w:type="character" w:customStyle="1" w:styleId="Heading3Char">
    <w:name w:val="Heading 3 Char"/>
    <w:basedOn w:val="DefaultParagraphFont"/>
    <w:link w:val="Heading3"/>
    <w:uiPriority w:val="9"/>
    <w:rsid w:val="000F5B29"/>
    <w:rPr>
      <w:rFonts w:asciiTheme="majorHAnsi" w:eastAsiaTheme="majorEastAsia" w:hAnsiTheme="majorHAnsi" w:cstheme="majorBidi"/>
      <w:b/>
      <w:bCs/>
      <w:color w:val="0097A7" w:themeColor="accent1"/>
      <w:sz w:val="20"/>
      <w:lang w:val="en-GB"/>
    </w:rPr>
  </w:style>
  <w:style w:type="paragraph" w:styleId="NormalWeb">
    <w:name w:val="Normal (Web)"/>
    <w:basedOn w:val="Normal"/>
    <w:uiPriority w:val="99"/>
    <w:semiHidden/>
    <w:unhideWhenUsed/>
    <w:rsid w:val="000F5B29"/>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character" w:customStyle="1" w:styleId="UnresolvedMention1">
    <w:name w:val="Unresolved Mention1"/>
    <w:basedOn w:val="DefaultParagraphFont"/>
    <w:uiPriority w:val="99"/>
    <w:semiHidden/>
    <w:unhideWhenUsed/>
    <w:rsid w:val="000B5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7354">
      <w:bodyDiv w:val="1"/>
      <w:marLeft w:val="0"/>
      <w:marRight w:val="0"/>
      <w:marTop w:val="0"/>
      <w:marBottom w:val="0"/>
      <w:divBdr>
        <w:top w:val="none" w:sz="0" w:space="0" w:color="auto"/>
        <w:left w:val="none" w:sz="0" w:space="0" w:color="auto"/>
        <w:bottom w:val="none" w:sz="0" w:space="0" w:color="auto"/>
        <w:right w:val="none" w:sz="0" w:space="0" w:color="auto"/>
      </w:divBdr>
    </w:div>
    <w:div w:id="17858399">
      <w:bodyDiv w:val="1"/>
      <w:marLeft w:val="0"/>
      <w:marRight w:val="0"/>
      <w:marTop w:val="0"/>
      <w:marBottom w:val="0"/>
      <w:divBdr>
        <w:top w:val="none" w:sz="0" w:space="0" w:color="auto"/>
        <w:left w:val="none" w:sz="0" w:space="0" w:color="auto"/>
        <w:bottom w:val="none" w:sz="0" w:space="0" w:color="auto"/>
        <w:right w:val="none" w:sz="0" w:space="0" w:color="auto"/>
      </w:divBdr>
    </w:div>
    <w:div w:id="1038579601">
      <w:bodyDiv w:val="1"/>
      <w:marLeft w:val="0"/>
      <w:marRight w:val="0"/>
      <w:marTop w:val="0"/>
      <w:marBottom w:val="0"/>
      <w:divBdr>
        <w:top w:val="none" w:sz="0" w:space="0" w:color="auto"/>
        <w:left w:val="none" w:sz="0" w:space="0" w:color="auto"/>
        <w:bottom w:val="none" w:sz="0" w:space="0" w:color="auto"/>
        <w:right w:val="none" w:sz="0" w:space="0" w:color="auto"/>
      </w:divBdr>
    </w:div>
    <w:div w:id="1100954212">
      <w:bodyDiv w:val="1"/>
      <w:marLeft w:val="0"/>
      <w:marRight w:val="0"/>
      <w:marTop w:val="0"/>
      <w:marBottom w:val="0"/>
      <w:divBdr>
        <w:top w:val="none" w:sz="0" w:space="0" w:color="auto"/>
        <w:left w:val="none" w:sz="0" w:space="0" w:color="auto"/>
        <w:bottom w:val="none" w:sz="0" w:space="0" w:color="auto"/>
        <w:right w:val="none" w:sz="0" w:space="0" w:color="auto"/>
      </w:divBdr>
    </w:div>
    <w:div w:id="1226531323">
      <w:bodyDiv w:val="1"/>
      <w:marLeft w:val="0"/>
      <w:marRight w:val="0"/>
      <w:marTop w:val="0"/>
      <w:marBottom w:val="0"/>
      <w:divBdr>
        <w:top w:val="none" w:sz="0" w:space="0" w:color="auto"/>
        <w:left w:val="none" w:sz="0" w:space="0" w:color="auto"/>
        <w:bottom w:val="none" w:sz="0" w:space="0" w:color="auto"/>
        <w:right w:val="none" w:sz="0" w:space="0" w:color="auto"/>
      </w:divBdr>
    </w:div>
    <w:div w:id="1474371196">
      <w:bodyDiv w:val="1"/>
      <w:marLeft w:val="0"/>
      <w:marRight w:val="0"/>
      <w:marTop w:val="0"/>
      <w:marBottom w:val="0"/>
      <w:divBdr>
        <w:top w:val="none" w:sz="0" w:space="0" w:color="auto"/>
        <w:left w:val="none" w:sz="0" w:space="0" w:color="auto"/>
        <w:bottom w:val="none" w:sz="0" w:space="0" w:color="auto"/>
        <w:right w:val="none" w:sz="0" w:space="0" w:color="auto"/>
      </w:divBdr>
    </w:div>
    <w:div w:id="1513184521">
      <w:bodyDiv w:val="1"/>
      <w:marLeft w:val="0"/>
      <w:marRight w:val="0"/>
      <w:marTop w:val="0"/>
      <w:marBottom w:val="0"/>
      <w:divBdr>
        <w:top w:val="none" w:sz="0" w:space="0" w:color="auto"/>
        <w:left w:val="none" w:sz="0" w:space="0" w:color="auto"/>
        <w:bottom w:val="none" w:sz="0" w:space="0" w:color="auto"/>
        <w:right w:val="none" w:sz="0" w:space="0" w:color="auto"/>
      </w:divBdr>
    </w:div>
    <w:div w:id="193239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epp3.v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EFKM">
      <a:dk1>
        <a:srgbClr val="000000"/>
      </a:dk1>
      <a:lt1>
        <a:sysClr val="window" lastClr="FFFFFF"/>
      </a:lt1>
      <a:dk2>
        <a:srgbClr val="1F497D"/>
      </a:dk2>
      <a:lt2>
        <a:srgbClr val="1DE2CD"/>
      </a:lt2>
      <a:accent1>
        <a:srgbClr val="0097A7"/>
      </a:accent1>
      <a:accent2>
        <a:srgbClr val="045C65"/>
      </a:accent2>
      <a:accent3>
        <a:srgbClr val="FF5252"/>
      </a:accent3>
      <a:accent4>
        <a:srgbClr val="673AB7"/>
      </a:accent4>
      <a:accent5>
        <a:srgbClr val="0C2D83"/>
      </a:accent5>
      <a:accent6>
        <a:srgbClr val="0091EA"/>
      </a:accent6>
      <a:hlink>
        <a:srgbClr val="0000FF"/>
      </a:hlink>
      <a:folHlink>
        <a:srgbClr val="800080"/>
      </a:folHlink>
    </a:clrScheme>
    <a:fontScheme name="EFKM">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08C6DAF7C829740A23268139C0B4BE4" ma:contentTypeVersion="" ma:contentTypeDescription="Opret et nyt dokument." ma:contentTypeScope="" ma:versionID="08ec32cbbd0e84957c75e15bbbf599f2">
  <xsd:schema xmlns:xsd="http://www.w3.org/2001/XMLSchema" xmlns:xs="http://www.w3.org/2001/XMLSchema" xmlns:p="http://schemas.microsoft.com/office/2006/metadata/properties" xmlns:ns2="b4295c39-bb6f-40d8-804e-7705f401b7a2" targetNamespace="http://schemas.microsoft.com/office/2006/metadata/properties" ma:root="true" ma:fieldsID="7b8857206790f465aaf8d82cd73746ce" ns2:_="">
    <xsd:import namespace="b4295c39-bb6f-40d8-804e-7705f401b7a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95c39-bb6f-40d8-804e-7705f401b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96C9D-0CDC-4207-9286-0A73409D724F}">
  <ds:schemaRefs>
    <ds:schemaRef ds:uri="http://schemas.microsoft.com/sharepoint/v3/contenttype/forms"/>
  </ds:schemaRefs>
</ds:datastoreItem>
</file>

<file path=customXml/itemProps2.xml><?xml version="1.0" encoding="utf-8"?>
<ds:datastoreItem xmlns:ds="http://schemas.openxmlformats.org/officeDocument/2006/customXml" ds:itemID="{E212FB77-253C-4965-B9A9-CF2EBC754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95c39-bb6f-40d8-804e-7705f401b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92582-E9AF-4FDC-AA84-D46DACD61A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25CB26-2263-43A4-95C9-9E8B6FFB0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1670</Words>
  <Characters>9525</Characters>
  <Application>Microsoft Office Word</Application>
  <DocSecurity>0</DocSecurity>
  <Lines>79</Lines>
  <Paragraphs>22</Paragraphs>
  <ScaleCrop>false</ScaleCrop>
  <HeadingPairs>
    <vt:vector size="8" baseType="variant">
      <vt:variant>
        <vt:lpstr>Title</vt:lpstr>
      </vt:variant>
      <vt:variant>
        <vt:i4>1</vt:i4>
      </vt:variant>
      <vt:variant>
        <vt:lpstr>Titel</vt:lpstr>
      </vt:variant>
      <vt:variant>
        <vt:i4>1</vt:i4>
      </vt:variant>
      <vt:variant>
        <vt:lpstr>Название</vt:lpstr>
      </vt:variant>
      <vt:variant>
        <vt:i4>1</vt:i4>
      </vt:variant>
      <vt:variant>
        <vt:lpstr>Título</vt:lpstr>
      </vt:variant>
      <vt:variant>
        <vt:i4>1</vt:i4>
      </vt:variant>
    </vt:vector>
  </HeadingPairs>
  <TitlesOfParts>
    <vt:vector size="4" baseType="lpstr">
      <vt:lpstr/>
      <vt:lpstr/>
      <vt:lpstr/>
      <vt:lpstr/>
    </vt:vector>
  </TitlesOfParts>
  <Company>www.RiisDATA.com v/Michael Riis Sørensen</Company>
  <LinksUpToDate>false</LinksUpToDate>
  <CharactersWithSpaces>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 Riisgaard Pedersen</dc:creator>
  <cp:lastModifiedBy>Viet Tran Hong</cp:lastModifiedBy>
  <cp:revision>16</cp:revision>
  <cp:lastPrinted>2023-03-29T05:13:00Z</cp:lastPrinted>
  <dcterms:created xsi:type="dcterms:W3CDTF">2022-08-24T07:06:00Z</dcterms:created>
  <dcterms:modified xsi:type="dcterms:W3CDTF">2023-03-31T02:38:00Z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0x010100408C6DAF7C829740A23268139C0B4BE4</vt:lpwstr>
  </property>
</Properties>
</file>