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566" w:rsidRPr="00AA5F37" w:rsidRDefault="00E63DF3" w:rsidP="00515566">
      <w:pPr>
        <w:keepNext/>
        <w:keepLines/>
        <w:spacing w:before="480" w:after="0"/>
        <w:outlineLvl w:val="0"/>
        <w:rPr>
          <w:rFonts w:asciiTheme="majorHAnsi" w:eastAsiaTheme="majorEastAsia" w:hAnsiTheme="majorHAnsi" w:cstheme="majorBidi"/>
          <w:b/>
          <w:bCs/>
          <w:sz w:val="32"/>
          <w:szCs w:val="28"/>
        </w:rPr>
      </w:pPr>
      <w:bookmarkStart w:id="0" w:name="_Toc472067633"/>
      <w:bookmarkStart w:id="1" w:name="_Toc472067635"/>
      <w:bookmarkStart w:id="2" w:name="_GoBack"/>
      <w:bookmarkEnd w:id="2"/>
      <w:r w:rsidRPr="00AA5F37">
        <w:rPr>
          <w:rFonts w:asciiTheme="majorHAnsi" w:eastAsiaTheme="majorEastAsia" w:hAnsiTheme="majorHAnsi" w:cstheme="majorBidi"/>
          <w:b/>
          <w:bCs/>
          <w:sz w:val="32"/>
          <w:szCs w:val="28"/>
        </w:rPr>
        <w:t>A</w:t>
      </w:r>
      <w:r w:rsidR="00515566" w:rsidRPr="00AA5F37">
        <w:rPr>
          <w:rFonts w:asciiTheme="majorHAnsi" w:eastAsiaTheme="majorEastAsia" w:hAnsiTheme="majorHAnsi" w:cstheme="majorBidi"/>
          <w:b/>
          <w:bCs/>
          <w:sz w:val="32"/>
          <w:szCs w:val="28"/>
        </w:rPr>
        <w:t xml:space="preserve">nnex </w:t>
      </w:r>
      <w:bookmarkEnd w:id="0"/>
      <w:r w:rsidR="00AA5F37">
        <w:rPr>
          <w:rFonts w:asciiTheme="majorHAnsi" w:eastAsiaTheme="majorEastAsia" w:hAnsiTheme="majorHAnsi" w:cstheme="majorBidi"/>
          <w:b/>
          <w:bCs/>
          <w:sz w:val="32"/>
          <w:szCs w:val="28"/>
        </w:rPr>
        <w:t xml:space="preserve">1: </w:t>
      </w:r>
      <w:r w:rsidR="002D5A97">
        <w:rPr>
          <w:rFonts w:asciiTheme="majorHAnsi" w:eastAsiaTheme="majorEastAsia" w:hAnsiTheme="majorHAnsi" w:cstheme="majorBidi"/>
          <w:b/>
          <w:bCs/>
          <w:sz w:val="32"/>
          <w:szCs w:val="28"/>
        </w:rPr>
        <w:t xml:space="preserve">Context Analysis </w:t>
      </w:r>
    </w:p>
    <w:p w:rsidR="00515566" w:rsidRPr="007C4125" w:rsidRDefault="007C4125" w:rsidP="00515566">
      <w:pPr>
        <w:keepNext/>
        <w:keepLines/>
        <w:spacing w:before="200" w:after="0"/>
        <w:outlineLvl w:val="2"/>
        <w:rPr>
          <w:rFonts w:asciiTheme="majorHAnsi" w:eastAsiaTheme="majorEastAsia" w:hAnsiTheme="majorHAnsi" w:cstheme="majorBidi"/>
          <w:b/>
          <w:highlight w:val="yellow"/>
        </w:rPr>
      </w:pPr>
      <w:bookmarkStart w:id="3" w:name="_Toc362252500"/>
      <w:bookmarkStart w:id="4" w:name="_Toc472067634"/>
      <w:r w:rsidRPr="007C4125">
        <w:rPr>
          <w:rFonts w:asciiTheme="majorHAnsi" w:eastAsiaTheme="majorEastAsia" w:hAnsiTheme="majorHAnsi" w:cstheme="majorBidi"/>
          <w:b/>
          <w:highlight w:val="yellow"/>
        </w:rPr>
        <w:t>[</w:t>
      </w:r>
      <w:bookmarkEnd w:id="3"/>
      <w:bookmarkEnd w:id="4"/>
      <w:r w:rsidRPr="007C4125">
        <w:rPr>
          <w:rFonts w:asciiTheme="majorHAnsi" w:eastAsiaTheme="majorEastAsia" w:hAnsiTheme="majorHAnsi" w:cstheme="majorBidi"/>
          <w:b/>
          <w:highlight w:val="yellow"/>
        </w:rPr>
        <w:t>Instruction: once filled in, the highlighted text should be deleted.]</w:t>
      </w:r>
    </w:p>
    <w:p w:rsidR="00515566" w:rsidRPr="007C4125" w:rsidRDefault="00515566" w:rsidP="00515566">
      <w:pPr>
        <w:rPr>
          <w:highlight w:val="yellow"/>
          <w:lang w:val="en-US"/>
        </w:rPr>
      </w:pPr>
      <w:r w:rsidRPr="007C4125">
        <w:rPr>
          <w:highlight w:val="yellow"/>
          <w:lang w:val="en-US"/>
        </w:rPr>
        <w:t xml:space="preserve">The purpose of this annex </w:t>
      </w:r>
      <w:r w:rsidR="00E3363E" w:rsidRPr="007C4125">
        <w:rPr>
          <w:highlight w:val="yellow"/>
          <w:lang w:val="en-US"/>
        </w:rPr>
        <w:t>is</w:t>
      </w:r>
      <w:r w:rsidRPr="007C4125">
        <w:rPr>
          <w:highlight w:val="yellow"/>
          <w:lang w:val="en-US"/>
        </w:rPr>
        <w:t xml:space="preserve"> to provide guidance on the situation and background analysis to be carried out during the identification phase</w:t>
      </w:r>
      <w:r w:rsidR="00BB1AA9">
        <w:rPr>
          <w:highlight w:val="yellow"/>
          <w:lang w:val="en-US"/>
        </w:rPr>
        <w:t xml:space="preserve"> and to be updated during the formulation phase</w:t>
      </w:r>
      <w:r w:rsidR="00E3363E" w:rsidRPr="007C4125">
        <w:rPr>
          <w:highlight w:val="yellow"/>
          <w:lang w:val="en-US"/>
        </w:rPr>
        <w:t xml:space="preserve">. </w:t>
      </w:r>
      <w:r w:rsidR="00BB1AA9">
        <w:rPr>
          <w:highlight w:val="yellow"/>
          <w:lang w:val="en-US"/>
        </w:rPr>
        <w:t xml:space="preserve">This annex </w:t>
      </w:r>
      <w:r w:rsidRPr="007C4125">
        <w:rPr>
          <w:highlight w:val="yellow"/>
          <w:lang w:val="en-US"/>
        </w:rPr>
        <w:t>provide</w:t>
      </w:r>
      <w:r w:rsidR="00E3363E" w:rsidRPr="007C4125">
        <w:rPr>
          <w:highlight w:val="yellow"/>
          <w:lang w:val="en-US"/>
        </w:rPr>
        <w:t>s</w:t>
      </w:r>
      <w:r w:rsidRPr="007C4125">
        <w:rPr>
          <w:highlight w:val="yellow"/>
          <w:lang w:val="en-US"/>
        </w:rPr>
        <w:t xml:space="preserve"> a template for documenting the conclusions of the analysis and their implications for the strategic choices to be </w:t>
      </w:r>
      <w:r w:rsidR="004D179D" w:rsidRPr="007C4125">
        <w:rPr>
          <w:highlight w:val="yellow"/>
          <w:lang w:val="en-US"/>
        </w:rPr>
        <w:t>made</w:t>
      </w:r>
      <w:r w:rsidRPr="007C4125">
        <w:rPr>
          <w:highlight w:val="yellow"/>
          <w:lang w:val="en-US"/>
        </w:rPr>
        <w:t xml:space="preserve"> when programming the Danish cooperation with the country / region / organization and to be presented in the Country Policy Paper (country programmes only)</w:t>
      </w:r>
      <w:r w:rsidR="00BB1AA9">
        <w:rPr>
          <w:highlight w:val="yellow"/>
          <w:lang w:val="en-US"/>
        </w:rPr>
        <w:t>,</w:t>
      </w:r>
      <w:r w:rsidRPr="007C4125">
        <w:rPr>
          <w:highlight w:val="yellow"/>
          <w:lang w:val="en-US"/>
        </w:rPr>
        <w:t xml:space="preserve"> Programme Concept Note</w:t>
      </w:r>
      <w:r w:rsidR="00BB1AA9">
        <w:rPr>
          <w:highlight w:val="yellow"/>
          <w:lang w:val="en-US"/>
        </w:rPr>
        <w:t>, and the Programme Document</w:t>
      </w:r>
      <w:r w:rsidRPr="007C4125">
        <w:rPr>
          <w:highlight w:val="yellow"/>
          <w:lang w:val="en-US"/>
        </w:rPr>
        <w:t>.</w:t>
      </w:r>
    </w:p>
    <w:p w:rsidR="0072040F" w:rsidRDefault="00515566" w:rsidP="00515566">
      <w:pPr>
        <w:rPr>
          <w:szCs w:val="24"/>
          <w:highlight w:val="yellow"/>
          <w:lang w:val="en-US"/>
        </w:rPr>
      </w:pPr>
      <w:r w:rsidRPr="007C4125">
        <w:rPr>
          <w:szCs w:val="24"/>
          <w:highlight w:val="yellow"/>
          <w:lang w:val="en-US"/>
        </w:rPr>
        <w:t>The analysis should to the extent possible draw on already existing international, joint and Danish research and analysis, e.g. the United Nations Universal Periodic Review, other development partners’ analyses of the economic development, World Bank and IMF documents</w:t>
      </w:r>
      <w:r w:rsidR="00E3363E" w:rsidRPr="007C4125">
        <w:rPr>
          <w:szCs w:val="24"/>
          <w:highlight w:val="yellow"/>
          <w:lang w:val="en-US"/>
        </w:rPr>
        <w:t>, OECD States of Fragility reports,</w:t>
      </w:r>
      <w:r w:rsidRPr="007C4125">
        <w:rPr>
          <w:szCs w:val="24"/>
          <w:highlight w:val="yellow"/>
          <w:lang w:val="en-US"/>
        </w:rPr>
        <w:t xml:space="preserve"> etc. </w:t>
      </w:r>
    </w:p>
    <w:p w:rsidR="00515566" w:rsidRPr="007C4125" w:rsidRDefault="00515566" w:rsidP="00515566">
      <w:pPr>
        <w:rPr>
          <w:szCs w:val="24"/>
          <w:highlight w:val="yellow"/>
          <w:lang w:val="en-US"/>
        </w:rPr>
      </w:pPr>
      <w:r w:rsidRPr="007C4125">
        <w:rPr>
          <w:szCs w:val="24"/>
          <w:highlight w:val="yellow"/>
          <w:lang w:val="en-US"/>
        </w:rPr>
        <w:t xml:space="preserve">When filling in the template, focus should be on the conclusions and implications of the analysis within each topic for the proposed programme, identifying the opportunities, challenges and risks that should inform the choices of objectives, partners and modalities proposed in the Programme Concept Note. The template should not contain the full analysis. </w:t>
      </w:r>
    </w:p>
    <w:p w:rsidR="00515566" w:rsidRPr="007C4125" w:rsidRDefault="00515566" w:rsidP="00515566">
      <w:pPr>
        <w:rPr>
          <w:szCs w:val="24"/>
          <w:highlight w:val="yellow"/>
          <w:lang w:val="en-US"/>
        </w:rPr>
      </w:pPr>
      <w:r w:rsidRPr="007C4125">
        <w:rPr>
          <w:szCs w:val="24"/>
          <w:highlight w:val="yellow"/>
          <w:lang w:val="en-US"/>
        </w:rPr>
        <w:t>For each specific programme and the engagements envisaged the choices regarding the individual analysis must be carefully considered. In keeping with the Human Rights Based Approach to Danish development cooperation and the high priority given to promoting gender equality – part 3 – and the strong emphasis on sustainable inclusive growth and the commitment to the Paris Climate agreement – part 4 - an analysis of these aspects applies as a general rule. In cases where these specific topic areas are left out a thorough explanation for the choices made must be provided in the template.</w:t>
      </w:r>
    </w:p>
    <w:p w:rsidR="00515566" w:rsidRPr="007C4125" w:rsidRDefault="00515566" w:rsidP="00515566">
      <w:pPr>
        <w:rPr>
          <w:szCs w:val="24"/>
          <w:highlight w:val="yellow"/>
          <w:lang w:val="en-US"/>
        </w:rPr>
      </w:pPr>
      <w:r w:rsidRPr="007C4125">
        <w:rPr>
          <w:szCs w:val="24"/>
          <w:highlight w:val="yellow"/>
          <w:lang w:val="en-US"/>
        </w:rPr>
        <w:t>For each topic area the template is divided into three sections:</w:t>
      </w:r>
    </w:p>
    <w:p w:rsidR="00515566" w:rsidRPr="007C4125" w:rsidRDefault="00515566" w:rsidP="00515566">
      <w:pPr>
        <w:pStyle w:val="Listeafsnit"/>
        <w:numPr>
          <w:ilvl w:val="0"/>
          <w:numId w:val="30"/>
        </w:numPr>
        <w:rPr>
          <w:rFonts w:ascii="Garamond" w:hAnsi="Garamond"/>
          <w:sz w:val="24"/>
          <w:szCs w:val="24"/>
          <w:highlight w:val="yellow"/>
          <w:lang w:val="en-US"/>
        </w:rPr>
      </w:pPr>
      <w:r w:rsidRPr="007C4125">
        <w:rPr>
          <w:rFonts w:ascii="Garamond" w:hAnsi="Garamond"/>
          <w:sz w:val="24"/>
          <w:szCs w:val="24"/>
          <w:highlight w:val="yellow"/>
          <w:lang w:val="en-US"/>
        </w:rPr>
        <w:t>Key conclusions and implications for the programme of the analysis,</w:t>
      </w:r>
    </w:p>
    <w:p w:rsidR="00515566" w:rsidRPr="007C4125" w:rsidRDefault="00515566" w:rsidP="00515566">
      <w:pPr>
        <w:pStyle w:val="Listeafsnit"/>
        <w:numPr>
          <w:ilvl w:val="0"/>
          <w:numId w:val="30"/>
        </w:numPr>
        <w:rPr>
          <w:rFonts w:ascii="Garamond" w:hAnsi="Garamond"/>
          <w:sz w:val="24"/>
          <w:szCs w:val="24"/>
          <w:highlight w:val="yellow"/>
          <w:lang w:val="en-US"/>
        </w:rPr>
      </w:pPr>
      <w:r w:rsidRPr="007C4125">
        <w:rPr>
          <w:rFonts w:ascii="Garamond" w:hAnsi="Garamond"/>
          <w:sz w:val="24"/>
          <w:szCs w:val="24"/>
          <w:highlight w:val="yellow"/>
          <w:lang w:val="en-US"/>
        </w:rPr>
        <w:t>List of documentation and sources used (existing as well as own work),</w:t>
      </w:r>
    </w:p>
    <w:p w:rsidR="00515566" w:rsidRPr="007C4125" w:rsidRDefault="00515566" w:rsidP="00515566">
      <w:pPr>
        <w:pStyle w:val="Listeafsnit"/>
        <w:numPr>
          <w:ilvl w:val="0"/>
          <w:numId w:val="30"/>
        </w:numPr>
        <w:rPr>
          <w:rFonts w:ascii="Garamond" w:hAnsi="Garamond"/>
          <w:sz w:val="24"/>
          <w:szCs w:val="24"/>
          <w:highlight w:val="yellow"/>
          <w:lang w:val="en-US"/>
        </w:rPr>
      </w:pPr>
      <w:r w:rsidRPr="007C4125">
        <w:rPr>
          <w:rFonts w:ascii="Garamond" w:hAnsi="Garamond"/>
          <w:sz w:val="24"/>
          <w:szCs w:val="24"/>
          <w:highlight w:val="yellow"/>
          <w:lang w:val="en-US"/>
        </w:rPr>
        <w:t xml:space="preserve">Listing of further analytic work required during formulation or </w:t>
      </w:r>
      <w:r w:rsidR="007F3BB7" w:rsidRPr="007C4125">
        <w:rPr>
          <w:rFonts w:ascii="Garamond" w:hAnsi="Garamond"/>
          <w:sz w:val="24"/>
          <w:szCs w:val="24"/>
          <w:highlight w:val="yellow"/>
          <w:lang w:val="en-US"/>
        </w:rPr>
        <w:t>implementation</w:t>
      </w:r>
      <w:r w:rsidRPr="007C4125">
        <w:rPr>
          <w:rFonts w:ascii="Garamond" w:hAnsi="Garamond"/>
          <w:sz w:val="24"/>
          <w:szCs w:val="24"/>
          <w:highlight w:val="yellow"/>
          <w:lang w:val="en-US"/>
        </w:rPr>
        <w:t>.</w:t>
      </w:r>
    </w:p>
    <w:p w:rsidR="00515566" w:rsidRPr="007C4125" w:rsidRDefault="00515566" w:rsidP="00515566">
      <w:pPr>
        <w:rPr>
          <w:szCs w:val="24"/>
          <w:highlight w:val="yellow"/>
          <w:lang w:val="en-US"/>
        </w:rPr>
      </w:pPr>
      <w:r w:rsidRPr="007C4125">
        <w:rPr>
          <w:szCs w:val="24"/>
          <w:highlight w:val="yellow"/>
          <w:lang w:val="en-US"/>
        </w:rPr>
        <w:t xml:space="preserve">The template should be used for all types of programmes above DKK 37 million. When used for regional programmes or thematic programmes with a multi-country scope, the programme context to be analysed will be the relevant broader context. </w:t>
      </w:r>
    </w:p>
    <w:p w:rsidR="00AA5F37" w:rsidRDefault="00A40AE0" w:rsidP="00515566">
      <w:pPr>
        <w:rPr>
          <w:szCs w:val="24"/>
          <w:lang w:val="en-US"/>
        </w:rPr>
      </w:pPr>
      <w:r>
        <w:rPr>
          <w:szCs w:val="24"/>
          <w:highlight w:val="yellow"/>
          <w:lang w:val="en-US"/>
        </w:rPr>
        <w:t>Note: t</w:t>
      </w:r>
      <w:r w:rsidR="00AA5F37" w:rsidRPr="007C4125">
        <w:rPr>
          <w:szCs w:val="24"/>
          <w:highlight w:val="yellow"/>
          <w:lang w:val="en-US"/>
        </w:rPr>
        <w:t xml:space="preserve">he template should be updated </w:t>
      </w:r>
      <w:r w:rsidR="004B2D97" w:rsidRPr="007C4125">
        <w:rPr>
          <w:szCs w:val="24"/>
          <w:highlight w:val="yellow"/>
          <w:lang w:val="en-US"/>
        </w:rPr>
        <w:t>with new and/or additional information emerging during the formulation phase and the updated annex shall be submitted as annex 1 to the programme document.</w:t>
      </w:r>
    </w:p>
    <w:p w:rsidR="00515566" w:rsidRDefault="00515566" w:rsidP="00515566">
      <w:pPr>
        <w:rPr>
          <w:szCs w:val="24"/>
          <w:lang w:val="en-US"/>
        </w:rPr>
      </w:pPr>
      <w:r>
        <w:rPr>
          <w:szCs w:val="24"/>
          <w:lang w:val="en-US"/>
        </w:rPr>
        <w:br w:type="page"/>
      </w:r>
    </w:p>
    <w:tbl>
      <w:tblPr>
        <w:tblStyle w:val="Lysliste-farve1"/>
        <w:tblW w:w="9629" w:type="dxa"/>
        <w:tblLayout w:type="fixed"/>
        <w:tblLook w:val="04A0" w:firstRow="1" w:lastRow="0" w:firstColumn="1" w:lastColumn="0" w:noHBand="0" w:noVBand="1"/>
      </w:tblPr>
      <w:tblGrid>
        <w:gridCol w:w="9629"/>
      </w:tblGrid>
      <w:tr w:rsidR="00515566" w:rsidRPr="009974CB" w:rsidTr="00120E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515566" w:rsidRPr="007C4125" w:rsidRDefault="00515566" w:rsidP="00515566">
            <w:pPr>
              <w:pStyle w:val="Listeafsnit"/>
              <w:numPr>
                <w:ilvl w:val="0"/>
                <w:numId w:val="31"/>
              </w:numPr>
              <w:rPr>
                <w:rFonts w:ascii="Garamond" w:hAnsi="Garamond"/>
                <w:b w:val="0"/>
                <w:bCs w:val="0"/>
                <w:sz w:val="24"/>
                <w:szCs w:val="22"/>
                <w:lang w:val="en-GB"/>
              </w:rPr>
            </w:pPr>
            <w:r w:rsidRPr="007C4125">
              <w:rPr>
                <w:rFonts w:ascii="Garamond" w:hAnsi="Garamond"/>
                <w:sz w:val="24"/>
                <w:szCs w:val="24"/>
                <w:lang w:val="en-GB"/>
              </w:rPr>
              <w:lastRenderedPageBreak/>
              <w:t>Overall development challenges, opportunities and risks</w:t>
            </w:r>
          </w:p>
          <w:p w:rsidR="00515566" w:rsidRPr="00654B4F" w:rsidRDefault="00515566" w:rsidP="00B11BDA">
            <w:pPr>
              <w:rPr>
                <w:szCs w:val="22"/>
                <w:lang w:val="en-GB"/>
              </w:rPr>
            </w:pPr>
          </w:p>
        </w:tc>
      </w:tr>
      <w:tr w:rsidR="00515566" w:rsidRPr="009974CB" w:rsidTr="00120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515566" w:rsidRPr="00654B4F" w:rsidRDefault="00515566" w:rsidP="00B11BDA">
            <w:pPr>
              <w:rPr>
                <w:b w:val="0"/>
                <w:szCs w:val="24"/>
                <w:lang w:val="en-GB"/>
              </w:rPr>
            </w:pPr>
            <w:r w:rsidRPr="00F27C37">
              <w:rPr>
                <w:i/>
                <w:szCs w:val="24"/>
                <w:lang w:val="en-US"/>
              </w:rPr>
              <w:t xml:space="preserve">Briefly summarise the key conclusions </w:t>
            </w:r>
            <w:r>
              <w:rPr>
                <w:i/>
                <w:szCs w:val="24"/>
                <w:lang w:val="en-US"/>
              </w:rPr>
              <w:t xml:space="preserve">from the analyses consulted </w:t>
            </w:r>
            <w:r w:rsidRPr="00F27C37">
              <w:rPr>
                <w:i/>
                <w:szCs w:val="24"/>
                <w:lang w:val="en-US"/>
              </w:rPr>
              <w:t xml:space="preserve">and </w:t>
            </w:r>
            <w:r>
              <w:rPr>
                <w:i/>
                <w:szCs w:val="24"/>
                <w:lang w:val="en-US"/>
              </w:rPr>
              <w:t xml:space="preserve">their </w:t>
            </w:r>
            <w:r w:rsidRPr="00F27C37">
              <w:rPr>
                <w:i/>
                <w:szCs w:val="24"/>
                <w:lang w:val="en-US"/>
              </w:rPr>
              <w:t xml:space="preserve">implications for </w:t>
            </w:r>
            <w:r>
              <w:rPr>
                <w:i/>
                <w:szCs w:val="24"/>
                <w:lang w:val="en-US"/>
              </w:rPr>
              <w:t xml:space="preserve">the </w:t>
            </w:r>
            <w:r w:rsidRPr="00F27C37">
              <w:rPr>
                <w:i/>
                <w:szCs w:val="24"/>
                <w:lang w:val="en-US"/>
              </w:rPr>
              <w:t>programme</w:t>
            </w:r>
            <w:r>
              <w:rPr>
                <w:i/>
                <w:szCs w:val="24"/>
                <w:lang w:val="en-US"/>
              </w:rPr>
              <w:t xml:space="preserve"> regarding each of the following points:</w:t>
            </w:r>
          </w:p>
        </w:tc>
      </w:tr>
      <w:tr w:rsidR="00515566" w:rsidRPr="009974CB" w:rsidTr="00120ED4">
        <w:tc>
          <w:tcPr>
            <w:cnfStyle w:val="001000000000" w:firstRow="0" w:lastRow="0" w:firstColumn="1" w:lastColumn="0" w:oddVBand="0" w:evenVBand="0" w:oddHBand="0" w:evenHBand="0" w:firstRowFirstColumn="0" w:firstRowLastColumn="0" w:lastRowFirstColumn="0" w:lastRowLastColumn="0"/>
            <w:tcW w:w="9629" w:type="dxa"/>
          </w:tcPr>
          <w:p w:rsidR="00515566" w:rsidRPr="009974CB" w:rsidRDefault="00515566" w:rsidP="00E3363E">
            <w:pPr>
              <w:numPr>
                <w:ilvl w:val="0"/>
                <w:numId w:val="35"/>
              </w:numPr>
              <w:contextualSpacing/>
              <w:rPr>
                <w:b w:val="0"/>
                <w:szCs w:val="24"/>
                <w:lang w:val="en-US"/>
              </w:rPr>
            </w:pPr>
            <w:r>
              <w:rPr>
                <w:b w:val="0"/>
                <w:szCs w:val="24"/>
                <w:lang w:val="en-US"/>
              </w:rPr>
              <w:t>General</w:t>
            </w:r>
            <w:r w:rsidRPr="002364E7">
              <w:rPr>
                <w:b w:val="0"/>
                <w:szCs w:val="24"/>
                <w:lang w:val="en-US"/>
              </w:rPr>
              <w:t xml:space="preserve"> development challenges </w:t>
            </w:r>
            <w:r>
              <w:rPr>
                <w:b w:val="0"/>
                <w:szCs w:val="24"/>
                <w:lang w:val="en-US"/>
              </w:rPr>
              <w:t>i</w:t>
            </w:r>
            <w:r w:rsidRPr="002364E7">
              <w:rPr>
                <w:b w:val="0"/>
                <w:szCs w:val="24"/>
                <w:lang w:val="en-US"/>
              </w:rPr>
              <w:t>ncluding poverty, equality/inequality</w:t>
            </w:r>
            <w:r w:rsidR="00E3363E">
              <w:rPr>
                <w:b w:val="0"/>
                <w:szCs w:val="24"/>
                <w:lang w:val="en-US"/>
              </w:rPr>
              <w:t xml:space="preserve">, </w:t>
            </w:r>
            <w:r w:rsidRPr="002364E7">
              <w:rPr>
                <w:b w:val="0"/>
                <w:szCs w:val="24"/>
                <w:lang w:val="en-US"/>
              </w:rPr>
              <w:t xml:space="preserve">national </w:t>
            </w:r>
            <w:r>
              <w:rPr>
                <w:b w:val="0"/>
                <w:szCs w:val="24"/>
                <w:lang w:val="en-US"/>
              </w:rPr>
              <w:t>development plan/</w:t>
            </w:r>
            <w:r w:rsidRPr="002364E7">
              <w:rPr>
                <w:b w:val="0"/>
                <w:szCs w:val="24"/>
                <w:lang w:val="en-US"/>
              </w:rPr>
              <w:t>poverty reduction strategy</w:t>
            </w:r>
            <w:r w:rsidR="00E3363E">
              <w:rPr>
                <w:b w:val="0"/>
                <w:szCs w:val="24"/>
                <w:lang w:val="en-US"/>
              </w:rPr>
              <w:t>, humanitarian assessment</w:t>
            </w:r>
            <w:r w:rsidRPr="002364E7">
              <w:rPr>
                <w:b w:val="0"/>
                <w:szCs w:val="24"/>
                <w:lang w:val="en-US"/>
              </w:rPr>
              <w:t xml:space="preserve">. </w:t>
            </w:r>
          </w:p>
        </w:tc>
      </w:tr>
      <w:tr w:rsidR="00515566" w:rsidRPr="009974CB" w:rsidTr="00120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515566" w:rsidRPr="009974CB" w:rsidRDefault="00515566" w:rsidP="00515566">
            <w:pPr>
              <w:numPr>
                <w:ilvl w:val="0"/>
                <w:numId w:val="35"/>
              </w:numPr>
              <w:contextualSpacing/>
              <w:rPr>
                <w:b w:val="0"/>
                <w:szCs w:val="24"/>
                <w:lang w:val="en-US"/>
              </w:rPr>
            </w:pPr>
            <w:r w:rsidRPr="002364E7">
              <w:rPr>
                <w:b w:val="0"/>
                <w:szCs w:val="24"/>
                <w:lang w:val="en-US"/>
              </w:rPr>
              <w:t>Development in key</w:t>
            </w:r>
            <w:r>
              <w:rPr>
                <w:b w:val="0"/>
                <w:szCs w:val="24"/>
                <w:lang w:val="en-US"/>
              </w:rPr>
              <w:t xml:space="preserve"> </w:t>
            </w:r>
            <w:r w:rsidRPr="002364E7">
              <w:rPr>
                <w:b w:val="0"/>
                <w:szCs w:val="24"/>
                <w:lang w:val="en-US"/>
              </w:rPr>
              <w:t>economic indicators</w:t>
            </w:r>
            <w:r>
              <w:rPr>
                <w:b w:val="0"/>
                <w:szCs w:val="24"/>
                <w:lang w:val="en-US"/>
              </w:rPr>
              <w:t>:</w:t>
            </w:r>
            <w:r w:rsidRPr="002364E7">
              <w:rPr>
                <w:b w:val="0"/>
                <w:szCs w:val="24"/>
                <w:lang w:val="en-US"/>
              </w:rPr>
              <w:t xml:space="preserve"> GDP, economic growth, employment, domestic resource mobilisation, etc.  </w:t>
            </w:r>
          </w:p>
        </w:tc>
      </w:tr>
      <w:tr w:rsidR="00515566" w:rsidRPr="009974CB" w:rsidTr="00120ED4">
        <w:tc>
          <w:tcPr>
            <w:cnfStyle w:val="001000000000" w:firstRow="0" w:lastRow="0" w:firstColumn="1" w:lastColumn="0" w:oddVBand="0" w:evenVBand="0" w:oddHBand="0" w:evenHBand="0" w:firstRowFirstColumn="0" w:firstRowLastColumn="0" w:lastRowFirstColumn="0" w:lastRowLastColumn="0"/>
            <w:tcW w:w="9629" w:type="dxa"/>
          </w:tcPr>
          <w:p w:rsidR="00515566" w:rsidRPr="009974CB" w:rsidRDefault="00515566" w:rsidP="00515566">
            <w:pPr>
              <w:numPr>
                <w:ilvl w:val="0"/>
                <w:numId w:val="35"/>
              </w:numPr>
              <w:contextualSpacing/>
              <w:rPr>
                <w:b w:val="0"/>
                <w:szCs w:val="24"/>
                <w:lang w:val="en-US"/>
              </w:rPr>
            </w:pPr>
            <w:r w:rsidRPr="002364E7">
              <w:rPr>
                <w:b w:val="0"/>
                <w:szCs w:val="24"/>
                <w:lang w:val="en-US"/>
              </w:rPr>
              <w:t>Status and progress in relation to SDGs</w:t>
            </w:r>
            <w:r>
              <w:rPr>
                <w:b w:val="0"/>
                <w:szCs w:val="24"/>
                <w:lang w:val="en-US"/>
              </w:rPr>
              <w:t>, in particular those that are special priorities for Denmark</w:t>
            </w:r>
            <w:r w:rsidRPr="002364E7">
              <w:rPr>
                <w:b w:val="0"/>
                <w:szCs w:val="24"/>
                <w:lang w:val="en-US"/>
              </w:rPr>
              <w:t>.</w:t>
            </w:r>
          </w:p>
        </w:tc>
      </w:tr>
      <w:tr w:rsidR="00515566" w:rsidRPr="009974CB" w:rsidTr="00120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515566" w:rsidRPr="009974CB" w:rsidRDefault="00515566" w:rsidP="00515566">
            <w:pPr>
              <w:numPr>
                <w:ilvl w:val="0"/>
                <w:numId w:val="35"/>
              </w:numPr>
              <w:contextualSpacing/>
              <w:rPr>
                <w:b w:val="0"/>
                <w:szCs w:val="24"/>
                <w:lang w:val="en-US"/>
              </w:rPr>
            </w:pPr>
            <w:r w:rsidRPr="002364E7">
              <w:rPr>
                <w:b w:val="0"/>
                <w:szCs w:val="24"/>
                <w:lang w:val="en-US"/>
              </w:rPr>
              <w:t xml:space="preserve">Political economy, including drivers of change (political, institutional, economic) (e.g. political will, CSO space, role of opposition, level of donor funding to government expenses, </w:t>
            </w:r>
            <w:r w:rsidR="00891BB1">
              <w:rPr>
                <w:b w:val="0"/>
                <w:szCs w:val="24"/>
                <w:lang w:val="en-US"/>
              </w:rPr>
              <w:t xml:space="preserve">level of corruption, </w:t>
            </w:r>
            <w:r w:rsidRPr="002364E7">
              <w:rPr>
                <w:b w:val="0"/>
                <w:szCs w:val="24"/>
                <w:lang w:val="en-US"/>
              </w:rPr>
              <w:t xml:space="preserve">foreign investment, remittances, role of diaspora, </w:t>
            </w:r>
            <w:r w:rsidR="00891BB1">
              <w:rPr>
                <w:b w:val="0"/>
                <w:szCs w:val="24"/>
                <w:lang w:val="en-US"/>
              </w:rPr>
              <w:t xml:space="preserve">youth, gender, </w:t>
            </w:r>
            <w:r w:rsidRPr="002364E7">
              <w:rPr>
                <w:b w:val="0"/>
                <w:szCs w:val="24"/>
                <w:lang w:val="en-US"/>
              </w:rPr>
              <w:t>discovery of natural resources or impact of climate change etc.)</w:t>
            </w:r>
          </w:p>
        </w:tc>
      </w:tr>
      <w:tr w:rsidR="00515566" w:rsidRPr="009974CB" w:rsidTr="00120ED4">
        <w:tc>
          <w:tcPr>
            <w:cnfStyle w:val="001000000000" w:firstRow="0" w:lastRow="0" w:firstColumn="1" w:lastColumn="0" w:oddVBand="0" w:evenVBand="0" w:oddHBand="0" w:evenHBand="0" w:firstRowFirstColumn="0" w:firstRowLastColumn="0" w:lastRowFirstColumn="0" w:lastRowLastColumn="0"/>
            <w:tcW w:w="9629" w:type="dxa"/>
          </w:tcPr>
          <w:p w:rsidR="00515566" w:rsidRPr="00654B4F" w:rsidRDefault="00515566" w:rsidP="00B11BDA">
            <w:pPr>
              <w:rPr>
                <w:i/>
                <w:szCs w:val="24"/>
                <w:lang w:val="en-US"/>
              </w:rPr>
            </w:pPr>
            <w:r w:rsidRPr="002364E7">
              <w:rPr>
                <w:i/>
                <w:szCs w:val="24"/>
                <w:lang w:val="en-US"/>
              </w:rPr>
              <w:t xml:space="preserve">List the key documentation and sources used for the analysis: </w:t>
            </w:r>
          </w:p>
          <w:p w:rsidR="00515566" w:rsidRDefault="00515566" w:rsidP="00B11BDA">
            <w:pPr>
              <w:rPr>
                <w:sz w:val="18"/>
                <w:szCs w:val="18"/>
                <w:highlight w:val="yellow"/>
                <w:lang w:val="en-GB"/>
              </w:rPr>
            </w:pPr>
          </w:p>
          <w:p w:rsidR="00515566" w:rsidRPr="005F5EB3" w:rsidRDefault="00515566" w:rsidP="00B11BDA">
            <w:pPr>
              <w:rPr>
                <w:b w:val="0"/>
                <w:sz w:val="18"/>
                <w:szCs w:val="18"/>
                <w:lang w:val="en-GB"/>
              </w:rPr>
            </w:pPr>
            <w:r w:rsidRPr="005F5EB3">
              <w:rPr>
                <w:b w:val="0"/>
                <w:sz w:val="18"/>
                <w:szCs w:val="18"/>
                <w:lang w:val="en-GB"/>
              </w:rPr>
              <w:t>Relevant documents may include:</w:t>
            </w:r>
          </w:p>
          <w:p w:rsidR="00515566" w:rsidRPr="00654B4F" w:rsidRDefault="00515566" w:rsidP="00B11BDA">
            <w:pPr>
              <w:rPr>
                <w:b w:val="0"/>
                <w:sz w:val="18"/>
                <w:szCs w:val="18"/>
                <w:lang w:val="en-GB"/>
              </w:rPr>
            </w:pPr>
            <w:r w:rsidRPr="005F5EB3">
              <w:rPr>
                <w:b w:val="0"/>
                <w:sz w:val="18"/>
                <w:szCs w:val="18"/>
                <w:lang w:val="en-GB"/>
              </w:rPr>
              <w:t>National development strategies and progress reports; WB and other development partners’ country analyses and diagnostics; national poverty assessments; IMF Article-4 and other country reports; national and UN SDG progress reports; UNDP Human Development Index; independent political-economy analyses.</w:t>
            </w:r>
            <w:r w:rsidRPr="00654B4F">
              <w:rPr>
                <w:b w:val="0"/>
                <w:sz w:val="18"/>
                <w:szCs w:val="18"/>
                <w:lang w:val="en-GB"/>
              </w:rPr>
              <w:t xml:space="preserve"> </w:t>
            </w:r>
          </w:p>
          <w:p w:rsidR="00515566" w:rsidRPr="00654B4F" w:rsidRDefault="00515566" w:rsidP="00B11BDA">
            <w:pPr>
              <w:rPr>
                <w:szCs w:val="22"/>
                <w:lang w:val="en-GB"/>
              </w:rPr>
            </w:pPr>
          </w:p>
        </w:tc>
      </w:tr>
      <w:tr w:rsidR="00515566" w:rsidRPr="009974CB" w:rsidTr="00120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515566" w:rsidRPr="00654B4F" w:rsidRDefault="00515566" w:rsidP="00B11BDA">
            <w:pPr>
              <w:rPr>
                <w:i/>
                <w:szCs w:val="24"/>
                <w:lang w:val="en-US"/>
              </w:rPr>
            </w:pPr>
            <w:r w:rsidRPr="00654B4F">
              <w:rPr>
                <w:i/>
                <w:szCs w:val="24"/>
                <w:lang w:val="en-US"/>
              </w:rPr>
              <w:t xml:space="preserve">Are additional studies / analytic work needed? How and when will it be done? </w:t>
            </w:r>
          </w:p>
          <w:p w:rsidR="00515566" w:rsidRDefault="00515566" w:rsidP="00B11BDA">
            <w:pPr>
              <w:rPr>
                <w:sz w:val="18"/>
                <w:szCs w:val="18"/>
                <w:lang w:val="en-GB"/>
              </w:rPr>
            </w:pPr>
          </w:p>
          <w:p w:rsidR="00515566" w:rsidRPr="00654B4F" w:rsidRDefault="00515566" w:rsidP="00B11BDA">
            <w:pPr>
              <w:rPr>
                <w:b w:val="0"/>
                <w:sz w:val="18"/>
                <w:szCs w:val="18"/>
                <w:lang w:val="en-GB"/>
              </w:rPr>
            </w:pPr>
            <w:r w:rsidRPr="00CA7B8B">
              <w:rPr>
                <w:b w:val="0"/>
                <w:sz w:val="18"/>
                <w:szCs w:val="18"/>
                <w:lang w:val="en-GB"/>
              </w:rPr>
              <w:t>List additional studies that will be carried out as part of the preparation phase, including studies that will be carried out jointly with others or by partners / other donors.</w:t>
            </w:r>
          </w:p>
          <w:p w:rsidR="00515566" w:rsidRPr="00654B4F" w:rsidRDefault="00515566" w:rsidP="00B11BDA">
            <w:pPr>
              <w:rPr>
                <w:szCs w:val="22"/>
                <w:lang w:val="en-GB"/>
              </w:rPr>
            </w:pPr>
          </w:p>
        </w:tc>
      </w:tr>
    </w:tbl>
    <w:p w:rsidR="00515566" w:rsidRPr="002364E7" w:rsidRDefault="00515566" w:rsidP="00515566">
      <w:pPr>
        <w:rPr>
          <w:lang w:val="en-US"/>
        </w:rPr>
      </w:pPr>
    </w:p>
    <w:tbl>
      <w:tblPr>
        <w:tblStyle w:val="Lysliste-farve1"/>
        <w:tblW w:w="9629" w:type="dxa"/>
        <w:tblLayout w:type="fixed"/>
        <w:tblLook w:val="04A0" w:firstRow="1" w:lastRow="0" w:firstColumn="1" w:lastColumn="0" w:noHBand="0" w:noVBand="1"/>
      </w:tblPr>
      <w:tblGrid>
        <w:gridCol w:w="9629"/>
      </w:tblGrid>
      <w:tr w:rsidR="00515566" w:rsidRPr="00654B4F" w:rsidTr="00120E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515566" w:rsidRPr="005677F7" w:rsidRDefault="00515566" w:rsidP="00515566">
            <w:pPr>
              <w:pStyle w:val="Listeafsnit"/>
              <w:numPr>
                <w:ilvl w:val="0"/>
                <w:numId w:val="31"/>
              </w:numPr>
              <w:rPr>
                <w:rFonts w:ascii="Garamond" w:hAnsi="Garamond"/>
                <w:sz w:val="24"/>
                <w:szCs w:val="24"/>
                <w:lang w:val="en-GB"/>
              </w:rPr>
            </w:pPr>
            <w:r w:rsidRPr="005677F7">
              <w:rPr>
                <w:rFonts w:ascii="Garamond" w:hAnsi="Garamond"/>
                <w:sz w:val="24"/>
                <w:szCs w:val="24"/>
                <w:lang w:val="en-GB"/>
              </w:rPr>
              <w:t xml:space="preserve">Fragility, conflict, migration and resilience </w:t>
            </w:r>
          </w:p>
          <w:p w:rsidR="00515566" w:rsidRPr="005677F7" w:rsidRDefault="00515566" w:rsidP="00B11BDA">
            <w:pPr>
              <w:rPr>
                <w:szCs w:val="24"/>
                <w:lang w:val="en-GB"/>
              </w:rPr>
            </w:pPr>
          </w:p>
        </w:tc>
      </w:tr>
      <w:tr w:rsidR="00515566" w:rsidRPr="009974CB" w:rsidTr="00120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515566" w:rsidRPr="00654B4F" w:rsidRDefault="00515566" w:rsidP="00B11BDA">
            <w:pPr>
              <w:rPr>
                <w:i/>
                <w:szCs w:val="24"/>
                <w:lang w:val="en-US"/>
              </w:rPr>
            </w:pPr>
            <w:r w:rsidRPr="005677F7">
              <w:rPr>
                <w:i/>
                <w:szCs w:val="24"/>
                <w:lang w:val="en-US"/>
              </w:rPr>
              <w:t xml:space="preserve">Briefly summarise the key conclusions and implications for </w:t>
            </w:r>
            <w:r w:rsidR="00F8104A">
              <w:rPr>
                <w:i/>
                <w:szCs w:val="24"/>
                <w:lang w:val="en-US"/>
              </w:rPr>
              <w:t xml:space="preserve">the </w:t>
            </w:r>
            <w:r w:rsidRPr="005677F7">
              <w:rPr>
                <w:i/>
                <w:szCs w:val="24"/>
                <w:lang w:val="en-US"/>
              </w:rPr>
              <w:t>programme of the analysis of the below points:</w:t>
            </w:r>
          </w:p>
        </w:tc>
      </w:tr>
      <w:tr w:rsidR="00515566" w:rsidRPr="009974CB" w:rsidTr="00120ED4">
        <w:tc>
          <w:tcPr>
            <w:cnfStyle w:val="001000000000" w:firstRow="0" w:lastRow="0" w:firstColumn="1" w:lastColumn="0" w:oddVBand="0" w:evenVBand="0" w:oddHBand="0" w:evenHBand="0" w:firstRowFirstColumn="0" w:firstRowLastColumn="0" w:lastRowFirstColumn="0" w:lastRowLastColumn="0"/>
            <w:tcW w:w="9629" w:type="dxa"/>
          </w:tcPr>
          <w:p w:rsidR="00515566" w:rsidRPr="009974CB" w:rsidRDefault="00891BB1" w:rsidP="00515566">
            <w:pPr>
              <w:numPr>
                <w:ilvl w:val="0"/>
                <w:numId w:val="35"/>
              </w:numPr>
              <w:contextualSpacing/>
              <w:rPr>
                <w:b w:val="0"/>
                <w:szCs w:val="24"/>
                <w:lang w:val="en-US"/>
              </w:rPr>
            </w:pPr>
            <w:r w:rsidRPr="00891005">
              <w:rPr>
                <w:b w:val="0"/>
                <w:szCs w:val="24"/>
                <w:lang w:val="en-GB"/>
              </w:rPr>
              <w:t>Situation with regards to peace and  stability based on conflict analysis and fragility assessments highlighting key drivers of conflict and fragility, protection and resilience, organised transnational crime and illicit money flows and how conflict and fragility affect inclusive private sector  development and women and youth</w:t>
            </w:r>
          </w:p>
        </w:tc>
      </w:tr>
      <w:tr w:rsidR="00515566" w:rsidRPr="009974CB" w:rsidTr="00120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515566" w:rsidRPr="00654B4F" w:rsidRDefault="00891BB1" w:rsidP="00F8104A">
            <w:pPr>
              <w:numPr>
                <w:ilvl w:val="0"/>
                <w:numId w:val="35"/>
              </w:numPr>
              <w:contextualSpacing/>
              <w:rPr>
                <w:szCs w:val="24"/>
                <w:lang w:val="en-GB"/>
              </w:rPr>
            </w:pPr>
            <w:r w:rsidRPr="00891005">
              <w:rPr>
                <w:b w:val="0"/>
                <w:szCs w:val="24"/>
                <w:lang w:val="en-GB"/>
              </w:rPr>
              <w:t xml:space="preserve">Identifying on-going stabilisation/development and resilience efforts and the potential for establishing partnerships and alliances with national, regional and other international partners in order to maximise effects of the engagements.  </w:t>
            </w:r>
          </w:p>
        </w:tc>
      </w:tr>
      <w:tr w:rsidR="00891BB1" w:rsidRPr="009974CB" w:rsidTr="00120ED4">
        <w:tc>
          <w:tcPr>
            <w:cnfStyle w:val="001000000000" w:firstRow="0" w:lastRow="0" w:firstColumn="1" w:lastColumn="0" w:oddVBand="0" w:evenVBand="0" w:oddHBand="0" w:evenHBand="0" w:firstRowFirstColumn="0" w:firstRowLastColumn="0" w:lastRowFirstColumn="0" w:lastRowLastColumn="0"/>
            <w:tcW w:w="9629" w:type="dxa"/>
          </w:tcPr>
          <w:p w:rsidR="00891BB1" w:rsidRPr="00891BB1" w:rsidRDefault="00891BB1">
            <w:pPr>
              <w:rPr>
                <w:lang w:val="en-GB"/>
              </w:rPr>
            </w:pPr>
            <w:r>
              <w:rPr>
                <w:b w:val="0"/>
                <w:szCs w:val="24"/>
                <w:lang w:val="en-GB"/>
              </w:rPr>
              <w:t xml:space="preserve">-  </w:t>
            </w:r>
            <w:r w:rsidRPr="003A2718">
              <w:rPr>
                <w:b w:val="0"/>
                <w:szCs w:val="24"/>
                <w:lang w:val="en-GB"/>
              </w:rPr>
              <w:t>Issues and concerns of relevance to Danish interest in the area of security and migration.</w:t>
            </w:r>
          </w:p>
        </w:tc>
      </w:tr>
      <w:tr w:rsidR="00891BB1" w:rsidRPr="009974CB" w:rsidTr="00120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891BB1" w:rsidRPr="00891BB1" w:rsidRDefault="00891BB1">
            <w:pPr>
              <w:rPr>
                <w:lang w:val="en-GB"/>
              </w:rPr>
            </w:pPr>
            <w:r>
              <w:rPr>
                <w:b w:val="0"/>
                <w:szCs w:val="24"/>
                <w:lang w:val="en-GB"/>
              </w:rPr>
              <w:t xml:space="preserve">-  </w:t>
            </w:r>
            <w:r w:rsidRPr="00D46017">
              <w:rPr>
                <w:b w:val="0"/>
                <w:szCs w:val="24"/>
                <w:lang w:val="en-GB"/>
              </w:rPr>
              <w:t xml:space="preserve">Identify where Denmark has comparative advantages that may lead to more effective and efficient programming and better results including where Denmark may contribute with deployment of specific expertise and capacities. </w:t>
            </w:r>
          </w:p>
        </w:tc>
      </w:tr>
      <w:tr w:rsidR="00891BB1" w:rsidRPr="009974CB" w:rsidTr="00120ED4">
        <w:tc>
          <w:tcPr>
            <w:cnfStyle w:val="001000000000" w:firstRow="0" w:lastRow="0" w:firstColumn="1" w:lastColumn="0" w:oddVBand="0" w:evenVBand="0" w:oddHBand="0" w:evenHBand="0" w:firstRowFirstColumn="0" w:firstRowLastColumn="0" w:lastRowFirstColumn="0" w:lastRowLastColumn="0"/>
            <w:tcW w:w="9629" w:type="dxa"/>
          </w:tcPr>
          <w:p w:rsidR="00891BB1" w:rsidRPr="00891BB1" w:rsidRDefault="00891BB1">
            <w:pPr>
              <w:rPr>
                <w:lang w:val="en-GB"/>
              </w:rPr>
            </w:pPr>
            <w:r>
              <w:rPr>
                <w:b w:val="0"/>
                <w:szCs w:val="24"/>
                <w:lang w:val="en-GB"/>
              </w:rPr>
              <w:t xml:space="preserve">-  </w:t>
            </w:r>
            <w:r w:rsidRPr="00813CA8">
              <w:rPr>
                <w:b w:val="0"/>
                <w:szCs w:val="24"/>
                <w:lang w:val="en-GB"/>
              </w:rPr>
              <w:t>Considerations regarding  the humanitarian situation, migration, refugee and displacement issues, including the need to integrate humanitarian-development linkages and long term strategies;</w:t>
            </w:r>
          </w:p>
        </w:tc>
      </w:tr>
      <w:tr w:rsidR="00891BB1" w:rsidRPr="009974CB" w:rsidTr="00120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891BB1" w:rsidRPr="00891BB1" w:rsidRDefault="00957A3F" w:rsidP="00891BB1">
            <w:pPr>
              <w:pStyle w:val="Listeafsnit"/>
              <w:numPr>
                <w:ilvl w:val="0"/>
                <w:numId w:val="35"/>
              </w:numPr>
              <w:rPr>
                <w:b w:val="0"/>
                <w:szCs w:val="24"/>
                <w:lang w:val="en-GB"/>
              </w:rPr>
            </w:pPr>
            <w:r w:rsidRPr="00891005">
              <w:rPr>
                <w:rFonts w:ascii="Garamond" w:hAnsi="Garamond"/>
                <w:b w:val="0"/>
                <w:sz w:val="24"/>
                <w:szCs w:val="24"/>
                <w:lang w:val="en-GB"/>
              </w:rPr>
              <w:t>Relevant issues and considerations related to radicalisation and violent extremism and the potential for Danish engagement to prevent and counter violent extremism (P/CVE)</w:t>
            </w:r>
          </w:p>
        </w:tc>
      </w:tr>
      <w:tr w:rsidR="00515566" w:rsidRPr="009974CB" w:rsidTr="00120ED4">
        <w:tc>
          <w:tcPr>
            <w:cnfStyle w:val="001000000000" w:firstRow="0" w:lastRow="0" w:firstColumn="1" w:lastColumn="0" w:oddVBand="0" w:evenVBand="0" w:oddHBand="0" w:evenHBand="0" w:firstRowFirstColumn="0" w:firstRowLastColumn="0" w:lastRowFirstColumn="0" w:lastRowLastColumn="0"/>
            <w:tcW w:w="9629" w:type="dxa"/>
          </w:tcPr>
          <w:p w:rsidR="00515566" w:rsidRPr="005677F7" w:rsidRDefault="00515566" w:rsidP="00B11BDA">
            <w:pPr>
              <w:spacing w:after="200" w:line="276" w:lineRule="auto"/>
              <w:rPr>
                <w:bCs w:val="0"/>
                <w:i/>
                <w:szCs w:val="24"/>
                <w:lang w:val="en-GB"/>
              </w:rPr>
            </w:pPr>
            <w:r w:rsidRPr="005677F7">
              <w:rPr>
                <w:bCs w:val="0"/>
                <w:i/>
                <w:szCs w:val="24"/>
                <w:lang w:val="en-GB"/>
              </w:rPr>
              <w:t xml:space="preserve">List the key documentation and sources used for the analysis: </w:t>
            </w:r>
          </w:p>
          <w:p w:rsidR="00957A3F" w:rsidRPr="00957A3F" w:rsidRDefault="00957A3F" w:rsidP="00957A3F">
            <w:pPr>
              <w:rPr>
                <w:sz w:val="18"/>
                <w:szCs w:val="18"/>
                <w:lang w:val="en-GB"/>
              </w:rPr>
            </w:pPr>
            <w:r w:rsidRPr="00957A3F">
              <w:rPr>
                <w:sz w:val="18"/>
                <w:szCs w:val="18"/>
                <w:lang w:val="en-GB"/>
              </w:rPr>
              <w:t xml:space="preserve">Relevant references and guidance may include [forløbige idéer]:  </w:t>
            </w:r>
          </w:p>
          <w:p w:rsidR="00957A3F" w:rsidRPr="00957A3F" w:rsidRDefault="00957A3F" w:rsidP="00957A3F">
            <w:pPr>
              <w:rPr>
                <w:sz w:val="18"/>
                <w:szCs w:val="18"/>
                <w:lang w:val="en-GB"/>
              </w:rPr>
            </w:pPr>
            <w:r w:rsidRPr="00957A3F">
              <w:rPr>
                <w:sz w:val="18"/>
                <w:szCs w:val="18"/>
                <w:lang w:val="en-GB"/>
              </w:rPr>
              <w:t xml:space="preserve">International Dialogue for Peace and State Building – New Deal:  </w:t>
            </w:r>
            <w:hyperlink r:id="rId8" w:history="1">
              <w:r w:rsidRPr="00957A3F">
                <w:rPr>
                  <w:rStyle w:val="Hyperlink"/>
                  <w:sz w:val="18"/>
                  <w:szCs w:val="18"/>
                  <w:lang w:val="en-GB"/>
                </w:rPr>
                <w:t>https://www.pbsbdialogue.org/en/</w:t>
              </w:r>
            </w:hyperlink>
          </w:p>
          <w:p w:rsidR="00957A3F" w:rsidRPr="00957A3F" w:rsidRDefault="00957A3F" w:rsidP="00957A3F">
            <w:pPr>
              <w:rPr>
                <w:sz w:val="18"/>
                <w:szCs w:val="18"/>
                <w:lang w:val="en-GB"/>
              </w:rPr>
            </w:pPr>
            <w:r w:rsidRPr="00957A3F">
              <w:rPr>
                <w:sz w:val="18"/>
                <w:szCs w:val="18"/>
                <w:lang w:val="en-GB"/>
              </w:rPr>
              <w:lastRenderedPageBreak/>
              <w:t xml:space="preserve">DAC International Network on Conflict and Fragility (INCAF): </w:t>
            </w:r>
            <w:hyperlink r:id="rId9" w:history="1">
              <w:r w:rsidRPr="00957A3F">
                <w:rPr>
                  <w:rStyle w:val="Hyperlink"/>
                  <w:sz w:val="18"/>
                  <w:szCs w:val="18"/>
                  <w:lang w:val="en-GB"/>
                </w:rPr>
                <w:t>http://www.oecd.org/dac/governance-peace/conflictfragilityandresilience/</w:t>
              </w:r>
            </w:hyperlink>
          </w:p>
          <w:p w:rsidR="00957A3F" w:rsidRPr="00957A3F" w:rsidRDefault="00957A3F" w:rsidP="00957A3F">
            <w:pPr>
              <w:rPr>
                <w:sz w:val="18"/>
                <w:szCs w:val="18"/>
                <w:lang w:val="en-GB"/>
              </w:rPr>
            </w:pPr>
            <w:r w:rsidRPr="00957A3F">
              <w:rPr>
                <w:sz w:val="18"/>
                <w:szCs w:val="18"/>
                <w:lang w:val="en-GB"/>
              </w:rPr>
              <w:t xml:space="preserve">World Bank - Fragility, Conflict and Violence: </w:t>
            </w:r>
            <w:hyperlink r:id="rId10" w:history="1">
              <w:r w:rsidRPr="00957A3F">
                <w:rPr>
                  <w:rStyle w:val="Hyperlink"/>
                  <w:sz w:val="18"/>
                  <w:szCs w:val="18"/>
                  <w:lang w:val="en-GB"/>
                </w:rPr>
                <w:t>http://www.worldbank.org/en/topic/fragilityconflictviolence</w:t>
              </w:r>
            </w:hyperlink>
          </w:p>
          <w:p w:rsidR="00957A3F" w:rsidRPr="00957A3F" w:rsidRDefault="00957A3F" w:rsidP="00957A3F">
            <w:pPr>
              <w:rPr>
                <w:sz w:val="18"/>
                <w:szCs w:val="18"/>
                <w:lang w:val="en-GB"/>
              </w:rPr>
            </w:pPr>
            <w:r w:rsidRPr="00957A3F">
              <w:rPr>
                <w:sz w:val="18"/>
                <w:szCs w:val="18"/>
                <w:lang w:val="en-GB"/>
              </w:rPr>
              <w:t xml:space="preserve">Global Initiative Against Transnational Organised Crime: </w:t>
            </w:r>
            <w:hyperlink r:id="rId11" w:history="1">
              <w:r w:rsidRPr="00957A3F">
                <w:rPr>
                  <w:rStyle w:val="Hyperlink"/>
                  <w:sz w:val="18"/>
                  <w:szCs w:val="18"/>
                  <w:lang w:val="en-GB"/>
                </w:rPr>
                <w:t>http://globalinitiative.net/</w:t>
              </w:r>
            </w:hyperlink>
          </w:p>
          <w:p w:rsidR="00957A3F" w:rsidRPr="00957A3F" w:rsidRDefault="00957A3F" w:rsidP="00957A3F">
            <w:pPr>
              <w:rPr>
                <w:sz w:val="18"/>
                <w:szCs w:val="18"/>
                <w:lang w:val="en-GB"/>
              </w:rPr>
            </w:pPr>
            <w:r w:rsidRPr="00957A3F">
              <w:rPr>
                <w:sz w:val="18"/>
                <w:szCs w:val="18"/>
                <w:lang w:val="en-GB"/>
              </w:rPr>
              <w:t xml:space="preserve">Global Witness: </w:t>
            </w:r>
            <w:hyperlink r:id="rId12" w:history="1">
              <w:r w:rsidRPr="00957A3F">
                <w:rPr>
                  <w:rStyle w:val="Hyperlink"/>
                  <w:sz w:val="18"/>
                  <w:szCs w:val="18"/>
                  <w:lang w:val="en-GB"/>
                </w:rPr>
                <w:t>https://www.globalwitness.org/en-gb/</w:t>
              </w:r>
            </w:hyperlink>
          </w:p>
          <w:p w:rsidR="00957A3F" w:rsidRPr="00957A3F" w:rsidRDefault="00957A3F" w:rsidP="00957A3F">
            <w:pPr>
              <w:rPr>
                <w:sz w:val="18"/>
                <w:szCs w:val="18"/>
                <w:lang w:val="fr-FR"/>
              </w:rPr>
            </w:pPr>
            <w:r w:rsidRPr="00957A3F">
              <w:rPr>
                <w:sz w:val="18"/>
                <w:szCs w:val="18"/>
                <w:lang w:val="fr-FR"/>
              </w:rPr>
              <w:t xml:space="preserve">UK-Stabilisation Unit: </w:t>
            </w:r>
            <w:hyperlink r:id="rId13" w:history="1">
              <w:r w:rsidRPr="00957A3F">
                <w:rPr>
                  <w:rStyle w:val="Hyperlink"/>
                  <w:sz w:val="18"/>
                  <w:szCs w:val="18"/>
                  <w:lang w:val="fr-FR"/>
                </w:rPr>
                <w:t>https://www.gov.uk/government/organisations/stabilisation-unit</w:t>
              </w:r>
            </w:hyperlink>
          </w:p>
          <w:p w:rsidR="00957A3F" w:rsidRPr="00957A3F" w:rsidRDefault="00957A3F" w:rsidP="00957A3F">
            <w:pPr>
              <w:rPr>
                <w:sz w:val="18"/>
                <w:szCs w:val="18"/>
                <w:lang w:val="en-GB"/>
              </w:rPr>
            </w:pPr>
            <w:r w:rsidRPr="00957A3F">
              <w:rPr>
                <w:sz w:val="18"/>
                <w:szCs w:val="18"/>
                <w:lang w:val="en-GB"/>
              </w:rPr>
              <w:t>Solution Alliance (humanitarian-development nexus) : http://www.solutionsalliance.org/</w:t>
            </w:r>
          </w:p>
          <w:p w:rsidR="00957A3F" w:rsidRPr="00957A3F" w:rsidRDefault="00957A3F" w:rsidP="00957A3F">
            <w:pPr>
              <w:rPr>
                <w:sz w:val="18"/>
                <w:szCs w:val="18"/>
                <w:lang w:val="en-GB"/>
              </w:rPr>
            </w:pPr>
            <w:r w:rsidRPr="00957A3F">
              <w:rPr>
                <w:sz w:val="18"/>
                <w:szCs w:val="18"/>
                <w:lang w:val="en-GB"/>
              </w:rPr>
              <w:t xml:space="preserve">DCAF Security Sector Governance/Reform: </w:t>
            </w:r>
            <w:hyperlink r:id="rId14" w:history="1">
              <w:r w:rsidRPr="00957A3F">
                <w:rPr>
                  <w:rStyle w:val="Hyperlink"/>
                  <w:sz w:val="18"/>
                  <w:szCs w:val="18"/>
                  <w:lang w:val="en-GB"/>
                </w:rPr>
                <w:t>http://www.dcaf.ch/</w:t>
              </w:r>
            </w:hyperlink>
          </w:p>
          <w:p w:rsidR="00957A3F" w:rsidRPr="00957A3F" w:rsidRDefault="00957A3F" w:rsidP="00957A3F">
            <w:pPr>
              <w:rPr>
                <w:sz w:val="18"/>
                <w:szCs w:val="18"/>
                <w:lang w:val="en-GB"/>
              </w:rPr>
            </w:pPr>
            <w:r w:rsidRPr="00957A3F">
              <w:rPr>
                <w:sz w:val="18"/>
                <w:szCs w:val="18"/>
                <w:lang w:val="en-GB"/>
              </w:rPr>
              <w:t xml:space="preserve">EU. Crisis and fragility management: </w:t>
            </w:r>
            <w:hyperlink r:id="rId15" w:history="1">
              <w:r w:rsidRPr="00957A3F">
                <w:rPr>
                  <w:rStyle w:val="Hyperlink"/>
                  <w:sz w:val="18"/>
                  <w:szCs w:val="18"/>
                  <w:lang w:val="en-GB"/>
                </w:rPr>
                <w:t>http://ec.europa.eu/europeaid/policies/fragility-and-crisis-management_en</w:t>
              </w:r>
            </w:hyperlink>
          </w:p>
          <w:p w:rsidR="00957A3F" w:rsidRPr="00957A3F" w:rsidRDefault="00957A3F" w:rsidP="00957A3F">
            <w:pPr>
              <w:rPr>
                <w:sz w:val="18"/>
                <w:szCs w:val="18"/>
                <w:lang w:val="en-GB"/>
              </w:rPr>
            </w:pPr>
            <w:r w:rsidRPr="00957A3F">
              <w:rPr>
                <w:sz w:val="18"/>
                <w:szCs w:val="18"/>
                <w:lang w:val="en-GB"/>
              </w:rPr>
              <w:t xml:space="preserve">UN Peace Building; Un Peace Building Commission: http://www.un.org/en/peacebuilding/and the UN Peace Building Fund http://www.unpbf.org/ </w:t>
            </w:r>
          </w:p>
          <w:p w:rsidR="00957A3F" w:rsidRPr="00875CC0" w:rsidRDefault="00957A3F" w:rsidP="00957A3F">
            <w:pPr>
              <w:rPr>
                <w:sz w:val="18"/>
                <w:szCs w:val="18"/>
                <w:lang w:val="es-ES_tradnl"/>
              </w:rPr>
            </w:pPr>
            <w:r w:rsidRPr="00875CC0">
              <w:rPr>
                <w:sz w:val="18"/>
                <w:szCs w:val="18"/>
                <w:lang w:val="es-ES_tradnl"/>
              </w:rPr>
              <w:t>UNOCHA sitrep’s</w:t>
            </w:r>
          </w:p>
          <w:p w:rsidR="00957A3F" w:rsidRPr="00875CC0" w:rsidRDefault="00957A3F" w:rsidP="00957A3F">
            <w:pPr>
              <w:rPr>
                <w:sz w:val="18"/>
                <w:szCs w:val="18"/>
                <w:lang w:val="es-ES_tradnl"/>
              </w:rPr>
            </w:pPr>
            <w:r w:rsidRPr="00875CC0">
              <w:rPr>
                <w:sz w:val="18"/>
                <w:szCs w:val="18"/>
                <w:lang w:val="es-ES_tradnl"/>
              </w:rPr>
              <w:t>Global Peace Index (</w:t>
            </w:r>
            <w:hyperlink r:id="rId16" w:history="1">
              <w:r w:rsidRPr="00875CC0">
                <w:rPr>
                  <w:color w:val="0000FF" w:themeColor="hyperlink"/>
                  <w:sz w:val="18"/>
                  <w:szCs w:val="18"/>
                  <w:u w:val="single"/>
                  <w:lang w:val="es-ES_tradnl"/>
                </w:rPr>
                <w:t>www.economicsandpeace.org</w:t>
              </w:r>
            </w:hyperlink>
            <w:r w:rsidRPr="00875CC0">
              <w:rPr>
                <w:sz w:val="18"/>
                <w:szCs w:val="18"/>
                <w:lang w:val="es-ES_tradnl"/>
              </w:rPr>
              <w:t>)</w:t>
            </w:r>
          </w:p>
          <w:p w:rsidR="00957A3F" w:rsidRPr="00957A3F" w:rsidRDefault="00957A3F" w:rsidP="00957A3F">
            <w:pPr>
              <w:rPr>
                <w:sz w:val="18"/>
                <w:szCs w:val="18"/>
                <w:lang w:val="en-GB"/>
              </w:rPr>
            </w:pPr>
            <w:r w:rsidRPr="00957A3F">
              <w:rPr>
                <w:sz w:val="18"/>
                <w:szCs w:val="18"/>
                <w:lang w:val="en-GB"/>
              </w:rPr>
              <w:t>Failed State Index (</w:t>
            </w:r>
            <w:hyperlink r:id="rId17" w:history="1">
              <w:r w:rsidRPr="00957A3F">
                <w:rPr>
                  <w:color w:val="0000FF" w:themeColor="hyperlink"/>
                  <w:sz w:val="18"/>
                  <w:szCs w:val="18"/>
                  <w:u w:val="single"/>
                  <w:lang w:val="en-GB"/>
                </w:rPr>
                <w:t>www.fundforpeace.org</w:t>
              </w:r>
            </w:hyperlink>
            <w:r w:rsidRPr="00957A3F">
              <w:rPr>
                <w:sz w:val="18"/>
                <w:szCs w:val="18"/>
                <w:lang w:val="en-GB"/>
              </w:rPr>
              <w:t>)</w:t>
            </w:r>
          </w:p>
          <w:p w:rsidR="00957A3F" w:rsidRPr="00957A3F" w:rsidRDefault="00957A3F" w:rsidP="00957A3F">
            <w:pPr>
              <w:rPr>
                <w:sz w:val="18"/>
                <w:szCs w:val="18"/>
                <w:lang w:val="en-GB"/>
              </w:rPr>
            </w:pPr>
            <w:r w:rsidRPr="00957A3F">
              <w:rPr>
                <w:sz w:val="18"/>
                <w:szCs w:val="18"/>
                <w:lang w:val="en-GB"/>
              </w:rPr>
              <w:t>International Crisis Group country reports (</w:t>
            </w:r>
            <w:hyperlink r:id="rId18" w:history="1">
              <w:r w:rsidRPr="00957A3F">
                <w:rPr>
                  <w:color w:val="0000FF" w:themeColor="hyperlink"/>
                  <w:sz w:val="18"/>
                  <w:szCs w:val="18"/>
                  <w:u w:val="single"/>
                  <w:lang w:val="en-GB"/>
                </w:rPr>
                <w:t>www.crisisgroup.org</w:t>
              </w:r>
            </w:hyperlink>
            <w:r w:rsidRPr="00957A3F">
              <w:rPr>
                <w:sz w:val="18"/>
                <w:szCs w:val="18"/>
                <w:lang w:val="en-GB"/>
              </w:rPr>
              <w:t>)</w:t>
            </w:r>
          </w:p>
          <w:p w:rsidR="00957A3F" w:rsidRPr="00957A3F" w:rsidRDefault="006D0F28" w:rsidP="00957A3F">
            <w:pPr>
              <w:rPr>
                <w:sz w:val="18"/>
                <w:szCs w:val="18"/>
                <w:lang w:val="en-GB"/>
              </w:rPr>
            </w:pPr>
            <w:hyperlink r:id="rId19" w:history="1">
              <w:r w:rsidR="00957A3F" w:rsidRPr="00957A3F">
                <w:rPr>
                  <w:color w:val="0000FF" w:themeColor="hyperlink"/>
                  <w:sz w:val="18"/>
                  <w:szCs w:val="18"/>
                  <w:u w:val="single"/>
                  <w:lang w:val="en-GB"/>
                </w:rPr>
                <w:t>http://data.worldbank.org</w:t>
              </w:r>
            </w:hyperlink>
          </w:p>
          <w:p w:rsidR="00957A3F" w:rsidRPr="00957A3F" w:rsidRDefault="006D0F28" w:rsidP="00957A3F">
            <w:pPr>
              <w:rPr>
                <w:sz w:val="18"/>
                <w:szCs w:val="18"/>
                <w:lang w:val="en-GB"/>
              </w:rPr>
            </w:pPr>
            <w:hyperlink r:id="rId20" w:history="1">
              <w:r w:rsidR="00957A3F" w:rsidRPr="00957A3F">
                <w:rPr>
                  <w:color w:val="0000FF" w:themeColor="hyperlink"/>
                  <w:sz w:val="18"/>
                  <w:szCs w:val="18"/>
                  <w:u w:val="single"/>
                  <w:lang w:val="en-GB"/>
                </w:rPr>
                <w:t>http://reliefweb.int/countries</w:t>
              </w:r>
            </w:hyperlink>
          </w:p>
          <w:p w:rsidR="00957A3F" w:rsidRPr="00957A3F" w:rsidRDefault="00957A3F" w:rsidP="00957A3F">
            <w:pPr>
              <w:rPr>
                <w:sz w:val="18"/>
                <w:szCs w:val="18"/>
                <w:lang w:val="en-GB"/>
              </w:rPr>
            </w:pPr>
            <w:r w:rsidRPr="00957A3F">
              <w:rPr>
                <w:sz w:val="18"/>
                <w:szCs w:val="18"/>
                <w:lang w:val="en-GB"/>
              </w:rPr>
              <w:t>UNSCR 1325</w:t>
            </w:r>
          </w:p>
          <w:p w:rsidR="00957A3F" w:rsidRPr="00957A3F" w:rsidRDefault="00957A3F" w:rsidP="00957A3F">
            <w:pPr>
              <w:rPr>
                <w:sz w:val="18"/>
                <w:szCs w:val="18"/>
                <w:lang w:val="en-GB"/>
              </w:rPr>
            </w:pPr>
            <w:r w:rsidRPr="00957A3F">
              <w:rPr>
                <w:sz w:val="18"/>
                <w:szCs w:val="18"/>
                <w:lang w:val="en-GB"/>
              </w:rPr>
              <w:t>International and regional human rights and HRBA principles and HRBA Guidance Note of 2013</w:t>
            </w:r>
          </w:p>
          <w:p w:rsidR="00957A3F" w:rsidRPr="00957A3F" w:rsidRDefault="00957A3F" w:rsidP="00957A3F">
            <w:pPr>
              <w:rPr>
                <w:sz w:val="18"/>
                <w:szCs w:val="18"/>
                <w:lang w:val="en-GB"/>
              </w:rPr>
            </w:pPr>
            <w:r w:rsidRPr="00957A3F">
              <w:rPr>
                <w:sz w:val="18"/>
                <w:szCs w:val="18"/>
                <w:lang w:val="en-GB"/>
              </w:rPr>
              <w:t>International humanitarian law, humanitarian principles and Good Humanitarian Donorship</w:t>
            </w:r>
          </w:p>
          <w:p w:rsidR="00957A3F" w:rsidRPr="00957A3F" w:rsidRDefault="00957A3F" w:rsidP="00957A3F">
            <w:pPr>
              <w:rPr>
                <w:sz w:val="18"/>
                <w:szCs w:val="18"/>
                <w:lang w:val="en-GB"/>
              </w:rPr>
            </w:pPr>
            <w:r w:rsidRPr="00957A3F">
              <w:rPr>
                <w:sz w:val="18"/>
                <w:szCs w:val="18"/>
                <w:lang w:val="en-GB"/>
              </w:rPr>
              <w:t>Agenda for humanity (</w:t>
            </w:r>
            <w:hyperlink r:id="rId21" w:history="1">
              <w:r w:rsidRPr="00957A3F">
                <w:rPr>
                  <w:color w:val="0000FF" w:themeColor="hyperlink"/>
                  <w:sz w:val="18"/>
                  <w:szCs w:val="18"/>
                  <w:u w:val="single"/>
                  <w:lang w:val="en-GB"/>
                </w:rPr>
                <w:t>http://www.agendaforhumanity.org</w:t>
              </w:r>
            </w:hyperlink>
            <w:r w:rsidRPr="00957A3F">
              <w:rPr>
                <w:sz w:val="18"/>
                <w:szCs w:val="18"/>
                <w:lang w:val="en-GB"/>
              </w:rPr>
              <w:t>)</w:t>
            </w:r>
          </w:p>
          <w:p w:rsidR="00957A3F" w:rsidRPr="00957A3F" w:rsidRDefault="00957A3F" w:rsidP="00957A3F">
            <w:pPr>
              <w:rPr>
                <w:sz w:val="18"/>
                <w:szCs w:val="18"/>
                <w:lang w:val="en-GB"/>
              </w:rPr>
            </w:pPr>
            <w:r w:rsidRPr="00957A3F">
              <w:rPr>
                <w:sz w:val="18"/>
                <w:szCs w:val="18"/>
                <w:lang w:val="en-GB"/>
              </w:rPr>
              <w:t>Making the SDGs work for Humanitarian Needs (</w:t>
            </w:r>
            <w:hyperlink r:id="rId22" w:history="1">
              <w:r w:rsidRPr="00957A3F">
                <w:rPr>
                  <w:color w:val="0000FF" w:themeColor="hyperlink"/>
                  <w:sz w:val="18"/>
                  <w:szCs w:val="18"/>
                  <w:u w:val="single"/>
                  <w:lang w:val="en-GB"/>
                </w:rPr>
                <w:t>http://unsdsn.org/wp-content/uploads/2016/05/WHS-background-paper.pdf</w:t>
              </w:r>
            </w:hyperlink>
            <w:r w:rsidRPr="00957A3F">
              <w:rPr>
                <w:sz w:val="18"/>
                <w:szCs w:val="18"/>
                <w:lang w:val="en-GB"/>
              </w:rPr>
              <w:t>)</w:t>
            </w:r>
          </w:p>
          <w:p w:rsidR="00957A3F" w:rsidRPr="00654B4F" w:rsidRDefault="00957A3F" w:rsidP="00957A3F">
            <w:pPr>
              <w:rPr>
                <w:sz w:val="18"/>
                <w:szCs w:val="18"/>
                <w:lang w:val="en-GB"/>
              </w:rPr>
            </w:pPr>
            <w:r w:rsidRPr="00957A3F">
              <w:rPr>
                <w:sz w:val="18"/>
                <w:szCs w:val="18"/>
                <w:lang w:val="en-GB"/>
              </w:rPr>
              <w:t>The solution alliance (a network to tackle protracted displacement -</w:t>
            </w:r>
            <w:r w:rsidRPr="00957A3F">
              <w:rPr>
                <w:szCs w:val="22"/>
                <w:lang w:val="en-GB"/>
              </w:rPr>
              <w:t xml:space="preserve"> </w:t>
            </w:r>
            <w:r w:rsidRPr="00957A3F">
              <w:rPr>
                <w:sz w:val="18"/>
                <w:szCs w:val="18"/>
                <w:lang w:val="en-GB"/>
              </w:rPr>
              <w:t>http://www.solutionsalliance.org/library)</w:t>
            </w:r>
          </w:p>
          <w:p w:rsidR="00515566" w:rsidRPr="00654B4F" w:rsidRDefault="00515566" w:rsidP="00B11BDA">
            <w:pPr>
              <w:rPr>
                <w:szCs w:val="24"/>
                <w:lang w:val="en-GB"/>
              </w:rPr>
            </w:pPr>
          </w:p>
        </w:tc>
      </w:tr>
      <w:tr w:rsidR="00515566" w:rsidRPr="009974CB" w:rsidTr="00120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515566" w:rsidRPr="00654B4F" w:rsidRDefault="00515566" w:rsidP="00B11BDA">
            <w:pPr>
              <w:rPr>
                <w:i/>
                <w:szCs w:val="24"/>
                <w:lang w:val="en-US"/>
              </w:rPr>
            </w:pPr>
            <w:r w:rsidRPr="00654B4F">
              <w:rPr>
                <w:i/>
                <w:szCs w:val="24"/>
                <w:lang w:val="en-US"/>
              </w:rPr>
              <w:lastRenderedPageBreak/>
              <w:t xml:space="preserve">Are additional studies / analytic work needed? How and when will it be done? </w:t>
            </w:r>
          </w:p>
          <w:p w:rsidR="00515566" w:rsidRDefault="00515566" w:rsidP="00B11BDA">
            <w:pPr>
              <w:rPr>
                <w:sz w:val="18"/>
                <w:szCs w:val="18"/>
                <w:lang w:val="en-GB"/>
              </w:rPr>
            </w:pPr>
          </w:p>
          <w:p w:rsidR="00515566" w:rsidRPr="00654B4F" w:rsidRDefault="00515566" w:rsidP="00B11BDA">
            <w:pPr>
              <w:rPr>
                <w:b w:val="0"/>
                <w:sz w:val="18"/>
                <w:szCs w:val="18"/>
                <w:lang w:val="en-GB"/>
              </w:rPr>
            </w:pPr>
            <w:r w:rsidRPr="00AC74AF">
              <w:rPr>
                <w:b w:val="0"/>
                <w:sz w:val="18"/>
                <w:szCs w:val="18"/>
                <w:lang w:val="en-GB"/>
              </w:rPr>
              <w:t>List additional studies that will be carried out as part of the preparation phase, including studies that will be carried out jointly with others or by partners / other donors.</w:t>
            </w:r>
          </w:p>
          <w:p w:rsidR="00515566" w:rsidRPr="00654B4F" w:rsidRDefault="00515566" w:rsidP="00B11BDA">
            <w:pPr>
              <w:rPr>
                <w:sz w:val="16"/>
                <w:szCs w:val="16"/>
                <w:lang w:val="en-GB"/>
              </w:rPr>
            </w:pPr>
          </w:p>
        </w:tc>
      </w:tr>
    </w:tbl>
    <w:p w:rsidR="00120ED4" w:rsidRDefault="00120ED4" w:rsidP="00515566">
      <w:pPr>
        <w:rPr>
          <w:b/>
          <w:bCs/>
        </w:rPr>
      </w:pPr>
    </w:p>
    <w:tbl>
      <w:tblPr>
        <w:tblStyle w:val="Lysliste-farve1"/>
        <w:tblW w:w="9629" w:type="dxa"/>
        <w:tblLayout w:type="fixed"/>
        <w:tblLook w:val="04A0" w:firstRow="1" w:lastRow="0" w:firstColumn="1" w:lastColumn="0" w:noHBand="0" w:noVBand="1"/>
      </w:tblPr>
      <w:tblGrid>
        <w:gridCol w:w="9629"/>
      </w:tblGrid>
      <w:tr w:rsidR="00515566" w:rsidRPr="009974CB" w:rsidTr="00120E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515566" w:rsidRPr="004852D4" w:rsidRDefault="00515566" w:rsidP="00515566">
            <w:pPr>
              <w:pStyle w:val="Listeafsnit"/>
              <w:numPr>
                <w:ilvl w:val="0"/>
                <w:numId w:val="31"/>
              </w:numPr>
              <w:rPr>
                <w:rFonts w:ascii="Garamond" w:hAnsi="Garamond"/>
                <w:b w:val="0"/>
                <w:bCs w:val="0"/>
                <w:sz w:val="24"/>
                <w:szCs w:val="24"/>
                <w:lang w:val="en-GB"/>
              </w:rPr>
            </w:pPr>
            <w:r w:rsidRPr="004852D4">
              <w:rPr>
                <w:rFonts w:ascii="Garamond" w:hAnsi="Garamond"/>
                <w:sz w:val="24"/>
                <w:szCs w:val="24"/>
                <w:lang w:val="en-GB"/>
              </w:rPr>
              <w:t>Assessment of human rights situ</w:t>
            </w:r>
            <w:r w:rsidR="002E4D36">
              <w:rPr>
                <w:rFonts w:ascii="Garamond" w:hAnsi="Garamond"/>
                <w:sz w:val="24"/>
                <w:szCs w:val="24"/>
                <w:lang w:val="en-GB"/>
              </w:rPr>
              <w:t xml:space="preserve">ation </w:t>
            </w:r>
            <w:r w:rsidR="0055611F">
              <w:rPr>
                <w:rFonts w:ascii="Garamond" w:hAnsi="Garamond"/>
                <w:sz w:val="24"/>
                <w:szCs w:val="24"/>
                <w:lang w:val="en-GB"/>
              </w:rPr>
              <w:t>(HRBA</w:t>
            </w:r>
            <w:r w:rsidR="0055611F" w:rsidRPr="004852D4">
              <w:rPr>
                <w:rFonts w:ascii="Garamond" w:hAnsi="Garamond"/>
                <w:sz w:val="24"/>
                <w:szCs w:val="24"/>
                <w:lang w:val="en-GB"/>
              </w:rPr>
              <w:t>)</w:t>
            </w:r>
            <w:r w:rsidR="0055611F">
              <w:rPr>
                <w:rFonts w:ascii="Garamond" w:hAnsi="Garamond"/>
                <w:sz w:val="24"/>
                <w:szCs w:val="24"/>
                <w:lang w:val="en-GB"/>
              </w:rPr>
              <w:t xml:space="preserve"> </w:t>
            </w:r>
            <w:r w:rsidR="002E4D36">
              <w:rPr>
                <w:rFonts w:ascii="Garamond" w:hAnsi="Garamond"/>
                <w:sz w:val="24"/>
                <w:szCs w:val="24"/>
                <w:lang w:val="en-GB"/>
              </w:rPr>
              <w:t>and gender</w:t>
            </w:r>
            <w:r w:rsidR="0055611F">
              <w:rPr>
                <w:rStyle w:val="Fodnotehenvisning"/>
                <w:rFonts w:ascii="Garamond" w:hAnsi="Garamond"/>
                <w:sz w:val="24"/>
                <w:szCs w:val="24"/>
                <w:lang w:val="en-GB"/>
              </w:rPr>
              <w:footnoteReference w:id="1"/>
            </w:r>
            <w:r w:rsidR="0055611F">
              <w:rPr>
                <w:rFonts w:ascii="Garamond" w:hAnsi="Garamond"/>
                <w:sz w:val="24"/>
                <w:szCs w:val="24"/>
                <w:lang w:val="en-GB"/>
              </w:rPr>
              <w:t xml:space="preserve"> </w:t>
            </w:r>
            <w:r w:rsidR="002E4D36">
              <w:rPr>
                <w:rFonts w:ascii="Garamond" w:hAnsi="Garamond"/>
                <w:sz w:val="24"/>
                <w:szCs w:val="24"/>
                <w:lang w:val="en-GB"/>
              </w:rPr>
              <w:t xml:space="preserve"> </w:t>
            </w:r>
          </w:p>
          <w:p w:rsidR="00515566" w:rsidRPr="00654B4F" w:rsidRDefault="00515566" w:rsidP="00B11BDA">
            <w:pPr>
              <w:rPr>
                <w:szCs w:val="24"/>
                <w:lang w:val="en-GB"/>
              </w:rPr>
            </w:pPr>
          </w:p>
        </w:tc>
      </w:tr>
      <w:tr w:rsidR="00515566" w:rsidRPr="009974CB" w:rsidTr="00120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515566" w:rsidRDefault="00515566" w:rsidP="00B11BDA">
            <w:pPr>
              <w:rPr>
                <w:i/>
                <w:szCs w:val="24"/>
                <w:lang w:val="en-US"/>
              </w:rPr>
            </w:pPr>
            <w:r w:rsidRPr="005677F7">
              <w:rPr>
                <w:i/>
                <w:szCs w:val="24"/>
                <w:lang w:val="en-US"/>
              </w:rPr>
              <w:t xml:space="preserve">Briefly summarise the key conclusions and implications for </w:t>
            </w:r>
            <w:r w:rsidR="00303994">
              <w:rPr>
                <w:i/>
                <w:szCs w:val="24"/>
                <w:lang w:val="en-US"/>
              </w:rPr>
              <w:t xml:space="preserve">the </w:t>
            </w:r>
            <w:r w:rsidRPr="005677F7">
              <w:rPr>
                <w:i/>
                <w:szCs w:val="24"/>
                <w:lang w:val="en-US"/>
              </w:rPr>
              <w:t>programme of the analysis of the below points:</w:t>
            </w:r>
          </w:p>
          <w:p w:rsidR="00515566" w:rsidRDefault="00515566" w:rsidP="00B11BDA">
            <w:pPr>
              <w:rPr>
                <w:b w:val="0"/>
                <w:bCs w:val="0"/>
                <w:lang w:val="en-GB"/>
              </w:rPr>
            </w:pPr>
            <w:r w:rsidRPr="00B23667">
              <w:rPr>
                <w:b w:val="0"/>
                <w:bCs w:val="0"/>
                <w:lang w:val="en-GB"/>
              </w:rPr>
              <w:t>The HRBA Guidance Note may provide further guidance, or hrbaportal.org</w:t>
            </w:r>
          </w:p>
          <w:p w:rsidR="00515566" w:rsidRPr="00654B4F" w:rsidRDefault="00515566" w:rsidP="00B11BDA">
            <w:pPr>
              <w:rPr>
                <w:szCs w:val="24"/>
                <w:lang w:val="en-GB"/>
              </w:rPr>
            </w:pPr>
          </w:p>
        </w:tc>
      </w:tr>
      <w:tr w:rsidR="00515566" w:rsidRPr="009974CB" w:rsidTr="00120ED4">
        <w:tc>
          <w:tcPr>
            <w:cnfStyle w:val="001000000000" w:firstRow="0" w:lastRow="0" w:firstColumn="1" w:lastColumn="0" w:oddVBand="0" w:evenVBand="0" w:oddHBand="0" w:evenHBand="0" w:firstRowFirstColumn="0" w:firstRowLastColumn="0" w:lastRowFirstColumn="0" w:lastRowLastColumn="0"/>
            <w:tcW w:w="9629" w:type="dxa"/>
          </w:tcPr>
          <w:p w:rsidR="00515566" w:rsidRPr="00B23667" w:rsidRDefault="00515566" w:rsidP="00B11BDA">
            <w:pPr>
              <w:rPr>
                <w:szCs w:val="24"/>
                <w:lang w:val="en-GB"/>
              </w:rPr>
            </w:pPr>
            <w:r w:rsidRPr="00B23667">
              <w:rPr>
                <w:bCs w:val="0"/>
                <w:szCs w:val="24"/>
                <w:lang w:val="en-GB"/>
              </w:rPr>
              <w:t>Human Right Standards (international, regional and national legislation)</w:t>
            </w:r>
          </w:p>
          <w:p w:rsidR="00515566" w:rsidRPr="00B23667" w:rsidRDefault="00515566" w:rsidP="00515566">
            <w:pPr>
              <w:numPr>
                <w:ilvl w:val="0"/>
                <w:numId w:val="35"/>
              </w:numPr>
              <w:contextualSpacing/>
              <w:rPr>
                <w:b w:val="0"/>
                <w:bCs w:val="0"/>
                <w:szCs w:val="24"/>
                <w:lang w:val="en-US"/>
              </w:rPr>
            </w:pPr>
            <w:r w:rsidRPr="00B23667">
              <w:rPr>
                <w:b w:val="0"/>
                <w:szCs w:val="24"/>
                <w:lang w:val="en-US"/>
              </w:rPr>
              <w:t xml:space="preserve">Identify the level of achievement of key human rights standards for the context you are working in. </w:t>
            </w:r>
          </w:p>
          <w:p w:rsidR="00515566" w:rsidRPr="00B23667" w:rsidRDefault="00515566" w:rsidP="00515566">
            <w:pPr>
              <w:numPr>
                <w:ilvl w:val="0"/>
                <w:numId w:val="35"/>
              </w:numPr>
              <w:contextualSpacing/>
              <w:rPr>
                <w:b w:val="0"/>
                <w:szCs w:val="24"/>
                <w:lang w:val="en-GB"/>
              </w:rPr>
            </w:pPr>
            <w:r w:rsidRPr="00B23667">
              <w:rPr>
                <w:b w:val="0"/>
                <w:szCs w:val="24"/>
                <w:lang w:val="en-GB"/>
              </w:rPr>
              <w:t>Identify the most binding constraints on the intended target group in terms of human rights</w:t>
            </w:r>
            <w:r w:rsidR="00303994">
              <w:rPr>
                <w:b w:val="0"/>
                <w:szCs w:val="24"/>
                <w:lang w:val="en-GB"/>
              </w:rPr>
              <w:t>.</w:t>
            </w:r>
          </w:p>
          <w:p w:rsidR="00515566" w:rsidRPr="00B23667" w:rsidRDefault="00515566" w:rsidP="00515566">
            <w:pPr>
              <w:numPr>
                <w:ilvl w:val="0"/>
                <w:numId w:val="35"/>
              </w:numPr>
              <w:contextualSpacing/>
              <w:rPr>
                <w:b w:val="0"/>
                <w:szCs w:val="24"/>
                <w:lang w:val="en-GB"/>
              </w:rPr>
            </w:pPr>
            <w:r w:rsidRPr="00B23667">
              <w:rPr>
                <w:b w:val="0"/>
                <w:szCs w:val="24"/>
                <w:lang w:val="en-GB"/>
              </w:rPr>
              <w:t>Given the analysis of achievement of human right standards, establish what Denmark should prioritise in the proposed outcomes of the programme</w:t>
            </w:r>
            <w:r w:rsidR="00281834">
              <w:rPr>
                <w:b w:val="0"/>
                <w:szCs w:val="24"/>
                <w:lang w:val="en-GB"/>
              </w:rPr>
              <w:t>.</w:t>
            </w:r>
          </w:p>
          <w:p w:rsidR="00515566" w:rsidRPr="00B23667" w:rsidRDefault="00515566" w:rsidP="00B11BDA">
            <w:pPr>
              <w:rPr>
                <w:i/>
                <w:szCs w:val="24"/>
                <w:lang w:val="en-GB"/>
              </w:rPr>
            </w:pPr>
          </w:p>
        </w:tc>
      </w:tr>
      <w:tr w:rsidR="00515566" w:rsidRPr="009974CB" w:rsidTr="00120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515566" w:rsidRPr="00B23667" w:rsidRDefault="00515566" w:rsidP="00B11BDA">
            <w:pPr>
              <w:rPr>
                <w:bCs w:val="0"/>
                <w:szCs w:val="24"/>
                <w:lang w:val="en-GB"/>
              </w:rPr>
            </w:pPr>
            <w:r w:rsidRPr="00B23667">
              <w:rPr>
                <w:bCs w:val="0"/>
                <w:szCs w:val="24"/>
                <w:lang w:val="en-GB"/>
              </w:rPr>
              <w:t>Universal Periodic Review</w:t>
            </w:r>
          </w:p>
          <w:p w:rsidR="00515566" w:rsidRPr="00B23667" w:rsidRDefault="00515566" w:rsidP="00515566">
            <w:pPr>
              <w:pStyle w:val="Listeafsnit"/>
              <w:numPr>
                <w:ilvl w:val="0"/>
                <w:numId w:val="35"/>
              </w:numPr>
              <w:rPr>
                <w:rFonts w:ascii="Garamond" w:hAnsi="Garamond"/>
                <w:b w:val="0"/>
                <w:bCs w:val="0"/>
                <w:sz w:val="24"/>
                <w:szCs w:val="24"/>
                <w:lang w:val="en-GB"/>
              </w:rPr>
            </w:pPr>
            <w:r w:rsidRPr="00B23667">
              <w:rPr>
                <w:rFonts w:ascii="Garamond" w:hAnsi="Garamond"/>
                <w:b w:val="0"/>
                <w:sz w:val="24"/>
                <w:szCs w:val="24"/>
                <w:lang w:val="en-GB"/>
              </w:rPr>
              <w:t xml:space="preserve">List recommendations from </w:t>
            </w:r>
            <w:r w:rsidR="004C55F9">
              <w:rPr>
                <w:rFonts w:ascii="Garamond" w:hAnsi="Garamond"/>
                <w:b w:val="0"/>
                <w:sz w:val="24"/>
                <w:szCs w:val="24"/>
                <w:lang w:val="en-GB"/>
              </w:rPr>
              <w:t>Council for Development Policy (U</w:t>
            </w:r>
            <w:r w:rsidRPr="00B23667">
              <w:rPr>
                <w:rFonts w:ascii="Garamond" w:hAnsi="Garamond"/>
                <w:b w:val="0"/>
                <w:sz w:val="24"/>
                <w:szCs w:val="24"/>
                <w:lang w:val="en-GB"/>
              </w:rPr>
              <w:t>PR</w:t>
            </w:r>
            <w:r w:rsidR="004C55F9">
              <w:rPr>
                <w:rFonts w:ascii="Garamond" w:hAnsi="Garamond"/>
                <w:b w:val="0"/>
                <w:sz w:val="24"/>
                <w:szCs w:val="24"/>
                <w:lang w:val="en-GB"/>
              </w:rPr>
              <w:t>)</w:t>
            </w:r>
            <w:r w:rsidRPr="00B23667">
              <w:rPr>
                <w:rFonts w:ascii="Garamond" w:hAnsi="Garamond"/>
                <w:b w:val="0"/>
                <w:sz w:val="24"/>
                <w:szCs w:val="24"/>
                <w:lang w:val="en-GB"/>
              </w:rPr>
              <w:t xml:space="preserve"> relevant for the thematic programmes and from any treaty bodies, special procedures, INGOs, Human rights institutions etc. that require follow up by partners in the programme.</w:t>
            </w:r>
          </w:p>
          <w:p w:rsidR="00515566" w:rsidRPr="00BC33D1" w:rsidRDefault="00515566" w:rsidP="00B11BDA">
            <w:pPr>
              <w:rPr>
                <w:b w:val="0"/>
                <w:bCs w:val="0"/>
                <w:szCs w:val="24"/>
                <w:lang w:val="en-GB"/>
              </w:rPr>
            </w:pPr>
          </w:p>
        </w:tc>
      </w:tr>
      <w:tr w:rsidR="00515566" w:rsidRPr="009974CB" w:rsidTr="00120ED4">
        <w:tc>
          <w:tcPr>
            <w:cnfStyle w:val="001000000000" w:firstRow="0" w:lastRow="0" w:firstColumn="1" w:lastColumn="0" w:oddVBand="0" w:evenVBand="0" w:oddHBand="0" w:evenHBand="0" w:firstRowFirstColumn="0" w:firstRowLastColumn="0" w:lastRowFirstColumn="0" w:lastRowLastColumn="0"/>
            <w:tcW w:w="9629" w:type="dxa"/>
          </w:tcPr>
          <w:p w:rsidR="00515566" w:rsidRPr="00B23667" w:rsidRDefault="00515566" w:rsidP="00B11BDA">
            <w:pPr>
              <w:rPr>
                <w:b w:val="0"/>
                <w:szCs w:val="24"/>
                <w:lang w:val="en-GB"/>
              </w:rPr>
            </w:pPr>
            <w:r w:rsidRPr="00B23667">
              <w:rPr>
                <w:b w:val="0"/>
                <w:szCs w:val="24"/>
                <w:lang w:val="en-GB"/>
              </w:rPr>
              <w:t>Identify</w:t>
            </w:r>
            <w:r w:rsidRPr="00B23667">
              <w:rPr>
                <w:b w:val="0"/>
                <w:bCs w:val="0"/>
                <w:szCs w:val="24"/>
                <w:lang w:val="en-GB"/>
              </w:rPr>
              <w:t xml:space="preserve"> </w:t>
            </w:r>
            <w:r w:rsidRPr="00B23667">
              <w:rPr>
                <w:b w:val="0"/>
                <w:szCs w:val="24"/>
                <w:lang w:val="en-GB"/>
              </w:rPr>
              <w:t>key</w:t>
            </w:r>
            <w:r w:rsidRPr="00B23667">
              <w:rPr>
                <w:b w:val="0"/>
                <w:bCs w:val="0"/>
                <w:szCs w:val="24"/>
                <w:lang w:val="en-GB"/>
              </w:rPr>
              <w:t xml:space="preserve"> </w:t>
            </w:r>
            <w:r w:rsidRPr="00B23667">
              <w:rPr>
                <w:bCs w:val="0"/>
                <w:szCs w:val="24"/>
                <w:lang w:val="en-GB"/>
              </w:rPr>
              <w:t>rights holders</w:t>
            </w:r>
            <w:r w:rsidRPr="00B23667">
              <w:rPr>
                <w:b w:val="0"/>
                <w:bCs w:val="0"/>
                <w:szCs w:val="24"/>
                <w:lang w:val="en-GB"/>
              </w:rPr>
              <w:t xml:space="preserve"> </w:t>
            </w:r>
            <w:r w:rsidRPr="00B23667">
              <w:rPr>
                <w:b w:val="0"/>
                <w:szCs w:val="24"/>
                <w:lang w:val="en-GB"/>
              </w:rPr>
              <w:t>in the programme</w:t>
            </w:r>
          </w:p>
        </w:tc>
      </w:tr>
      <w:tr w:rsidR="00515566" w:rsidRPr="009974CB" w:rsidTr="00120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515566" w:rsidRPr="00B23667" w:rsidRDefault="00515566" w:rsidP="00B11BDA">
            <w:pPr>
              <w:rPr>
                <w:b w:val="0"/>
                <w:szCs w:val="24"/>
                <w:lang w:val="en-GB"/>
              </w:rPr>
            </w:pPr>
            <w:r>
              <w:rPr>
                <w:b w:val="0"/>
                <w:szCs w:val="24"/>
                <w:lang w:val="en-GB"/>
              </w:rPr>
              <w:t xml:space="preserve">Identify key </w:t>
            </w:r>
            <w:r w:rsidRPr="00B23667">
              <w:rPr>
                <w:szCs w:val="24"/>
                <w:lang w:val="en-GB"/>
              </w:rPr>
              <w:t>duty bearers</w:t>
            </w:r>
            <w:r>
              <w:rPr>
                <w:b w:val="0"/>
                <w:szCs w:val="24"/>
                <w:lang w:val="en-GB"/>
              </w:rPr>
              <w:t xml:space="preserve"> in the programme</w:t>
            </w:r>
          </w:p>
        </w:tc>
      </w:tr>
      <w:tr w:rsidR="00515566" w:rsidRPr="009974CB" w:rsidTr="00120ED4">
        <w:tc>
          <w:tcPr>
            <w:cnfStyle w:val="001000000000" w:firstRow="0" w:lastRow="0" w:firstColumn="1" w:lastColumn="0" w:oddVBand="0" w:evenVBand="0" w:oddHBand="0" w:evenHBand="0" w:firstRowFirstColumn="0" w:firstRowLastColumn="0" w:lastRowFirstColumn="0" w:lastRowLastColumn="0"/>
            <w:tcW w:w="9629" w:type="dxa"/>
          </w:tcPr>
          <w:p w:rsidR="00515566" w:rsidRPr="00A61A2C" w:rsidRDefault="00515566" w:rsidP="00B11BDA">
            <w:pPr>
              <w:rPr>
                <w:bCs w:val="0"/>
                <w:szCs w:val="24"/>
                <w:lang w:val="en-GB"/>
              </w:rPr>
            </w:pPr>
            <w:r w:rsidRPr="00A61A2C">
              <w:rPr>
                <w:bCs w:val="0"/>
                <w:szCs w:val="24"/>
                <w:lang w:val="en-GB"/>
              </w:rPr>
              <w:t>Human Rights Principles (PANT)</w:t>
            </w:r>
          </w:p>
          <w:p w:rsidR="00515566" w:rsidRPr="003B2B4F" w:rsidRDefault="00515566" w:rsidP="00B11BDA">
            <w:pPr>
              <w:rPr>
                <w:b w:val="0"/>
                <w:bCs w:val="0"/>
                <w:szCs w:val="24"/>
                <w:lang w:val="en-GB"/>
              </w:rPr>
            </w:pPr>
          </w:p>
          <w:p w:rsidR="00515566" w:rsidRPr="00A61A2C" w:rsidRDefault="00515566" w:rsidP="00B11BDA">
            <w:pPr>
              <w:rPr>
                <w:bCs w:val="0"/>
                <w:szCs w:val="24"/>
                <w:lang w:val="en-GB"/>
              </w:rPr>
            </w:pPr>
            <w:r w:rsidRPr="00A61A2C">
              <w:rPr>
                <w:bCs w:val="0"/>
                <w:szCs w:val="24"/>
                <w:lang w:val="en-GB"/>
              </w:rPr>
              <w:t>Participation</w:t>
            </w:r>
          </w:p>
          <w:p w:rsidR="00515566" w:rsidRPr="003B2B4F" w:rsidRDefault="00515566" w:rsidP="00515566">
            <w:pPr>
              <w:numPr>
                <w:ilvl w:val="0"/>
                <w:numId w:val="35"/>
              </w:numPr>
              <w:contextualSpacing/>
              <w:rPr>
                <w:b w:val="0"/>
                <w:bCs w:val="0"/>
                <w:szCs w:val="24"/>
                <w:lang w:val="en-GB"/>
              </w:rPr>
            </w:pPr>
            <w:r w:rsidRPr="003B2B4F">
              <w:rPr>
                <w:b w:val="0"/>
                <w:szCs w:val="24"/>
                <w:lang w:val="en-GB"/>
              </w:rPr>
              <w:t>Identify barriers for participation, inclusion and empowerment of rights holders</w:t>
            </w:r>
            <w:r w:rsidR="00281834">
              <w:rPr>
                <w:b w:val="0"/>
                <w:szCs w:val="24"/>
                <w:lang w:val="en-GB"/>
              </w:rPr>
              <w:t>.</w:t>
            </w:r>
          </w:p>
          <w:p w:rsidR="00515566" w:rsidRPr="003B2B4F" w:rsidRDefault="00515566" w:rsidP="00515566">
            <w:pPr>
              <w:numPr>
                <w:ilvl w:val="0"/>
                <w:numId w:val="35"/>
              </w:numPr>
              <w:contextualSpacing/>
              <w:rPr>
                <w:b w:val="0"/>
                <w:szCs w:val="24"/>
                <w:lang w:val="en-GB"/>
              </w:rPr>
            </w:pPr>
            <w:r w:rsidRPr="003B2B4F">
              <w:rPr>
                <w:b w:val="0"/>
                <w:szCs w:val="24"/>
                <w:lang w:val="en-GB"/>
              </w:rPr>
              <w:t>List key support elements included to promote participation and inclusion</w:t>
            </w:r>
            <w:r w:rsidR="00281834">
              <w:rPr>
                <w:b w:val="0"/>
                <w:szCs w:val="24"/>
                <w:lang w:val="en-GB"/>
              </w:rPr>
              <w:t>.</w:t>
            </w:r>
          </w:p>
          <w:p w:rsidR="00515566" w:rsidRPr="00A61A2C" w:rsidRDefault="00515566" w:rsidP="00B11BDA">
            <w:pPr>
              <w:rPr>
                <w:szCs w:val="24"/>
                <w:lang w:val="en-GB"/>
              </w:rPr>
            </w:pPr>
            <w:r w:rsidRPr="00A61A2C">
              <w:rPr>
                <w:bCs w:val="0"/>
                <w:szCs w:val="24"/>
                <w:lang w:val="en-GB"/>
              </w:rPr>
              <w:t>Accountability</w:t>
            </w:r>
          </w:p>
          <w:p w:rsidR="00515566" w:rsidRPr="003B2B4F" w:rsidRDefault="00515566" w:rsidP="00515566">
            <w:pPr>
              <w:numPr>
                <w:ilvl w:val="0"/>
                <w:numId w:val="35"/>
              </w:numPr>
              <w:contextualSpacing/>
              <w:rPr>
                <w:b w:val="0"/>
                <w:bCs w:val="0"/>
                <w:szCs w:val="24"/>
                <w:lang w:val="en-GB"/>
              </w:rPr>
            </w:pPr>
            <w:r w:rsidRPr="003B2B4F">
              <w:rPr>
                <w:b w:val="0"/>
                <w:szCs w:val="24"/>
                <w:lang w:val="en-GB"/>
              </w:rPr>
              <w:t>Identify accountability mechanisms in the relevant area – both horizontal and vertical.</w:t>
            </w:r>
          </w:p>
          <w:p w:rsidR="00515566" w:rsidRPr="003B2B4F" w:rsidRDefault="00515566" w:rsidP="00515566">
            <w:pPr>
              <w:numPr>
                <w:ilvl w:val="0"/>
                <w:numId w:val="35"/>
              </w:numPr>
              <w:contextualSpacing/>
              <w:rPr>
                <w:b w:val="0"/>
                <w:szCs w:val="24"/>
                <w:lang w:val="en-GB"/>
              </w:rPr>
            </w:pPr>
            <w:r w:rsidRPr="003B2B4F">
              <w:rPr>
                <w:b w:val="0"/>
                <w:szCs w:val="24"/>
                <w:lang w:val="en-GB"/>
              </w:rPr>
              <w:t>List any key support elements included to promote accountability</w:t>
            </w:r>
          </w:p>
          <w:p w:rsidR="00515566" w:rsidRPr="00A61A2C" w:rsidRDefault="00515566" w:rsidP="00B11BDA">
            <w:pPr>
              <w:rPr>
                <w:szCs w:val="24"/>
                <w:lang w:val="en-GB"/>
              </w:rPr>
            </w:pPr>
            <w:r w:rsidRPr="00A61A2C">
              <w:rPr>
                <w:bCs w:val="0"/>
                <w:szCs w:val="24"/>
                <w:lang w:val="en-GB"/>
              </w:rPr>
              <w:t>Non-discrimination</w:t>
            </w:r>
          </w:p>
          <w:p w:rsidR="00515566" w:rsidRPr="003B2B4F" w:rsidRDefault="00515566" w:rsidP="00515566">
            <w:pPr>
              <w:numPr>
                <w:ilvl w:val="0"/>
                <w:numId w:val="35"/>
              </w:numPr>
              <w:contextualSpacing/>
              <w:rPr>
                <w:b w:val="0"/>
                <w:bCs w:val="0"/>
                <w:szCs w:val="24"/>
                <w:lang w:val="en-GB"/>
              </w:rPr>
            </w:pPr>
            <w:r w:rsidRPr="003B2B4F">
              <w:rPr>
                <w:b w:val="0"/>
                <w:szCs w:val="24"/>
                <w:lang w:val="en-GB"/>
              </w:rPr>
              <w:t>Identify groups among rights-holders excluded from access and influence in the thematic programme areas identified</w:t>
            </w:r>
            <w:r w:rsidR="00281834">
              <w:rPr>
                <w:b w:val="0"/>
                <w:szCs w:val="24"/>
                <w:lang w:val="en-GB"/>
              </w:rPr>
              <w:t>.</w:t>
            </w:r>
          </w:p>
          <w:p w:rsidR="00515566" w:rsidRPr="003B2B4F" w:rsidRDefault="00515566" w:rsidP="00515566">
            <w:pPr>
              <w:numPr>
                <w:ilvl w:val="0"/>
                <w:numId w:val="35"/>
              </w:numPr>
              <w:contextualSpacing/>
              <w:rPr>
                <w:b w:val="0"/>
                <w:szCs w:val="24"/>
                <w:lang w:val="en-GB"/>
              </w:rPr>
            </w:pPr>
            <w:r w:rsidRPr="003B2B4F">
              <w:rPr>
                <w:b w:val="0"/>
                <w:szCs w:val="24"/>
                <w:lang w:val="en-GB"/>
              </w:rPr>
              <w:t>List key support elements included to promote Non-discrimination</w:t>
            </w:r>
            <w:r w:rsidR="00281834">
              <w:rPr>
                <w:b w:val="0"/>
                <w:szCs w:val="24"/>
                <w:lang w:val="en-GB"/>
              </w:rPr>
              <w:t>.</w:t>
            </w:r>
          </w:p>
          <w:p w:rsidR="00515566" w:rsidRPr="003B2B4F" w:rsidRDefault="00515566" w:rsidP="00515566">
            <w:pPr>
              <w:numPr>
                <w:ilvl w:val="0"/>
                <w:numId w:val="35"/>
              </w:numPr>
              <w:contextualSpacing/>
              <w:rPr>
                <w:b w:val="0"/>
                <w:szCs w:val="24"/>
                <w:lang w:val="en-GB"/>
              </w:rPr>
            </w:pPr>
            <w:r w:rsidRPr="003B2B4F">
              <w:rPr>
                <w:b w:val="0"/>
                <w:szCs w:val="24"/>
                <w:lang w:val="en-GB"/>
              </w:rPr>
              <w:t>Are disaggregated data available on most vulnerable groups?</w:t>
            </w:r>
          </w:p>
          <w:p w:rsidR="00515566" w:rsidRPr="00A61A2C" w:rsidRDefault="00515566" w:rsidP="00B11BDA">
            <w:pPr>
              <w:rPr>
                <w:bCs w:val="0"/>
                <w:szCs w:val="24"/>
                <w:lang w:val="en-GB"/>
              </w:rPr>
            </w:pPr>
            <w:r w:rsidRPr="00A61A2C">
              <w:rPr>
                <w:bCs w:val="0"/>
                <w:szCs w:val="24"/>
                <w:lang w:val="en-GB"/>
              </w:rPr>
              <w:t>Transparency</w:t>
            </w:r>
          </w:p>
          <w:p w:rsidR="00515566" w:rsidRPr="003B2B4F" w:rsidRDefault="00515566" w:rsidP="00515566">
            <w:pPr>
              <w:numPr>
                <w:ilvl w:val="0"/>
                <w:numId w:val="35"/>
              </w:numPr>
              <w:contextualSpacing/>
              <w:rPr>
                <w:b w:val="0"/>
                <w:bCs w:val="0"/>
                <w:szCs w:val="24"/>
                <w:lang w:val="en-GB"/>
              </w:rPr>
            </w:pPr>
            <w:r w:rsidRPr="003B2B4F">
              <w:rPr>
                <w:b w:val="0"/>
                <w:szCs w:val="24"/>
                <w:lang w:val="en-GB"/>
              </w:rPr>
              <w:t>Assess the extent to which information is accessible to rights holders including marginalised groups.</w:t>
            </w:r>
          </w:p>
          <w:p w:rsidR="00515566" w:rsidRPr="003B2B4F" w:rsidRDefault="00515566" w:rsidP="00515566">
            <w:pPr>
              <w:numPr>
                <w:ilvl w:val="0"/>
                <w:numId w:val="35"/>
              </w:numPr>
              <w:contextualSpacing/>
              <w:rPr>
                <w:b w:val="0"/>
                <w:szCs w:val="24"/>
                <w:lang w:val="en-GB"/>
              </w:rPr>
            </w:pPr>
            <w:r w:rsidRPr="003B2B4F">
              <w:rPr>
                <w:b w:val="0"/>
                <w:szCs w:val="24"/>
                <w:lang w:val="en-GB"/>
              </w:rPr>
              <w:t>If relevant, ensure that information is available in other than official languages</w:t>
            </w:r>
            <w:r w:rsidR="00281834">
              <w:rPr>
                <w:b w:val="0"/>
                <w:szCs w:val="24"/>
                <w:lang w:val="en-GB"/>
              </w:rPr>
              <w:t>.</w:t>
            </w:r>
          </w:p>
          <w:p w:rsidR="00515566" w:rsidRPr="00C84919" w:rsidRDefault="00515566" w:rsidP="00515566">
            <w:pPr>
              <w:pStyle w:val="Listeafsnit"/>
              <w:numPr>
                <w:ilvl w:val="0"/>
                <w:numId w:val="35"/>
              </w:numPr>
              <w:rPr>
                <w:rFonts w:ascii="Garamond" w:hAnsi="Garamond"/>
                <w:b w:val="0"/>
                <w:bCs w:val="0"/>
                <w:sz w:val="24"/>
                <w:szCs w:val="24"/>
                <w:lang w:val="en-GB"/>
              </w:rPr>
            </w:pPr>
            <w:r w:rsidRPr="00C84919">
              <w:rPr>
                <w:rFonts w:ascii="Garamond" w:hAnsi="Garamond"/>
                <w:b w:val="0"/>
                <w:sz w:val="24"/>
                <w:szCs w:val="24"/>
                <w:lang w:val="en-GB"/>
              </w:rPr>
              <w:t>List key support elements included to promote Transparency</w:t>
            </w:r>
            <w:r w:rsidR="00281834">
              <w:rPr>
                <w:rFonts w:ascii="Garamond" w:hAnsi="Garamond"/>
                <w:b w:val="0"/>
                <w:sz w:val="24"/>
                <w:szCs w:val="24"/>
                <w:lang w:val="en-GB"/>
              </w:rPr>
              <w:t>.</w:t>
            </w:r>
          </w:p>
        </w:tc>
      </w:tr>
      <w:tr w:rsidR="00515566" w:rsidRPr="009974CB" w:rsidTr="00120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515566" w:rsidRPr="00C84919" w:rsidRDefault="00515566" w:rsidP="00B11BDA">
            <w:pPr>
              <w:rPr>
                <w:bCs w:val="0"/>
                <w:szCs w:val="24"/>
                <w:lang w:val="en-GB"/>
              </w:rPr>
            </w:pPr>
            <w:r w:rsidRPr="00C84919">
              <w:rPr>
                <w:bCs w:val="0"/>
                <w:szCs w:val="24"/>
                <w:lang w:val="en-GB"/>
              </w:rPr>
              <w:lastRenderedPageBreak/>
              <w:t>Gender</w:t>
            </w:r>
          </w:p>
          <w:p w:rsidR="00515566" w:rsidRPr="00C84919" w:rsidRDefault="00515566" w:rsidP="00515566">
            <w:pPr>
              <w:numPr>
                <w:ilvl w:val="0"/>
                <w:numId w:val="35"/>
              </w:numPr>
              <w:contextualSpacing/>
              <w:rPr>
                <w:b w:val="0"/>
                <w:bCs w:val="0"/>
                <w:szCs w:val="24"/>
                <w:lang w:val="en-GB"/>
              </w:rPr>
            </w:pPr>
            <w:r w:rsidRPr="00C84919">
              <w:rPr>
                <w:b w:val="0"/>
                <w:szCs w:val="24"/>
                <w:lang w:val="en-GB"/>
              </w:rPr>
              <w:t>Identify key challenges and opportunities for gender equality</w:t>
            </w:r>
            <w:r w:rsidR="00281834">
              <w:rPr>
                <w:b w:val="0"/>
                <w:szCs w:val="24"/>
                <w:lang w:val="en-GB"/>
              </w:rPr>
              <w:t>.</w:t>
            </w:r>
          </w:p>
          <w:p w:rsidR="00515566" w:rsidRPr="00C84919" w:rsidRDefault="00515566" w:rsidP="00515566">
            <w:pPr>
              <w:numPr>
                <w:ilvl w:val="0"/>
                <w:numId w:val="35"/>
              </w:numPr>
              <w:contextualSpacing/>
              <w:rPr>
                <w:b w:val="0"/>
                <w:szCs w:val="24"/>
                <w:lang w:val="en-GB"/>
              </w:rPr>
            </w:pPr>
            <w:r w:rsidRPr="00C84919">
              <w:rPr>
                <w:b w:val="0"/>
                <w:szCs w:val="24"/>
                <w:lang w:val="en-GB"/>
              </w:rPr>
              <w:t>Identify assessments on gender, such as CEDAW-reporting, SDG National Action Plans, UPR, and other relevant gender analysis</w:t>
            </w:r>
            <w:r w:rsidR="00281834">
              <w:rPr>
                <w:b w:val="0"/>
                <w:szCs w:val="24"/>
                <w:lang w:val="en-GB"/>
              </w:rPr>
              <w:t>.</w:t>
            </w:r>
            <w:r w:rsidRPr="00C84919">
              <w:rPr>
                <w:b w:val="0"/>
                <w:szCs w:val="24"/>
                <w:lang w:val="en-GB"/>
              </w:rPr>
              <w:t xml:space="preserve"> </w:t>
            </w:r>
          </w:p>
          <w:p w:rsidR="00515566" w:rsidRPr="00C84919" w:rsidRDefault="00515566" w:rsidP="00515566">
            <w:pPr>
              <w:numPr>
                <w:ilvl w:val="0"/>
                <w:numId w:val="35"/>
              </w:numPr>
              <w:contextualSpacing/>
              <w:rPr>
                <w:b w:val="0"/>
                <w:szCs w:val="24"/>
                <w:lang w:val="en-GB"/>
              </w:rPr>
            </w:pPr>
            <w:r w:rsidRPr="00C84919">
              <w:rPr>
                <w:b w:val="0"/>
                <w:szCs w:val="24"/>
                <w:lang w:val="en-GB"/>
              </w:rPr>
              <w:t>Identify opportunities/constraints for addressing gender equality issues</w:t>
            </w:r>
            <w:r w:rsidR="00281834">
              <w:rPr>
                <w:b w:val="0"/>
                <w:szCs w:val="24"/>
                <w:lang w:val="en-GB"/>
              </w:rPr>
              <w:t>.</w:t>
            </w:r>
            <w:r w:rsidRPr="00C84919">
              <w:rPr>
                <w:b w:val="0"/>
                <w:szCs w:val="24"/>
                <w:lang w:val="en-GB"/>
              </w:rPr>
              <w:t xml:space="preserve"> </w:t>
            </w:r>
          </w:p>
          <w:p w:rsidR="00515566" w:rsidRPr="00C84919" w:rsidRDefault="00515566" w:rsidP="00515566">
            <w:pPr>
              <w:numPr>
                <w:ilvl w:val="0"/>
                <w:numId w:val="35"/>
              </w:numPr>
              <w:contextualSpacing/>
              <w:rPr>
                <w:b w:val="0"/>
                <w:szCs w:val="24"/>
                <w:lang w:val="en-GB"/>
              </w:rPr>
            </w:pPr>
            <w:r w:rsidRPr="00C84919">
              <w:rPr>
                <w:b w:val="0"/>
                <w:szCs w:val="24"/>
                <w:lang w:val="en-GB"/>
              </w:rPr>
              <w:t>Describe key strategic interventions to promote gender equality within each thematic programme</w:t>
            </w:r>
            <w:r w:rsidR="00281834">
              <w:rPr>
                <w:b w:val="0"/>
                <w:szCs w:val="24"/>
                <w:lang w:val="en-GB"/>
              </w:rPr>
              <w:t>.</w:t>
            </w:r>
          </w:p>
          <w:p w:rsidR="00515566" w:rsidRPr="00C84919" w:rsidRDefault="00515566" w:rsidP="00515566">
            <w:pPr>
              <w:pStyle w:val="Listeafsnit"/>
              <w:numPr>
                <w:ilvl w:val="0"/>
                <w:numId w:val="35"/>
              </w:numPr>
              <w:rPr>
                <w:rFonts w:ascii="Garamond" w:hAnsi="Garamond"/>
                <w:b w:val="0"/>
                <w:bCs w:val="0"/>
                <w:sz w:val="24"/>
                <w:szCs w:val="24"/>
                <w:lang w:val="en-GB"/>
              </w:rPr>
            </w:pPr>
            <w:r w:rsidRPr="00C84919">
              <w:rPr>
                <w:rFonts w:ascii="Garamond" w:hAnsi="Garamond"/>
                <w:b w:val="0"/>
                <w:sz w:val="24"/>
                <w:szCs w:val="24"/>
                <w:lang w:val="en-GB"/>
              </w:rPr>
              <w:t>Identify gender equality indicators aligned with national targets on gender</w:t>
            </w:r>
            <w:r w:rsidR="00281834">
              <w:rPr>
                <w:rFonts w:ascii="Garamond" w:hAnsi="Garamond"/>
                <w:b w:val="0"/>
                <w:sz w:val="24"/>
                <w:szCs w:val="24"/>
                <w:lang w:val="en-GB"/>
              </w:rPr>
              <w:t>,</w:t>
            </w:r>
            <w:r w:rsidRPr="00C84919">
              <w:rPr>
                <w:rFonts w:ascii="Garamond" w:hAnsi="Garamond"/>
                <w:b w:val="0"/>
                <w:sz w:val="24"/>
                <w:szCs w:val="24"/>
                <w:lang w:val="en-GB"/>
              </w:rPr>
              <w:t xml:space="preserve"> if possible.</w:t>
            </w:r>
          </w:p>
          <w:p w:rsidR="00515566" w:rsidRPr="00351BF1" w:rsidRDefault="00515566" w:rsidP="00B11BDA">
            <w:pPr>
              <w:rPr>
                <w:b w:val="0"/>
                <w:bCs w:val="0"/>
                <w:szCs w:val="24"/>
                <w:lang w:val="en-GB"/>
              </w:rPr>
            </w:pPr>
          </w:p>
        </w:tc>
      </w:tr>
      <w:tr w:rsidR="002B78C9" w:rsidRPr="009974CB" w:rsidTr="004E3D8A">
        <w:tc>
          <w:tcPr>
            <w:cnfStyle w:val="001000000000" w:firstRow="0" w:lastRow="0" w:firstColumn="1" w:lastColumn="0" w:oddVBand="0" w:evenVBand="0" w:oddHBand="0" w:evenHBand="0" w:firstRowFirstColumn="0" w:firstRowLastColumn="0" w:lastRowFirstColumn="0" w:lastRowLastColumn="0"/>
            <w:tcW w:w="9629" w:type="dxa"/>
          </w:tcPr>
          <w:p w:rsidR="002B78C9" w:rsidRPr="00C84919" w:rsidRDefault="002B78C9" w:rsidP="004E3D8A">
            <w:pPr>
              <w:rPr>
                <w:bCs w:val="0"/>
                <w:szCs w:val="24"/>
                <w:lang w:val="en-GB"/>
              </w:rPr>
            </w:pPr>
            <w:r>
              <w:rPr>
                <w:bCs w:val="0"/>
                <w:szCs w:val="24"/>
                <w:lang w:val="en-GB"/>
              </w:rPr>
              <w:t>Youth</w:t>
            </w:r>
          </w:p>
          <w:p w:rsidR="002B78C9" w:rsidRPr="00C84919" w:rsidRDefault="002B78C9" w:rsidP="004E3D8A">
            <w:pPr>
              <w:numPr>
                <w:ilvl w:val="0"/>
                <w:numId w:val="35"/>
              </w:numPr>
              <w:contextualSpacing/>
              <w:rPr>
                <w:b w:val="0"/>
                <w:bCs w:val="0"/>
                <w:szCs w:val="24"/>
                <w:lang w:val="en-GB"/>
              </w:rPr>
            </w:pPr>
            <w:r w:rsidRPr="00C84919">
              <w:rPr>
                <w:b w:val="0"/>
                <w:szCs w:val="24"/>
                <w:lang w:val="en-GB"/>
              </w:rPr>
              <w:t xml:space="preserve">Identify key challenges and opportunities for </w:t>
            </w:r>
            <w:r>
              <w:rPr>
                <w:b w:val="0"/>
                <w:szCs w:val="24"/>
                <w:lang w:val="en-GB"/>
              </w:rPr>
              <w:t>engagement of youth following the principle of programming not only for, but also with youth.</w:t>
            </w:r>
          </w:p>
          <w:p w:rsidR="002B78C9" w:rsidRPr="00C84919" w:rsidRDefault="002B78C9" w:rsidP="004E3D8A">
            <w:pPr>
              <w:numPr>
                <w:ilvl w:val="0"/>
                <w:numId w:val="35"/>
              </w:numPr>
              <w:contextualSpacing/>
              <w:rPr>
                <w:b w:val="0"/>
                <w:szCs w:val="24"/>
                <w:lang w:val="en-GB"/>
              </w:rPr>
            </w:pPr>
            <w:r w:rsidRPr="00C84919">
              <w:rPr>
                <w:b w:val="0"/>
                <w:szCs w:val="24"/>
                <w:lang w:val="en-GB"/>
              </w:rPr>
              <w:t xml:space="preserve">Identify opportunities/constraints for addressing </w:t>
            </w:r>
            <w:r>
              <w:rPr>
                <w:b w:val="0"/>
                <w:szCs w:val="24"/>
                <w:lang w:val="en-GB"/>
              </w:rPr>
              <w:t xml:space="preserve">youth </w:t>
            </w:r>
            <w:r w:rsidRPr="00C84919">
              <w:rPr>
                <w:b w:val="0"/>
                <w:szCs w:val="24"/>
                <w:lang w:val="en-GB"/>
              </w:rPr>
              <w:t>issues</w:t>
            </w:r>
            <w:r>
              <w:rPr>
                <w:b w:val="0"/>
                <w:szCs w:val="24"/>
                <w:lang w:val="en-GB"/>
              </w:rPr>
              <w:t>.</w:t>
            </w:r>
            <w:r w:rsidRPr="00C84919">
              <w:rPr>
                <w:b w:val="0"/>
                <w:szCs w:val="24"/>
                <w:lang w:val="en-GB"/>
              </w:rPr>
              <w:t xml:space="preserve"> </w:t>
            </w:r>
          </w:p>
          <w:p w:rsidR="002B78C9" w:rsidRPr="00C84919" w:rsidRDefault="002B78C9" w:rsidP="004E3D8A">
            <w:pPr>
              <w:numPr>
                <w:ilvl w:val="0"/>
                <w:numId w:val="35"/>
              </w:numPr>
              <w:contextualSpacing/>
              <w:rPr>
                <w:b w:val="0"/>
                <w:szCs w:val="24"/>
                <w:lang w:val="en-GB"/>
              </w:rPr>
            </w:pPr>
            <w:r w:rsidRPr="00C84919">
              <w:rPr>
                <w:b w:val="0"/>
                <w:szCs w:val="24"/>
                <w:lang w:val="en-GB"/>
              </w:rPr>
              <w:t xml:space="preserve">Describe key strategic interventions to promote </w:t>
            </w:r>
            <w:r w:rsidR="00056836">
              <w:rPr>
                <w:b w:val="0"/>
                <w:szCs w:val="24"/>
                <w:lang w:val="en-GB"/>
              </w:rPr>
              <w:t xml:space="preserve">youth </w:t>
            </w:r>
            <w:r w:rsidRPr="00C84919">
              <w:rPr>
                <w:b w:val="0"/>
                <w:szCs w:val="24"/>
                <w:lang w:val="en-GB"/>
              </w:rPr>
              <w:t>within each thematic programme</w:t>
            </w:r>
            <w:r>
              <w:rPr>
                <w:b w:val="0"/>
                <w:szCs w:val="24"/>
                <w:lang w:val="en-GB"/>
              </w:rPr>
              <w:t>.</w:t>
            </w:r>
          </w:p>
          <w:p w:rsidR="00056836" w:rsidRPr="00056836" w:rsidRDefault="00056836" w:rsidP="00056836">
            <w:pPr>
              <w:pStyle w:val="Listeafsnit"/>
              <w:numPr>
                <w:ilvl w:val="0"/>
                <w:numId w:val="35"/>
              </w:numPr>
              <w:rPr>
                <w:b w:val="0"/>
                <w:bCs w:val="0"/>
                <w:szCs w:val="24"/>
                <w:lang w:val="en-GB"/>
              </w:rPr>
            </w:pPr>
            <w:r>
              <w:rPr>
                <w:rFonts w:ascii="Garamond" w:hAnsi="Garamond"/>
                <w:b w:val="0"/>
                <w:sz w:val="24"/>
                <w:szCs w:val="24"/>
                <w:lang w:val="en-GB"/>
              </w:rPr>
              <w:t>If interventions are programmed for the direct benefit of youth, identify relevant indicators and consider age-disaggregation.</w:t>
            </w:r>
          </w:p>
          <w:p w:rsidR="002B78C9" w:rsidRPr="00351BF1" w:rsidRDefault="00056836" w:rsidP="00056836">
            <w:pPr>
              <w:pStyle w:val="Listeafsnit"/>
              <w:numPr>
                <w:ilvl w:val="0"/>
                <w:numId w:val="35"/>
              </w:numPr>
              <w:rPr>
                <w:b w:val="0"/>
                <w:bCs w:val="0"/>
                <w:szCs w:val="24"/>
                <w:lang w:val="en-GB"/>
              </w:rPr>
            </w:pPr>
            <w:r w:rsidRPr="00351BF1">
              <w:rPr>
                <w:b w:val="0"/>
                <w:bCs w:val="0"/>
                <w:szCs w:val="24"/>
                <w:lang w:val="en-GB"/>
              </w:rPr>
              <w:t xml:space="preserve"> </w:t>
            </w:r>
          </w:p>
        </w:tc>
      </w:tr>
      <w:tr w:rsidR="00515566" w:rsidRPr="009974CB" w:rsidTr="00120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515566" w:rsidRPr="00654B4F" w:rsidRDefault="00515566" w:rsidP="00B11BDA">
            <w:pPr>
              <w:spacing w:after="200" w:line="276" w:lineRule="auto"/>
              <w:rPr>
                <w:bCs w:val="0"/>
                <w:i/>
                <w:szCs w:val="24"/>
                <w:lang w:val="en-GB"/>
              </w:rPr>
            </w:pPr>
            <w:r w:rsidRPr="005677F7">
              <w:rPr>
                <w:bCs w:val="0"/>
                <w:i/>
                <w:szCs w:val="24"/>
                <w:lang w:val="en-GB"/>
              </w:rPr>
              <w:t>List the key documentation and sources used for the analysis</w:t>
            </w:r>
            <w:r>
              <w:rPr>
                <w:bCs w:val="0"/>
                <w:i/>
                <w:szCs w:val="24"/>
                <w:lang w:val="en-GB"/>
              </w:rPr>
              <w:t>:</w:t>
            </w:r>
          </w:p>
          <w:p w:rsidR="00515566" w:rsidRPr="00654B4F" w:rsidRDefault="00515566" w:rsidP="00B11BDA">
            <w:pPr>
              <w:rPr>
                <w:sz w:val="18"/>
                <w:szCs w:val="18"/>
                <w:lang w:val="en-GB"/>
              </w:rPr>
            </w:pPr>
            <w:r w:rsidRPr="00654B4F">
              <w:rPr>
                <w:sz w:val="18"/>
                <w:szCs w:val="18"/>
                <w:lang w:val="en-GB"/>
              </w:rPr>
              <w:t xml:space="preserve">Relevant references and guidance may include:  </w:t>
            </w:r>
          </w:p>
          <w:p w:rsidR="00515566" w:rsidRPr="0055611F" w:rsidRDefault="00515566" w:rsidP="0055611F">
            <w:pPr>
              <w:rPr>
                <w:b w:val="0"/>
                <w:szCs w:val="24"/>
                <w:lang w:val="en-GB"/>
              </w:rPr>
            </w:pPr>
          </w:p>
          <w:p w:rsidR="00515566" w:rsidRPr="0055611F" w:rsidRDefault="00515566" w:rsidP="0055611F">
            <w:pPr>
              <w:numPr>
                <w:ilvl w:val="0"/>
                <w:numId w:val="35"/>
              </w:numPr>
              <w:contextualSpacing/>
              <w:rPr>
                <w:b w:val="0"/>
                <w:szCs w:val="24"/>
                <w:lang w:val="en-GB"/>
              </w:rPr>
            </w:pPr>
            <w:r w:rsidRPr="0055611F">
              <w:rPr>
                <w:b w:val="0"/>
                <w:szCs w:val="24"/>
                <w:lang w:val="en-GB"/>
              </w:rPr>
              <w:t>Universal Period Review (UPR) processes and analysis (http://www.ohchr.org/EN/HRBodies/UPR/Pages/Documentation.aspx)</w:t>
            </w:r>
          </w:p>
          <w:p w:rsidR="00515566" w:rsidRPr="0055611F" w:rsidRDefault="00515566" w:rsidP="0055611F">
            <w:pPr>
              <w:numPr>
                <w:ilvl w:val="0"/>
                <w:numId w:val="35"/>
              </w:numPr>
              <w:contextualSpacing/>
              <w:rPr>
                <w:b w:val="0"/>
                <w:szCs w:val="24"/>
                <w:lang w:val="en-GB"/>
              </w:rPr>
            </w:pPr>
            <w:r w:rsidRPr="0055611F">
              <w:rPr>
                <w:b w:val="0"/>
                <w:szCs w:val="24"/>
                <w:lang w:val="en-GB"/>
              </w:rPr>
              <w:t>OHCHR country reports (www.ohchr.org)</w:t>
            </w:r>
          </w:p>
          <w:p w:rsidR="00515566" w:rsidRPr="0055611F" w:rsidRDefault="00515566" w:rsidP="0055611F">
            <w:pPr>
              <w:numPr>
                <w:ilvl w:val="0"/>
                <w:numId w:val="35"/>
              </w:numPr>
              <w:contextualSpacing/>
              <w:rPr>
                <w:b w:val="0"/>
                <w:szCs w:val="24"/>
                <w:lang w:val="en-GB"/>
              </w:rPr>
            </w:pPr>
            <w:r w:rsidRPr="0055611F">
              <w:rPr>
                <w:b w:val="0"/>
                <w:szCs w:val="24"/>
                <w:lang w:val="en-GB"/>
              </w:rPr>
              <w:t>EU Human Rights Strategies</w:t>
            </w:r>
          </w:p>
          <w:p w:rsidR="00515566" w:rsidRPr="0055611F" w:rsidRDefault="00515566" w:rsidP="0055611F">
            <w:pPr>
              <w:numPr>
                <w:ilvl w:val="0"/>
                <w:numId w:val="35"/>
              </w:numPr>
              <w:contextualSpacing/>
              <w:rPr>
                <w:b w:val="0"/>
                <w:szCs w:val="24"/>
                <w:lang w:val="en-GB"/>
              </w:rPr>
            </w:pPr>
            <w:r w:rsidRPr="0055611F">
              <w:rPr>
                <w:b w:val="0"/>
                <w:szCs w:val="24"/>
                <w:lang w:val="en-GB"/>
              </w:rPr>
              <w:t xml:space="preserve">Human Rights periodic reporting and Treaty Bodies monitoring of human rights in member states (www.ohchr.org/EN/HRBodies/Pages/TreatyBodies.aspx) </w:t>
            </w:r>
            <w:hyperlink r:id="rId23" w:history="1">
              <w:r w:rsidRPr="0055611F">
                <w:rPr>
                  <w:b w:val="0"/>
                  <w:szCs w:val="24"/>
                  <w:lang w:val="en-GB"/>
                </w:rPr>
                <w:t>http://tbinternet.ohchr.org/_layouts/TreatyBodyExternal/MasterCalendar.aspx?Type=Session&amp;Lang=En</w:t>
              </w:r>
            </w:hyperlink>
          </w:p>
          <w:p w:rsidR="00515566" w:rsidRPr="0055611F" w:rsidRDefault="00515566" w:rsidP="0055611F">
            <w:pPr>
              <w:numPr>
                <w:ilvl w:val="0"/>
                <w:numId w:val="35"/>
              </w:numPr>
              <w:contextualSpacing/>
              <w:rPr>
                <w:b w:val="0"/>
                <w:szCs w:val="24"/>
                <w:lang w:val="en-GB"/>
              </w:rPr>
            </w:pPr>
            <w:r w:rsidRPr="0055611F">
              <w:rPr>
                <w:b w:val="0"/>
                <w:szCs w:val="24"/>
                <w:lang w:val="en-GB"/>
              </w:rPr>
              <w:t>International and regional human rights and HRBA principles and HRBA Guidance Note of 2013</w:t>
            </w:r>
          </w:p>
          <w:p w:rsidR="00515566" w:rsidRPr="0055611F" w:rsidRDefault="00515566" w:rsidP="0055611F">
            <w:pPr>
              <w:numPr>
                <w:ilvl w:val="0"/>
                <w:numId w:val="35"/>
              </w:numPr>
              <w:contextualSpacing/>
              <w:rPr>
                <w:b w:val="0"/>
                <w:szCs w:val="24"/>
                <w:lang w:val="en-GB"/>
              </w:rPr>
            </w:pPr>
            <w:r w:rsidRPr="0055611F">
              <w:rPr>
                <w:b w:val="0"/>
                <w:szCs w:val="24"/>
                <w:lang w:val="en-GB"/>
              </w:rPr>
              <w:t xml:space="preserve">Danish Institute of Human Rights (DIHR) Guide to understand the interlinkages between human rights and the SDGs (http://sdg.humanrights.dk)  </w:t>
            </w:r>
          </w:p>
          <w:p w:rsidR="00515566" w:rsidRPr="00654B4F" w:rsidRDefault="00515566" w:rsidP="00B11BDA">
            <w:pPr>
              <w:rPr>
                <w:szCs w:val="24"/>
                <w:lang w:val="en-GB"/>
              </w:rPr>
            </w:pPr>
            <w:r w:rsidRPr="00654B4F">
              <w:rPr>
                <w:szCs w:val="24"/>
                <w:lang w:val="en-GB"/>
              </w:rPr>
              <w:lastRenderedPageBreak/>
              <w:tab/>
            </w:r>
          </w:p>
        </w:tc>
      </w:tr>
      <w:tr w:rsidR="00515566" w:rsidRPr="009974CB" w:rsidTr="00120ED4">
        <w:tc>
          <w:tcPr>
            <w:cnfStyle w:val="001000000000" w:firstRow="0" w:lastRow="0" w:firstColumn="1" w:lastColumn="0" w:oddVBand="0" w:evenVBand="0" w:oddHBand="0" w:evenHBand="0" w:firstRowFirstColumn="0" w:firstRowLastColumn="0" w:lastRowFirstColumn="0" w:lastRowLastColumn="0"/>
            <w:tcW w:w="9629" w:type="dxa"/>
          </w:tcPr>
          <w:p w:rsidR="00515566" w:rsidRPr="002A78B9" w:rsidRDefault="00515566" w:rsidP="00B11BDA">
            <w:pPr>
              <w:rPr>
                <w:i/>
                <w:szCs w:val="24"/>
                <w:lang w:val="en-US"/>
              </w:rPr>
            </w:pPr>
            <w:r w:rsidRPr="002A78B9">
              <w:rPr>
                <w:i/>
                <w:szCs w:val="24"/>
                <w:lang w:val="en-US"/>
              </w:rPr>
              <w:lastRenderedPageBreak/>
              <w:t xml:space="preserve">Are additional studies / analytic work needed? How and when will it be done? </w:t>
            </w:r>
          </w:p>
          <w:p w:rsidR="00515566" w:rsidRPr="002A78B9" w:rsidRDefault="00515566" w:rsidP="00B11BDA">
            <w:pPr>
              <w:rPr>
                <w:sz w:val="18"/>
                <w:szCs w:val="18"/>
                <w:lang w:val="en-GB"/>
              </w:rPr>
            </w:pPr>
          </w:p>
          <w:p w:rsidR="00515566" w:rsidRPr="002A78B9" w:rsidRDefault="00515566" w:rsidP="00B11BDA">
            <w:pPr>
              <w:rPr>
                <w:b w:val="0"/>
                <w:sz w:val="18"/>
                <w:szCs w:val="18"/>
                <w:lang w:val="en-GB"/>
              </w:rPr>
            </w:pPr>
            <w:r w:rsidRPr="002A78B9">
              <w:rPr>
                <w:b w:val="0"/>
                <w:sz w:val="18"/>
                <w:szCs w:val="18"/>
                <w:lang w:val="en-GB"/>
              </w:rPr>
              <w:t>List additional studies that will be carried out as part of the preparation phase, including studies that will be carried out jointly with others or by partners / other donors.</w:t>
            </w:r>
          </w:p>
        </w:tc>
      </w:tr>
    </w:tbl>
    <w:p w:rsidR="00515566" w:rsidRDefault="00515566" w:rsidP="00515566">
      <w:pPr>
        <w:rPr>
          <w:b/>
          <w:bCs/>
          <w:lang w:val="en-US"/>
        </w:rPr>
      </w:pPr>
    </w:p>
    <w:tbl>
      <w:tblPr>
        <w:tblStyle w:val="Lysliste-farve1"/>
        <w:tblW w:w="9629" w:type="dxa"/>
        <w:tblLayout w:type="fixed"/>
        <w:tblLook w:val="04A0" w:firstRow="1" w:lastRow="0" w:firstColumn="1" w:lastColumn="0" w:noHBand="0" w:noVBand="1"/>
      </w:tblPr>
      <w:tblGrid>
        <w:gridCol w:w="9629"/>
      </w:tblGrid>
      <w:tr w:rsidR="00515566" w:rsidRPr="009974CB" w:rsidTr="00120E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515566" w:rsidRPr="007C4125" w:rsidRDefault="00515566" w:rsidP="007C4125">
            <w:pPr>
              <w:pStyle w:val="Listeafsnit"/>
              <w:numPr>
                <w:ilvl w:val="0"/>
                <w:numId w:val="31"/>
              </w:numPr>
              <w:rPr>
                <w:rFonts w:ascii="Garamond" w:hAnsi="Garamond"/>
                <w:b w:val="0"/>
                <w:sz w:val="24"/>
                <w:szCs w:val="24"/>
                <w:lang w:val="en-US"/>
              </w:rPr>
            </w:pPr>
            <w:r w:rsidRPr="007C4125">
              <w:rPr>
                <w:rFonts w:ascii="Garamond" w:hAnsi="Garamond"/>
                <w:sz w:val="24"/>
                <w:szCs w:val="24"/>
                <w:lang w:val="en-US"/>
              </w:rPr>
              <w:t xml:space="preserve">Inclusive sustainable growth, climate change and environment </w:t>
            </w:r>
          </w:p>
          <w:p w:rsidR="00515566" w:rsidRPr="00395D84" w:rsidRDefault="00515566" w:rsidP="00515566">
            <w:pPr>
              <w:pStyle w:val="Listeafsnit"/>
              <w:numPr>
                <w:ilvl w:val="0"/>
                <w:numId w:val="32"/>
              </w:numPr>
              <w:rPr>
                <w:bCs w:val="0"/>
                <w:szCs w:val="24"/>
                <w:lang w:val="en-US"/>
              </w:rPr>
            </w:pPr>
          </w:p>
        </w:tc>
      </w:tr>
      <w:tr w:rsidR="00515566" w:rsidRPr="009974CB" w:rsidTr="00120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515566" w:rsidRPr="00C444DE" w:rsidRDefault="00515566" w:rsidP="00B11BDA">
            <w:pPr>
              <w:rPr>
                <w:i/>
                <w:sz w:val="18"/>
                <w:szCs w:val="18"/>
                <w:lang w:val="en-US"/>
              </w:rPr>
            </w:pPr>
            <w:r w:rsidRPr="00C444DE">
              <w:rPr>
                <w:i/>
                <w:szCs w:val="24"/>
                <w:lang w:val="en-US"/>
              </w:rPr>
              <w:t xml:space="preserve">Briefly summarise the key conclusions and implications for </w:t>
            </w:r>
            <w:r w:rsidR="00352A59">
              <w:rPr>
                <w:i/>
                <w:szCs w:val="24"/>
                <w:lang w:val="en-US"/>
              </w:rPr>
              <w:t xml:space="preserve">the </w:t>
            </w:r>
            <w:r w:rsidRPr="00C444DE">
              <w:rPr>
                <w:i/>
                <w:szCs w:val="24"/>
                <w:lang w:val="en-US"/>
              </w:rPr>
              <w:t>programme of the analysis of the below points:</w:t>
            </w:r>
          </w:p>
        </w:tc>
      </w:tr>
      <w:tr w:rsidR="00515566" w:rsidRPr="009974CB" w:rsidTr="00120ED4">
        <w:tc>
          <w:tcPr>
            <w:cnfStyle w:val="001000000000" w:firstRow="0" w:lastRow="0" w:firstColumn="1" w:lastColumn="0" w:oddVBand="0" w:evenVBand="0" w:oddHBand="0" w:evenHBand="0" w:firstRowFirstColumn="0" w:firstRowLastColumn="0" w:lastRowFirstColumn="0" w:lastRowLastColumn="0"/>
            <w:tcW w:w="9629" w:type="dxa"/>
          </w:tcPr>
          <w:p w:rsidR="00515566" w:rsidRPr="009974CB" w:rsidRDefault="00515566" w:rsidP="00515566">
            <w:pPr>
              <w:numPr>
                <w:ilvl w:val="0"/>
                <w:numId w:val="35"/>
              </w:numPr>
              <w:contextualSpacing/>
              <w:rPr>
                <w:b w:val="0"/>
                <w:szCs w:val="24"/>
                <w:lang w:val="en-US"/>
              </w:rPr>
            </w:pPr>
            <w:r w:rsidRPr="00C444DE">
              <w:rPr>
                <w:b w:val="0"/>
                <w:szCs w:val="24"/>
                <w:lang w:val="en-US"/>
              </w:rPr>
              <w:t>Assess the overall risks and challenges to inclusive sustainable growth and development from the impact of climate change and environmental degradation; Assess the status of policies and strategies in the country / thematic area / organisation to ensure that development is inclusive and sustainable, avoid harmful environmental and social impacts and respond to climate change; and assess the political will and the institutional and human capacity to implement these policies and strategies.</w:t>
            </w:r>
          </w:p>
        </w:tc>
      </w:tr>
      <w:tr w:rsidR="00515566" w:rsidRPr="009974CB" w:rsidTr="00120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515566" w:rsidRPr="009974CB" w:rsidRDefault="00515566" w:rsidP="00515566">
            <w:pPr>
              <w:numPr>
                <w:ilvl w:val="0"/>
                <w:numId w:val="35"/>
              </w:numPr>
              <w:contextualSpacing/>
              <w:rPr>
                <w:b w:val="0"/>
                <w:szCs w:val="24"/>
                <w:lang w:val="en-US"/>
              </w:rPr>
            </w:pPr>
            <w:r w:rsidRPr="00C444DE">
              <w:rPr>
                <w:b w:val="0"/>
                <w:szCs w:val="24"/>
                <w:lang w:val="en-US"/>
              </w:rPr>
              <w:t>Identify opportunities for mainstreaming support to inclusive green growth and transformation to a low-carbon and climate resilient economies in the programme thematic areas and DEDs.</w:t>
            </w:r>
          </w:p>
        </w:tc>
      </w:tr>
      <w:tr w:rsidR="00515566" w:rsidRPr="009974CB" w:rsidTr="00120ED4">
        <w:tc>
          <w:tcPr>
            <w:cnfStyle w:val="001000000000" w:firstRow="0" w:lastRow="0" w:firstColumn="1" w:lastColumn="0" w:oddVBand="0" w:evenVBand="0" w:oddHBand="0" w:evenHBand="0" w:firstRowFirstColumn="0" w:firstRowLastColumn="0" w:lastRowFirstColumn="0" w:lastRowLastColumn="0"/>
            <w:tcW w:w="9629" w:type="dxa"/>
          </w:tcPr>
          <w:p w:rsidR="00515566" w:rsidRPr="009974CB" w:rsidRDefault="00515566" w:rsidP="00515566">
            <w:pPr>
              <w:numPr>
                <w:ilvl w:val="0"/>
                <w:numId w:val="35"/>
              </w:numPr>
              <w:contextualSpacing/>
              <w:rPr>
                <w:b w:val="0"/>
                <w:szCs w:val="24"/>
                <w:lang w:val="en-US"/>
              </w:rPr>
            </w:pPr>
            <w:r w:rsidRPr="00C444DE">
              <w:rPr>
                <w:b w:val="0"/>
                <w:szCs w:val="24"/>
                <w:lang w:val="en-US"/>
              </w:rPr>
              <w:t>Identify potential risk and negative impacts related to environment and climate change from the proposed thematic areas and DEDs and consider how these may be mitigated in the design of the programme and the relevant DEDs.</w:t>
            </w:r>
          </w:p>
        </w:tc>
      </w:tr>
      <w:tr w:rsidR="00515566" w:rsidRPr="009974CB" w:rsidTr="00120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515566" w:rsidRPr="009974CB" w:rsidRDefault="00515566" w:rsidP="00515566">
            <w:pPr>
              <w:numPr>
                <w:ilvl w:val="0"/>
                <w:numId w:val="35"/>
              </w:numPr>
              <w:contextualSpacing/>
              <w:rPr>
                <w:b w:val="0"/>
                <w:szCs w:val="24"/>
                <w:lang w:val="en-US"/>
              </w:rPr>
            </w:pPr>
            <w:r w:rsidRPr="00C444DE">
              <w:rPr>
                <w:b w:val="0"/>
                <w:szCs w:val="24"/>
                <w:lang w:val="en-US"/>
              </w:rPr>
              <w:t xml:space="preserve">Identify if EIA (Environmental impact assessment) or similar should be carried, including legal requirements in partner countries / organisations. </w:t>
            </w:r>
          </w:p>
        </w:tc>
      </w:tr>
      <w:tr w:rsidR="00515566" w:rsidRPr="009974CB" w:rsidTr="00120ED4">
        <w:tc>
          <w:tcPr>
            <w:cnfStyle w:val="001000000000" w:firstRow="0" w:lastRow="0" w:firstColumn="1" w:lastColumn="0" w:oddVBand="0" w:evenVBand="0" w:oddHBand="0" w:evenHBand="0" w:firstRowFirstColumn="0" w:firstRowLastColumn="0" w:lastRowFirstColumn="0" w:lastRowLastColumn="0"/>
            <w:tcW w:w="9629" w:type="dxa"/>
          </w:tcPr>
          <w:p w:rsidR="00515566" w:rsidRPr="009974CB" w:rsidRDefault="00515566" w:rsidP="00515566">
            <w:pPr>
              <w:numPr>
                <w:ilvl w:val="0"/>
                <w:numId w:val="35"/>
              </w:numPr>
              <w:contextualSpacing/>
              <w:rPr>
                <w:b w:val="0"/>
                <w:szCs w:val="24"/>
                <w:lang w:val="en-US"/>
              </w:rPr>
            </w:pPr>
            <w:r w:rsidRPr="00C444DE">
              <w:rPr>
                <w:b w:val="0"/>
                <w:szCs w:val="24"/>
                <w:lang w:val="en-US"/>
              </w:rPr>
              <w:t>Consider rights and access to key natural resources: land, water, energy, food and agriculture, including impacts on employment for youth, women and indigenous peoples, etc.</w:t>
            </w:r>
            <w:r w:rsidRPr="009974CB">
              <w:rPr>
                <w:b w:val="0"/>
                <w:szCs w:val="24"/>
                <w:lang w:val="en-US"/>
              </w:rPr>
              <w:t xml:space="preserve">  </w:t>
            </w:r>
          </w:p>
        </w:tc>
      </w:tr>
      <w:tr w:rsidR="00515566" w:rsidRPr="009974CB" w:rsidTr="00120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515566" w:rsidRDefault="00515566" w:rsidP="00B11BDA">
            <w:pPr>
              <w:rPr>
                <w:i/>
                <w:szCs w:val="24"/>
                <w:lang w:val="en-US"/>
              </w:rPr>
            </w:pPr>
            <w:r w:rsidRPr="00C444DE">
              <w:rPr>
                <w:i/>
                <w:szCs w:val="24"/>
                <w:lang w:val="en-US"/>
              </w:rPr>
              <w:t xml:space="preserve">List the key documentation and sources used for the analysis: </w:t>
            </w:r>
          </w:p>
          <w:p w:rsidR="00515566" w:rsidRPr="00C444DE" w:rsidRDefault="00515566" w:rsidP="00B11BDA">
            <w:pPr>
              <w:rPr>
                <w:i/>
                <w:szCs w:val="24"/>
                <w:lang w:val="en-US"/>
              </w:rPr>
            </w:pPr>
          </w:p>
          <w:p w:rsidR="00515566" w:rsidRDefault="00515566" w:rsidP="00B11BDA">
            <w:pPr>
              <w:rPr>
                <w:sz w:val="18"/>
                <w:szCs w:val="18"/>
                <w:lang w:val="en-GB"/>
              </w:rPr>
            </w:pPr>
            <w:r w:rsidRPr="00654B4F">
              <w:rPr>
                <w:sz w:val="18"/>
                <w:szCs w:val="18"/>
                <w:lang w:val="en-GB"/>
              </w:rPr>
              <w:t xml:space="preserve">Relevant references and guidance may include:  </w:t>
            </w:r>
          </w:p>
          <w:p w:rsidR="00515566" w:rsidRPr="00654B4F" w:rsidRDefault="00515566" w:rsidP="00B11BDA">
            <w:pPr>
              <w:rPr>
                <w:sz w:val="18"/>
                <w:szCs w:val="18"/>
                <w:lang w:val="en-GB"/>
              </w:rPr>
            </w:pPr>
          </w:p>
          <w:p w:rsidR="00515566" w:rsidRPr="002A78B9" w:rsidRDefault="00515566" w:rsidP="00515566">
            <w:pPr>
              <w:pStyle w:val="Listeafsnit"/>
              <w:numPr>
                <w:ilvl w:val="0"/>
                <w:numId w:val="33"/>
              </w:numPr>
              <w:rPr>
                <w:rFonts w:ascii="Garamond" w:hAnsi="Garamond"/>
                <w:sz w:val="18"/>
                <w:szCs w:val="18"/>
                <w:lang w:val="en-GB"/>
              </w:rPr>
            </w:pPr>
            <w:r w:rsidRPr="002A78B9">
              <w:rPr>
                <w:rFonts w:ascii="Garamond" w:hAnsi="Garamond"/>
                <w:sz w:val="18"/>
                <w:szCs w:val="18"/>
                <w:lang w:val="en-GB"/>
              </w:rPr>
              <w:t>Climate change: Intended Nationally Determined Contributions, national climate change or disaster risk management policies or strategies, NAMA or low carbo</w:t>
            </w:r>
            <w:r w:rsidR="0002063D">
              <w:rPr>
                <w:rFonts w:ascii="Garamond" w:hAnsi="Garamond"/>
                <w:sz w:val="18"/>
                <w:szCs w:val="18"/>
                <w:lang w:val="en-GB"/>
              </w:rPr>
              <w:t>n</w:t>
            </w:r>
            <w:r w:rsidRPr="002A78B9">
              <w:rPr>
                <w:rFonts w:ascii="Garamond" w:hAnsi="Garamond"/>
                <w:sz w:val="18"/>
                <w:szCs w:val="18"/>
                <w:lang w:val="en-GB"/>
              </w:rPr>
              <w:t xml:space="preserve"> development plans, national adaptation planning (NAPAs, NAPs), etc.</w:t>
            </w:r>
          </w:p>
          <w:p w:rsidR="00515566" w:rsidRPr="002A78B9" w:rsidRDefault="00515566" w:rsidP="00515566">
            <w:pPr>
              <w:pStyle w:val="Listeafsnit"/>
              <w:numPr>
                <w:ilvl w:val="0"/>
                <w:numId w:val="33"/>
              </w:numPr>
              <w:rPr>
                <w:rFonts w:ascii="Garamond" w:hAnsi="Garamond"/>
                <w:sz w:val="18"/>
                <w:szCs w:val="18"/>
                <w:lang w:val="en-GB"/>
              </w:rPr>
            </w:pPr>
            <w:r w:rsidRPr="002A78B9">
              <w:rPr>
                <w:rFonts w:ascii="Garamond" w:hAnsi="Garamond"/>
                <w:sz w:val="18"/>
                <w:szCs w:val="18"/>
                <w:lang w:val="en-GB"/>
              </w:rPr>
              <w:t>Environment and sustainable development: green growth strategies / actions plans, National Environmental Action Plans, State of the Environment Reporting, relevant sector studies and Strategic Environmental Assessments.</w:t>
            </w:r>
          </w:p>
          <w:p w:rsidR="00515566" w:rsidRPr="002A78B9" w:rsidRDefault="00515566" w:rsidP="00515566">
            <w:pPr>
              <w:pStyle w:val="Listeafsnit"/>
              <w:numPr>
                <w:ilvl w:val="0"/>
                <w:numId w:val="33"/>
              </w:numPr>
              <w:rPr>
                <w:rFonts w:ascii="Garamond" w:hAnsi="Garamond"/>
                <w:sz w:val="18"/>
                <w:szCs w:val="18"/>
                <w:lang w:val="en-GB"/>
              </w:rPr>
            </w:pPr>
            <w:r w:rsidRPr="002A78B9">
              <w:rPr>
                <w:rFonts w:ascii="Garamond" w:hAnsi="Garamond"/>
                <w:sz w:val="18"/>
                <w:szCs w:val="18"/>
                <w:lang w:val="en-GB"/>
              </w:rPr>
              <w:t>Other development partners</w:t>
            </w:r>
            <w:r w:rsidR="0002063D">
              <w:rPr>
                <w:rFonts w:ascii="Garamond" w:hAnsi="Garamond"/>
                <w:sz w:val="18"/>
                <w:szCs w:val="18"/>
                <w:lang w:val="en-GB"/>
              </w:rPr>
              <w:t>’</w:t>
            </w:r>
            <w:r w:rsidRPr="002A78B9">
              <w:rPr>
                <w:rFonts w:ascii="Garamond" w:hAnsi="Garamond"/>
                <w:sz w:val="18"/>
                <w:szCs w:val="18"/>
                <w:lang w:val="en-GB"/>
              </w:rPr>
              <w:t xml:space="preserve"> climate change or environmental assessments and country profiles</w:t>
            </w:r>
          </w:p>
          <w:p w:rsidR="00515566" w:rsidRPr="002A78B9" w:rsidRDefault="00515566" w:rsidP="00B11BDA">
            <w:pPr>
              <w:rPr>
                <w:sz w:val="18"/>
                <w:szCs w:val="18"/>
                <w:lang w:val="en-GB"/>
              </w:rPr>
            </w:pPr>
          </w:p>
          <w:p w:rsidR="00515566" w:rsidRPr="00FB0AD3" w:rsidRDefault="00515566" w:rsidP="00B11BDA">
            <w:pPr>
              <w:rPr>
                <w:i/>
                <w:sz w:val="18"/>
                <w:szCs w:val="18"/>
                <w:lang w:val="en-US"/>
              </w:rPr>
            </w:pPr>
          </w:p>
        </w:tc>
      </w:tr>
      <w:tr w:rsidR="00515566" w:rsidRPr="009974CB" w:rsidTr="00120ED4">
        <w:tc>
          <w:tcPr>
            <w:cnfStyle w:val="001000000000" w:firstRow="0" w:lastRow="0" w:firstColumn="1" w:lastColumn="0" w:oddVBand="0" w:evenVBand="0" w:oddHBand="0" w:evenHBand="0" w:firstRowFirstColumn="0" w:firstRowLastColumn="0" w:lastRowFirstColumn="0" w:lastRowLastColumn="0"/>
            <w:tcW w:w="9629" w:type="dxa"/>
          </w:tcPr>
          <w:p w:rsidR="00515566" w:rsidRDefault="00515566" w:rsidP="00B11BDA">
            <w:pPr>
              <w:rPr>
                <w:i/>
                <w:lang w:val="en-US"/>
              </w:rPr>
            </w:pPr>
            <w:r w:rsidRPr="00C444DE">
              <w:rPr>
                <w:i/>
                <w:lang w:val="en-US"/>
              </w:rPr>
              <w:t>If this initial assessment show</w:t>
            </w:r>
            <w:r w:rsidR="0002063D">
              <w:rPr>
                <w:i/>
                <w:lang w:val="en-US"/>
              </w:rPr>
              <w:t>s</w:t>
            </w:r>
            <w:r w:rsidRPr="00C444DE">
              <w:rPr>
                <w:i/>
                <w:lang w:val="en-US"/>
              </w:rPr>
              <w:t xml:space="preserve"> that further work will be needed during the formulation phase, please list how and when will it be done? </w:t>
            </w:r>
          </w:p>
          <w:p w:rsidR="00515566" w:rsidRPr="00C444DE" w:rsidRDefault="00515566" w:rsidP="00B11BDA">
            <w:pPr>
              <w:rPr>
                <w:i/>
                <w:lang w:val="en-US"/>
              </w:rPr>
            </w:pPr>
          </w:p>
          <w:p w:rsidR="00515566" w:rsidRPr="00197BC7" w:rsidRDefault="007F3BB7" w:rsidP="00B11BDA">
            <w:pPr>
              <w:rPr>
                <w:b w:val="0"/>
                <w:sz w:val="18"/>
                <w:szCs w:val="18"/>
                <w:lang w:val="en-US"/>
              </w:rPr>
            </w:pPr>
            <w:r w:rsidRPr="00197BC7">
              <w:rPr>
                <w:b w:val="0"/>
                <w:sz w:val="18"/>
                <w:szCs w:val="18"/>
                <w:lang w:val="en-US"/>
              </w:rPr>
              <w:t>List additional studies that will be carried out as part of the preparation phase, including studies that will be carried out jointly with others or by partners / other donors.</w:t>
            </w:r>
          </w:p>
          <w:p w:rsidR="00515566" w:rsidRPr="00197BC7" w:rsidRDefault="00515566" w:rsidP="00B11BDA">
            <w:pPr>
              <w:rPr>
                <w:b w:val="0"/>
                <w:sz w:val="18"/>
                <w:szCs w:val="18"/>
                <w:lang w:val="en-US"/>
              </w:rPr>
            </w:pPr>
          </w:p>
          <w:p w:rsidR="00515566" w:rsidRPr="004915C7" w:rsidRDefault="00515566" w:rsidP="00B11BDA">
            <w:pPr>
              <w:rPr>
                <w:b w:val="0"/>
                <w:sz w:val="18"/>
                <w:szCs w:val="18"/>
                <w:lang w:val="en-US"/>
              </w:rPr>
            </w:pPr>
            <w:r w:rsidRPr="00197BC7">
              <w:rPr>
                <w:b w:val="0"/>
                <w:sz w:val="18"/>
                <w:szCs w:val="18"/>
                <w:lang w:val="en-US"/>
              </w:rPr>
              <w:t>List required EIAs or similar studies to be carried during the formulation or implementation face.</w:t>
            </w:r>
          </w:p>
          <w:p w:rsidR="00515566" w:rsidRPr="00C444DE" w:rsidRDefault="00515566" w:rsidP="00B11BDA">
            <w:pPr>
              <w:rPr>
                <w:i/>
                <w:sz w:val="18"/>
                <w:szCs w:val="18"/>
                <w:lang w:val="en-US"/>
              </w:rPr>
            </w:pPr>
          </w:p>
        </w:tc>
      </w:tr>
    </w:tbl>
    <w:p w:rsidR="00515566" w:rsidRPr="004852D4" w:rsidRDefault="00515566" w:rsidP="00515566">
      <w:pPr>
        <w:rPr>
          <w:lang w:val="en-US"/>
        </w:rPr>
      </w:pPr>
    </w:p>
    <w:tbl>
      <w:tblPr>
        <w:tblStyle w:val="Lysliste-farve1"/>
        <w:tblW w:w="9629" w:type="dxa"/>
        <w:tblLayout w:type="fixed"/>
        <w:tblLook w:val="04A0" w:firstRow="1" w:lastRow="0" w:firstColumn="1" w:lastColumn="0" w:noHBand="0" w:noVBand="1"/>
      </w:tblPr>
      <w:tblGrid>
        <w:gridCol w:w="9629"/>
      </w:tblGrid>
      <w:tr w:rsidR="00515566" w:rsidRPr="009974CB" w:rsidTr="00120E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515566" w:rsidRPr="004915C7" w:rsidRDefault="00515566" w:rsidP="00515566">
            <w:pPr>
              <w:pStyle w:val="Listeafsnit"/>
              <w:numPr>
                <w:ilvl w:val="0"/>
                <w:numId w:val="34"/>
              </w:numPr>
              <w:rPr>
                <w:rFonts w:ascii="Garamond" w:hAnsi="Garamond"/>
                <w:b w:val="0"/>
                <w:bCs w:val="0"/>
                <w:sz w:val="24"/>
                <w:szCs w:val="24"/>
                <w:lang w:val="en-GB"/>
              </w:rPr>
            </w:pPr>
            <w:r w:rsidRPr="004915C7">
              <w:rPr>
                <w:rFonts w:ascii="Garamond" w:hAnsi="Garamond"/>
                <w:sz w:val="24"/>
                <w:szCs w:val="24"/>
                <w:lang w:val="en-GB"/>
              </w:rPr>
              <w:t>Capacity of public sector, public financial management and corruption</w:t>
            </w:r>
          </w:p>
          <w:p w:rsidR="00515566" w:rsidRPr="00654B4F" w:rsidRDefault="00515566" w:rsidP="00B11BDA">
            <w:pPr>
              <w:rPr>
                <w:szCs w:val="24"/>
                <w:lang w:val="en-GB"/>
              </w:rPr>
            </w:pPr>
          </w:p>
        </w:tc>
      </w:tr>
      <w:tr w:rsidR="00515566" w:rsidRPr="009974CB" w:rsidTr="00120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515566" w:rsidRPr="00654B4F" w:rsidRDefault="00515566" w:rsidP="00B11BDA">
            <w:pPr>
              <w:rPr>
                <w:szCs w:val="24"/>
                <w:lang w:val="en-GB"/>
              </w:rPr>
            </w:pPr>
            <w:r w:rsidRPr="005677F7">
              <w:rPr>
                <w:i/>
                <w:szCs w:val="24"/>
                <w:lang w:val="en-US"/>
              </w:rPr>
              <w:t>Briefly summarise the key conclusions and implications for</w:t>
            </w:r>
            <w:r w:rsidR="00724062">
              <w:rPr>
                <w:i/>
                <w:szCs w:val="24"/>
                <w:lang w:val="en-US"/>
              </w:rPr>
              <w:t xml:space="preserve"> the</w:t>
            </w:r>
            <w:r w:rsidRPr="005677F7">
              <w:rPr>
                <w:i/>
                <w:szCs w:val="24"/>
                <w:lang w:val="en-US"/>
              </w:rPr>
              <w:t xml:space="preserve"> programme of the analysis of the below points:</w:t>
            </w:r>
          </w:p>
        </w:tc>
      </w:tr>
      <w:tr w:rsidR="00515566" w:rsidRPr="009974CB" w:rsidTr="00120ED4">
        <w:tc>
          <w:tcPr>
            <w:cnfStyle w:val="001000000000" w:firstRow="0" w:lastRow="0" w:firstColumn="1" w:lastColumn="0" w:oddVBand="0" w:evenVBand="0" w:oddHBand="0" w:evenHBand="0" w:firstRowFirstColumn="0" w:firstRowLastColumn="0" w:lastRowFirstColumn="0" w:lastRowLastColumn="0"/>
            <w:tcW w:w="9629" w:type="dxa"/>
          </w:tcPr>
          <w:p w:rsidR="00515566" w:rsidRPr="009974CB" w:rsidRDefault="00515566" w:rsidP="00515566">
            <w:pPr>
              <w:numPr>
                <w:ilvl w:val="0"/>
                <w:numId w:val="35"/>
              </w:numPr>
              <w:contextualSpacing/>
              <w:rPr>
                <w:b w:val="0"/>
                <w:szCs w:val="24"/>
                <w:lang w:val="en-US"/>
              </w:rPr>
            </w:pPr>
            <w:r w:rsidRPr="009974CB">
              <w:rPr>
                <w:b w:val="0"/>
                <w:szCs w:val="24"/>
                <w:lang w:val="en-US"/>
              </w:rPr>
              <w:t>Capacity of the public sector for policy making, enforcement and service delivery.</w:t>
            </w:r>
          </w:p>
        </w:tc>
      </w:tr>
      <w:tr w:rsidR="00515566" w:rsidRPr="009974CB" w:rsidTr="00120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515566" w:rsidRPr="009974CB" w:rsidRDefault="00515566" w:rsidP="00515566">
            <w:pPr>
              <w:numPr>
                <w:ilvl w:val="0"/>
                <w:numId w:val="35"/>
              </w:numPr>
              <w:contextualSpacing/>
              <w:rPr>
                <w:b w:val="0"/>
                <w:szCs w:val="24"/>
                <w:lang w:val="en-US"/>
              </w:rPr>
            </w:pPr>
            <w:r w:rsidRPr="009974CB">
              <w:rPr>
                <w:b w:val="0"/>
                <w:szCs w:val="24"/>
                <w:lang w:val="en-US"/>
              </w:rPr>
              <w:lastRenderedPageBreak/>
              <w:t>Quality and capacity of PFM, including budget credibility, comprehensiveness and transparency as well as control and external scrutiny / audit in all phases of the budget process as well as participation of citizens / CSOs in monitoring public budgets and corruption;</w:t>
            </w:r>
          </w:p>
        </w:tc>
      </w:tr>
      <w:tr w:rsidR="00515566" w:rsidRPr="009974CB" w:rsidTr="00120ED4">
        <w:tc>
          <w:tcPr>
            <w:cnfStyle w:val="001000000000" w:firstRow="0" w:lastRow="0" w:firstColumn="1" w:lastColumn="0" w:oddVBand="0" w:evenVBand="0" w:oddHBand="0" w:evenHBand="0" w:firstRowFirstColumn="0" w:firstRowLastColumn="0" w:lastRowFirstColumn="0" w:lastRowLastColumn="0"/>
            <w:tcW w:w="9629" w:type="dxa"/>
          </w:tcPr>
          <w:p w:rsidR="00515566" w:rsidRPr="009974CB" w:rsidRDefault="00515566" w:rsidP="00515566">
            <w:pPr>
              <w:numPr>
                <w:ilvl w:val="0"/>
                <w:numId w:val="35"/>
              </w:numPr>
              <w:contextualSpacing/>
              <w:rPr>
                <w:b w:val="0"/>
                <w:szCs w:val="24"/>
                <w:lang w:val="en-US"/>
              </w:rPr>
            </w:pPr>
            <w:r w:rsidRPr="009974CB">
              <w:rPr>
                <w:b w:val="0"/>
                <w:szCs w:val="24"/>
                <w:lang w:val="en-US"/>
              </w:rPr>
              <w:t>The corruption situation and relevant anti-corruption measures and reforms.</w:t>
            </w:r>
          </w:p>
        </w:tc>
      </w:tr>
      <w:tr w:rsidR="00515566" w:rsidRPr="009974CB" w:rsidTr="00120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515566" w:rsidRPr="00654B4F" w:rsidRDefault="00515566" w:rsidP="00B11BDA">
            <w:pPr>
              <w:spacing w:after="200" w:line="276" w:lineRule="auto"/>
              <w:rPr>
                <w:bCs w:val="0"/>
                <w:i/>
                <w:szCs w:val="24"/>
                <w:lang w:val="en-GB"/>
              </w:rPr>
            </w:pPr>
            <w:r w:rsidRPr="005677F7">
              <w:rPr>
                <w:bCs w:val="0"/>
                <w:i/>
                <w:szCs w:val="24"/>
                <w:lang w:val="en-GB"/>
              </w:rPr>
              <w:t>List the key documentation and sources used for the analysis</w:t>
            </w:r>
            <w:r>
              <w:rPr>
                <w:bCs w:val="0"/>
                <w:i/>
                <w:szCs w:val="24"/>
                <w:lang w:val="en-GB"/>
              </w:rPr>
              <w:t>:</w:t>
            </w:r>
          </w:p>
          <w:p w:rsidR="00515566" w:rsidRPr="00654B4F" w:rsidRDefault="00515566" w:rsidP="00B11BDA">
            <w:pPr>
              <w:rPr>
                <w:sz w:val="18"/>
                <w:szCs w:val="18"/>
                <w:highlight w:val="yellow"/>
                <w:lang w:val="en-GB"/>
              </w:rPr>
            </w:pPr>
            <w:r w:rsidRPr="002564B6">
              <w:rPr>
                <w:sz w:val="18"/>
                <w:szCs w:val="18"/>
                <w:lang w:val="en-GB"/>
              </w:rPr>
              <w:t xml:space="preserve">Relevant references and guidance may include:  </w:t>
            </w:r>
          </w:p>
          <w:p w:rsidR="00515566" w:rsidRPr="004B5856" w:rsidRDefault="00515566" w:rsidP="00B11BDA">
            <w:pPr>
              <w:rPr>
                <w:lang w:val="en-GB"/>
              </w:rPr>
            </w:pPr>
            <w:r w:rsidRPr="002564B6">
              <w:rPr>
                <w:lang w:val="en-GB"/>
              </w:rPr>
              <w:t>National and development-partner documents</w:t>
            </w:r>
            <w:r>
              <w:rPr>
                <w:lang w:val="en-GB"/>
              </w:rPr>
              <w:t xml:space="preserve"> on public-sector reforms; PFM reform-related documents; PEFA assessments; development-partner assessments of procurement quality, etc.; WB CPIA assessments; Transparency International and local corruption assessments (corruption diagnostics and barometer reports, etc.)  </w:t>
            </w:r>
            <w:r w:rsidRPr="002564B6">
              <w:rPr>
                <w:lang w:val="en-GB"/>
              </w:rPr>
              <w:tab/>
            </w:r>
          </w:p>
        </w:tc>
      </w:tr>
      <w:tr w:rsidR="00515566" w:rsidRPr="009974CB" w:rsidTr="00120ED4">
        <w:tc>
          <w:tcPr>
            <w:cnfStyle w:val="001000000000" w:firstRow="0" w:lastRow="0" w:firstColumn="1" w:lastColumn="0" w:oddVBand="0" w:evenVBand="0" w:oddHBand="0" w:evenHBand="0" w:firstRowFirstColumn="0" w:firstRowLastColumn="0" w:lastRowFirstColumn="0" w:lastRowLastColumn="0"/>
            <w:tcW w:w="9629" w:type="dxa"/>
          </w:tcPr>
          <w:p w:rsidR="00515566" w:rsidRPr="00654B4F" w:rsidRDefault="00515566" w:rsidP="00B11BDA">
            <w:pPr>
              <w:rPr>
                <w:i/>
                <w:szCs w:val="24"/>
                <w:lang w:val="en-US"/>
              </w:rPr>
            </w:pPr>
            <w:r w:rsidRPr="00654B4F">
              <w:rPr>
                <w:i/>
                <w:szCs w:val="24"/>
                <w:lang w:val="en-US"/>
              </w:rPr>
              <w:t xml:space="preserve">Are additional studies / analytic work needed? How and when will it be done? </w:t>
            </w:r>
          </w:p>
          <w:p w:rsidR="00515566" w:rsidRDefault="00515566" w:rsidP="00B11BDA">
            <w:pPr>
              <w:rPr>
                <w:sz w:val="18"/>
                <w:szCs w:val="18"/>
                <w:lang w:val="en-GB"/>
              </w:rPr>
            </w:pPr>
          </w:p>
          <w:p w:rsidR="00515566" w:rsidRPr="00654B4F" w:rsidRDefault="00515566" w:rsidP="00B11BDA">
            <w:pPr>
              <w:rPr>
                <w:szCs w:val="24"/>
                <w:lang w:val="en-GB"/>
              </w:rPr>
            </w:pPr>
            <w:r w:rsidRPr="002564B6">
              <w:rPr>
                <w:b w:val="0"/>
                <w:sz w:val="18"/>
                <w:szCs w:val="18"/>
                <w:lang w:val="en-GB"/>
              </w:rPr>
              <w:t>List additional studies that will be carried out as part of the preparation phase, including studies that will be carried out jointly with others or by partners / other donors.</w:t>
            </w:r>
          </w:p>
        </w:tc>
      </w:tr>
    </w:tbl>
    <w:p w:rsidR="00515566" w:rsidRPr="00AF15DD" w:rsidRDefault="00515566" w:rsidP="00515566">
      <w:pPr>
        <w:rPr>
          <w:lang w:val="en-US"/>
        </w:rPr>
      </w:pPr>
    </w:p>
    <w:tbl>
      <w:tblPr>
        <w:tblStyle w:val="Lysliste-farve1"/>
        <w:tblW w:w="9629" w:type="dxa"/>
        <w:tblLayout w:type="fixed"/>
        <w:tblLook w:val="04A0" w:firstRow="1" w:lastRow="0" w:firstColumn="1" w:lastColumn="0" w:noHBand="0" w:noVBand="1"/>
      </w:tblPr>
      <w:tblGrid>
        <w:gridCol w:w="4927"/>
        <w:gridCol w:w="4702"/>
      </w:tblGrid>
      <w:tr w:rsidR="00515566" w:rsidRPr="009974CB" w:rsidTr="00120E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gridSpan w:val="2"/>
          </w:tcPr>
          <w:p w:rsidR="00515566" w:rsidRPr="004915C7" w:rsidRDefault="00515566" w:rsidP="00515566">
            <w:pPr>
              <w:pStyle w:val="Listeafsnit"/>
              <w:numPr>
                <w:ilvl w:val="0"/>
                <w:numId w:val="34"/>
              </w:numPr>
              <w:rPr>
                <w:rFonts w:ascii="Garamond" w:hAnsi="Garamond"/>
                <w:b w:val="0"/>
                <w:bCs w:val="0"/>
                <w:sz w:val="24"/>
                <w:szCs w:val="24"/>
                <w:lang w:val="en-GB"/>
              </w:rPr>
            </w:pPr>
            <w:r w:rsidRPr="00C444DE">
              <w:rPr>
                <w:lang w:val="en-US"/>
              </w:rPr>
              <w:br w:type="page"/>
            </w:r>
            <w:r w:rsidRPr="004915C7">
              <w:rPr>
                <w:rFonts w:ascii="Garamond" w:hAnsi="Garamond"/>
                <w:sz w:val="24"/>
                <w:szCs w:val="24"/>
                <w:lang w:val="en-GB"/>
              </w:rPr>
              <w:t>Matching with Danish strengths and interests, engaging Danish actors</w:t>
            </w:r>
            <w:r>
              <w:rPr>
                <w:rFonts w:ascii="Garamond" w:hAnsi="Garamond"/>
                <w:sz w:val="24"/>
                <w:szCs w:val="24"/>
                <w:lang w:val="en-GB"/>
              </w:rPr>
              <w:t xml:space="preserve">, seeking synergy </w:t>
            </w:r>
          </w:p>
          <w:p w:rsidR="00515566" w:rsidRPr="00654B4F" w:rsidRDefault="00515566" w:rsidP="00B11BDA">
            <w:pPr>
              <w:rPr>
                <w:szCs w:val="22"/>
                <w:lang w:val="en-GB"/>
              </w:rPr>
            </w:pPr>
          </w:p>
        </w:tc>
      </w:tr>
      <w:tr w:rsidR="00515566" w:rsidRPr="009974CB" w:rsidTr="00120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gridSpan w:val="2"/>
          </w:tcPr>
          <w:p w:rsidR="00515566" w:rsidRPr="00654B4F" w:rsidRDefault="00515566" w:rsidP="00B11BDA">
            <w:pPr>
              <w:rPr>
                <w:szCs w:val="24"/>
                <w:lang w:val="en-GB"/>
              </w:rPr>
            </w:pPr>
            <w:r w:rsidRPr="005677F7">
              <w:rPr>
                <w:i/>
                <w:szCs w:val="24"/>
                <w:lang w:val="en-US"/>
              </w:rPr>
              <w:t xml:space="preserve">Briefly summarise the key conclusions and implications for </w:t>
            </w:r>
            <w:r w:rsidR="00724062">
              <w:rPr>
                <w:i/>
                <w:szCs w:val="24"/>
                <w:lang w:val="en-US"/>
              </w:rPr>
              <w:t xml:space="preserve">the </w:t>
            </w:r>
            <w:r w:rsidRPr="005677F7">
              <w:rPr>
                <w:i/>
                <w:szCs w:val="24"/>
                <w:lang w:val="en-US"/>
              </w:rPr>
              <w:t>programme of the analysis of the below points:</w:t>
            </w:r>
          </w:p>
        </w:tc>
      </w:tr>
      <w:tr w:rsidR="00515566" w:rsidRPr="00F66866" w:rsidTr="00120ED4">
        <w:tc>
          <w:tcPr>
            <w:cnfStyle w:val="001000000000" w:firstRow="0" w:lastRow="0" w:firstColumn="1" w:lastColumn="0" w:oddVBand="0" w:evenVBand="0" w:oddHBand="0" w:evenHBand="0" w:firstRowFirstColumn="0" w:firstRowLastColumn="0" w:lastRowFirstColumn="0" w:lastRowLastColumn="0"/>
            <w:tcW w:w="4927" w:type="dxa"/>
          </w:tcPr>
          <w:p w:rsidR="00515566" w:rsidRPr="009974CB" w:rsidRDefault="00515566" w:rsidP="00B11BDA">
            <w:pPr>
              <w:contextualSpacing/>
              <w:rPr>
                <w:b w:val="0"/>
                <w:szCs w:val="24"/>
                <w:lang w:val="en-US"/>
              </w:rPr>
            </w:pPr>
            <w:r w:rsidRPr="009974CB">
              <w:rPr>
                <w:b w:val="0"/>
                <w:szCs w:val="24"/>
                <w:lang w:val="en-US"/>
              </w:rPr>
              <w:t>Identify:</w:t>
            </w:r>
          </w:p>
          <w:p w:rsidR="00515566" w:rsidRPr="009974CB" w:rsidRDefault="00515566" w:rsidP="00515566">
            <w:pPr>
              <w:numPr>
                <w:ilvl w:val="0"/>
                <w:numId w:val="35"/>
              </w:numPr>
              <w:contextualSpacing/>
              <w:rPr>
                <w:b w:val="0"/>
                <w:szCs w:val="24"/>
                <w:lang w:val="en-US"/>
              </w:rPr>
            </w:pPr>
            <w:r w:rsidRPr="009974CB">
              <w:rPr>
                <w:b w:val="0"/>
                <w:szCs w:val="24"/>
                <w:lang w:val="en-US"/>
              </w:rPr>
              <w:t xml:space="preserve">where we have the most at stake – interests and values, </w:t>
            </w:r>
          </w:p>
          <w:p w:rsidR="00515566" w:rsidRPr="009974CB" w:rsidRDefault="00515566" w:rsidP="00515566">
            <w:pPr>
              <w:numPr>
                <w:ilvl w:val="0"/>
                <w:numId w:val="35"/>
              </w:numPr>
              <w:contextualSpacing/>
              <w:rPr>
                <w:b w:val="0"/>
                <w:szCs w:val="24"/>
                <w:lang w:val="en-US"/>
              </w:rPr>
            </w:pPr>
            <w:r w:rsidRPr="009974CB">
              <w:rPr>
                <w:b w:val="0"/>
                <w:szCs w:val="24"/>
                <w:lang w:val="en-US"/>
              </w:rPr>
              <w:t>where we can (have) influence through strategic use of positions of strength, expertise and experience, and</w:t>
            </w:r>
          </w:p>
          <w:p w:rsidR="00515566" w:rsidRPr="009974CB" w:rsidRDefault="00515566" w:rsidP="00724062">
            <w:pPr>
              <w:numPr>
                <w:ilvl w:val="0"/>
                <w:numId w:val="35"/>
              </w:numPr>
              <w:contextualSpacing/>
              <w:rPr>
                <w:b w:val="0"/>
                <w:szCs w:val="24"/>
                <w:lang w:val="en-US"/>
              </w:rPr>
            </w:pPr>
            <w:r w:rsidRPr="009974CB">
              <w:rPr>
                <w:b w:val="0"/>
                <w:szCs w:val="24"/>
                <w:lang w:val="en-US"/>
              </w:rPr>
              <w:t>where we see that Denmark can play a role through active partnerships for a common aim/agenda or see the need for Denmark to take lead in pushing an agenda forward.</w:t>
            </w:r>
          </w:p>
        </w:tc>
        <w:tc>
          <w:tcPr>
            <w:tcW w:w="4702" w:type="dxa"/>
          </w:tcPr>
          <w:p w:rsidR="00515566" w:rsidRPr="009974CB" w:rsidRDefault="00515566" w:rsidP="00515566">
            <w:pPr>
              <w:numPr>
                <w:ilvl w:val="0"/>
                <w:numId w:val="35"/>
              </w:numPr>
              <w:contextualSpacing/>
              <w:cnfStyle w:val="000000000000" w:firstRow="0" w:lastRow="0" w:firstColumn="0" w:lastColumn="0" w:oddVBand="0" w:evenVBand="0" w:oddHBand="0" w:evenHBand="0" w:firstRowFirstColumn="0" w:firstRowLastColumn="0" w:lastRowFirstColumn="0" w:lastRowLastColumn="0"/>
              <w:rPr>
                <w:b/>
                <w:szCs w:val="24"/>
                <w:lang w:val="en-US"/>
              </w:rPr>
            </w:pPr>
          </w:p>
        </w:tc>
      </w:tr>
      <w:tr w:rsidR="00515566" w:rsidRPr="009974CB" w:rsidTr="00120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tcPr>
          <w:p w:rsidR="00515566" w:rsidRPr="009974CB" w:rsidRDefault="00515566" w:rsidP="00515566">
            <w:pPr>
              <w:numPr>
                <w:ilvl w:val="0"/>
                <w:numId w:val="35"/>
              </w:numPr>
              <w:contextualSpacing/>
              <w:rPr>
                <w:b w:val="0"/>
                <w:szCs w:val="24"/>
                <w:lang w:val="en-US"/>
              </w:rPr>
            </w:pPr>
            <w:r w:rsidRPr="009974CB">
              <w:rPr>
                <w:b w:val="0"/>
                <w:szCs w:val="24"/>
                <w:lang w:val="en-US"/>
              </w:rPr>
              <w:t>Brief mapping of areas where there is potential for increased commercial engagement, trade relations and investment as well as involvement of Danish local and central authorities, civil society organisations and academia.</w:t>
            </w:r>
          </w:p>
        </w:tc>
        <w:tc>
          <w:tcPr>
            <w:tcW w:w="4702" w:type="dxa"/>
          </w:tcPr>
          <w:p w:rsidR="00515566" w:rsidRPr="009974CB" w:rsidRDefault="00515566" w:rsidP="00515566">
            <w:pPr>
              <w:numPr>
                <w:ilvl w:val="0"/>
                <w:numId w:val="35"/>
              </w:numPr>
              <w:contextualSpacing/>
              <w:cnfStyle w:val="000000100000" w:firstRow="0" w:lastRow="0" w:firstColumn="0" w:lastColumn="0" w:oddVBand="0" w:evenVBand="0" w:oddHBand="1" w:evenHBand="0" w:firstRowFirstColumn="0" w:firstRowLastColumn="0" w:lastRowFirstColumn="0" w:lastRowLastColumn="0"/>
              <w:rPr>
                <w:b/>
                <w:szCs w:val="24"/>
                <w:lang w:val="en-US"/>
              </w:rPr>
            </w:pPr>
          </w:p>
        </w:tc>
      </w:tr>
      <w:tr w:rsidR="00515566" w:rsidRPr="009974CB" w:rsidTr="00120ED4">
        <w:tc>
          <w:tcPr>
            <w:cnfStyle w:val="001000000000" w:firstRow="0" w:lastRow="0" w:firstColumn="1" w:lastColumn="0" w:oddVBand="0" w:evenVBand="0" w:oddHBand="0" w:evenHBand="0" w:firstRowFirstColumn="0" w:firstRowLastColumn="0" w:lastRowFirstColumn="0" w:lastRowLastColumn="0"/>
            <w:tcW w:w="4927" w:type="dxa"/>
          </w:tcPr>
          <w:p w:rsidR="00515566" w:rsidRPr="009974CB" w:rsidRDefault="00515566" w:rsidP="00515566">
            <w:pPr>
              <w:numPr>
                <w:ilvl w:val="0"/>
                <w:numId w:val="35"/>
              </w:numPr>
              <w:contextualSpacing/>
              <w:rPr>
                <w:b w:val="0"/>
                <w:szCs w:val="24"/>
                <w:lang w:val="en-US"/>
              </w:rPr>
            </w:pPr>
            <w:r w:rsidRPr="009974CB">
              <w:rPr>
                <w:b w:val="0"/>
                <w:szCs w:val="24"/>
                <w:lang w:val="en-US"/>
              </w:rPr>
              <w:t>Assessment of the donor landscape and coordination, and opportunities for Denmark to deliver results through partners including through multilaterals and EU;</w:t>
            </w:r>
          </w:p>
        </w:tc>
        <w:tc>
          <w:tcPr>
            <w:tcW w:w="4702" w:type="dxa"/>
          </w:tcPr>
          <w:p w:rsidR="00515566" w:rsidRPr="009974CB" w:rsidRDefault="00515566" w:rsidP="00515566">
            <w:pPr>
              <w:numPr>
                <w:ilvl w:val="0"/>
                <w:numId w:val="35"/>
              </w:numPr>
              <w:contextualSpacing/>
              <w:cnfStyle w:val="000000000000" w:firstRow="0" w:lastRow="0" w:firstColumn="0" w:lastColumn="0" w:oddVBand="0" w:evenVBand="0" w:oddHBand="0" w:evenHBand="0" w:firstRowFirstColumn="0" w:firstRowLastColumn="0" w:lastRowFirstColumn="0" w:lastRowLastColumn="0"/>
              <w:rPr>
                <w:b/>
                <w:szCs w:val="24"/>
                <w:lang w:val="en-US"/>
              </w:rPr>
            </w:pPr>
            <w:r w:rsidRPr="009974CB">
              <w:rPr>
                <w:b/>
                <w:bCs/>
                <w:szCs w:val="24"/>
                <w:lang w:val="en-US"/>
              </w:rPr>
              <w:tab/>
            </w:r>
          </w:p>
        </w:tc>
      </w:tr>
      <w:tr w:rsidR="00515566" w:rsidRPr="009974CB" w:rsidTr="00120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gridSpan w:val="2"/>
          </w:tcPr>
          <w:p w:rsidR="00515566" w:rsidRDefault="00515566" w:rsidP="00B11BDA">
            <w:pPr>
              <w:rPr>
                <w:i/>
                <w:szCs w:val="24"/>
                <w:lang w:val="en-US"/>
              </w:rPr>
            </w:pPr>
            <w:r w:rsidRPr="00C444DE">
              <w:rPr>
                <w:i/>
                <w:szCs w:val="24"/>
                <w:lang w:val="en-US"/>
              </w:rPr>
              <w:t xml:space="preserve">List the key documentation and sources used for the analysis: </w:t>
            </w:r>
          </w:p>
          <w:p w:rsidR="00515566" w:rsidRPr="00654B4F" w:rsidRDefault="00515566" w:rsidP="00B11BDA">
            <w:pPr>
              <w:rPr>
                <w:szCs w:val="24"/>
                <w:lang w:val="en-US"/>
              </w:rPr>
            </w:pPr>
          </w:p>
        </w:tc>
      </w:tr>
      <w:tr w:rsidR="00515566" w:rsidRPr="009974CB" w:rsidTr="00120ED4">
        <w:tc>
          <w:tcPr>
            <w:cnfStyle w:val="001000000000" w:firstRow="0" w:lastRow="0" w:firstColumn="1" w:lastColumn="0" w:oddVBand="0" w:evenVBand="0" w:oddHBand="0" w:evenHBand="0" w:firstRowFirstColumn="0" w:firstRowLastColumn="0" w:lastRowFirstColumn="0" w:lastRowLastColumn="0"/>
            <w:tcW w:w="9629" w:type="dxa"/>
            <w:gridSpan w:val="2"/>
          </w:tcPr>
          <w:p w:rsidR="00515566" w:rsidRPr="004B5856" w:rsidRDefault="00515566" w:rsidP="00B11BDA">
            <w:pPr>
              <w:rPr>
                <w:i/>
                <w:szCs w:val="24"/>
                <w:lang w:val="en-US"/>
              </w:rPr>
            </w:pPr>
            <w:r w:rsidRPr="004B5856">
              <w:rPr>
                <w:i/>
                <w:szCs w:val="24"/>
                <w:lang w:val="en-US"/>
              </w:rPr>
              <w:t xml:space="preserve">Are additional studies / analytic work needed? How and when will it be done? </w:t>
            </w:r>
          </w:p>
          <w:p w:rsidR="00515566" w:rsidRPr="004B5856" w:rsidRDefault="00515566" w:rsidP="00B11BDA">
            <w:pPr>
              <w:rPr>
                <w:sz w:val="18"/>
                <w:szCs w:val="18"/>
                <w:lang w:val="en-GB"/>
              </w:rPr>
            </w:pPr>
          </w:p>
          <w:p w:rsidR="00515566" w:rsidRPr="00654B4F" w:rsidRDefault="00515566" w:rsidP="00B11BDA">
            <w:pPr>
              <w:rPr>
                <w:szCs w:val="22"/>
                <w:lang w:val="en-GB"/>
              </w:rPr>
            </w:pPr>
            <w:r w:rsidRPr="004B5856">
              <w:rPr>
                <w:b w:val="0"/>
                <w:sz w:val="18"/>
                <w:szCs w:val="18"/>
                <w:lang w:val="en-GB"/>
              </w:rPr>
              <w:t>List additional studies that will be carried out as part of the preparation phase, including studies that will be carried out jointly with others or by partners / other donors.</w:t>
            </w:r>
          </w:p>
        </w:tc>
      </w:tr>
      <w:bookmarkEnd w:id="1"/>
    </w:tbl>
    <w:p w:rsidR="00515566" w:rsidRDefault="00515566" w:rsidP="00515566">
      <w:pPr>
        <w:jc w:val="both"/>
        <w:rPr>
          <w:szCs w:val="24"/>
        </w:rPr>
      </w:pPr>
    </w:p>
    <w:tbl>
      <w:tblPr>
        <w:tblStyle w:val="Lysliste-farve1"/>
        <w:tblW w:w="9629" w:type="dxa"/>
        <w:tblLayout w:type="fixed"/>
        <w:tblLook w:val="04A0" w:firstRow="1" w:lastRow="0" w:firstColumn="1" w:lastColumn="0" w:noHBand="0" w:noVBand="1"/>
      </w:tblPr>
      <w:tblGrid>
        <w:gridCol w:w="9629"/>
      </w:tblGrid>
      <w:tr w:rsidR="00120ED4" w:rsidRPr="009974CB" w:rsidTr="00540D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shd w:val="clear" w:color="auto" w:fill="548DD4" w:themeFill="text2" w:themeFillTint="99"/>
          </w:tcPr>
          <w:p w:rsidR="00120ED4" w:rsidRPr="00D503DC" w:rsidRDefault="00120ED4" w:rsidP="00540D65">
            <w:pPr>
              <w:pStyle w:val="Listeafsnit"/>
              <w:numPr>
                <w:ilvl w:val="0"/>
                <w:numId w:val="34"/>
              </w:numPr>
              <w:rPr>
                <w:rFonts w:ascii="Garamond" w:hAnsi="Garamond"/>
                <w:sz w:val="24"/>
                <w:szCs w:val="24"/>
                <w:lang w:val="en-US"/>
              </w:rPr>
            </w:pPr>
            <w:r w:rsidRPr="00D503DC">
              <w:rPr>
                <w:lang w:val="en-US"/>
              </w:rPr>
              <w:br w:type="page"/>
            </w:r>
            <w:r>
              <w:rPr>
                <w:rFonts w:ascii="Garamond" w:hAnsi="Garamond"/>
                <w:sz w:val="24"/>
                <w:szCs w:val="24"/>
                <w:lang w:val="en-US"/>
              </w:rPr>
              <w:t>Stakeholder analysis</w:t>
            </w:r>
          </w:p>
          <w:p w:rsidR="00120ED4" w:rsidRPr="00654B4F" w:rsidRDefault="00120ED4" w:rsidP="00540D65">
            <w:pPr>
              <w:rPr>
                <w:szCs w:val="22"/>
                <w:lang w:val="en-GB"/>
              </w:rPr>
            </w:pPr>
          </w:p>
        </w:tc>
      </w:tr>
      <w:tr w:rsidR="00120ED4" w:rsidRPr="009974CB" w:rsidTr="00540D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120ED4" w:rsidRPr="00654B4F" w:rsidRDefault="00120ED4" w:rsidP="00540D65">
            <w:pPr>
              <w:rPr>
                <w:szCs w:val="24"/>
                <w:lang w:val="en-GB"/>
              </w:rPr>
            </w:pPr>
            <w:r w:rsidRPr="005677F7">
              <w:rPr>
                <w:i/>
                <w:szCs w:val="24"/>
                <w:lang w:val="en-US"/>
              </w:rPr>
              <w:lastRenderedPageBreak/>
              <w:t>Briefly summarise the key conclusions and implications for</w:t>
            </w:r>
            <w:r>
              <w:rPr>
                <w:i/>
                <w:szCs w:val="24"/>
                <w:lang w:val="en-US"/>
              </w:rPr>
              <w:t xml:space="preserve"> the</w:t>
            </w:r>
            <w:r w:rsidRPr="005677F7">
              <w:rPr>
                <w:i/>
                <w:szCs w:val="24"/>
                <w:lang w:val="en-US"/>
              </w:rPr>
              <w:t xml:space="preserve"> programme of the analysis of the below points:</w:t>
            </w:r>
          </w:p>
        </w:tc>
      </w:tr>
      <w:tr w:rsidR="00120ED4" w:rsidRPr="009974CB" w:rsidTr="00540D65">
        <w:tc>
          <w:tcPr>
            <w:cnfStyle w:val="001000000000" w:firstRow="0" w:lastRow="0" w:firstColumn="1" w:lastColumn="0" w:oddVBand="0" w:evenVBand="0" w:oddHBand="0" w:evenHBand="0" w:firstRowFirstColumn="0" w:firstRowLastColumn="0" w:lastRowFirstColumn="0" w:lastRowLastColumn="0"/>
            <w:tcW w:w="9629" w:type="dxa"/>
          </w:tcPr>
          <w:p w:rsidR="00120ED4" w:rsidRPr="004375F6" w:rsidRDefault="00120ED4" w:rsidP="00540D65">
            <w:pPr>
              <w:numPr>
                <w:ilvl w:val="0"/>
                <w:numId w:val="35"/>
              </w:numPr>
              <w:contextualSpacing/>
              <w:rPr>
                <w:b w:val="0"/>
                <w:szCs w:val="24"/>
                <w:lang w:val="en-US"/>
              </w:rPr>
            </w:pPr>
            <w:r>
              <w:rPr>
                <w:b w:val="0"/>
                <w:szCs w:val="24"/>
                <w:lang w:val="en-US"/>
              </w:rPr>
              <w:t>Who are the stakeholders that may be interested in or affected by the program, including donors?</w:t>
            </w:r>
          </w:p>
        </w:tc>
      </w:tr>
      <w:tr w:rsidR="00120ED4" w:rsidRPr="009974CB" w:rsidTr="00540D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120ED4" w:rsidRPr="009974CB" w:rsidRDefault="00120ED4" w:rsidP="00540D65">
            <w:pPr>
              <w:numPr>
                <w:ilvl w:val="0"/>
                <w:numId w:val="35"/>
              </w:numPr>
              <w:contextualSpacing/>
              <w:rPr>
                <w:b w:val="0"/>
                <w:szCs w:val="24"/>
                <w:lang w:val="en-US"/>
              </w:rPr>
            </w:pPr>
            <w:r>
              <w:rPr>
                <w:b w:val="0"/>
                <w:szCs w:val="24"/>
                <w:lang w:val="en-GB"/>
              </w:rPr>
              <w:t xml:space="preserve">Who are the </w:t>
            </w:r>
            <w:r w:rsidRPr="0070296C">
              <w:rPr>
                <w:szCs w:val="24"/>
                <w:lang w:val="en-GB"/>
              </w:rPr>
              <w:t>key</w:t>
            </w:r>
            <w:r>
              <w:rPr>
                <w:b w:val="0"/>
                <w:szCs w:val="24"/>
                <w:lang w:val="en-GB"/>
              </w:rPr>
              <w:t xml:space="preserve"> stakeholders and what are their main interests, capacity and contributions?</w:t>
            </w:r>
          </w:p>
        </w:tc>
      </w:tr>
      <w:tr w:rsidR="00120ED4" w:rsidRPr="009974CB" w:rsidTr="00540D65">
        <w:tc>
          <w:tcPr>
            <w:cnfStyle w:val="001000000000" w:firstRow="0" w:lastRow="0" w:firstColumn="1" w:lastColumn="0" w:oddVBand="0" w:evenVBand="0" w:oddHBand="0" w:evenHBand="0" w:firstRowFirstColumn="0" w:firstRowLastColumn="0" w:lastRowFirstColumn="0" w:lastRowLastColumn="0"/>
            <w:tcW w:w="9629" w:type="dxa"/>
          </w:tcPr>
          <w:p w:rsidR="00120ED4" w:rsidRPr="00EB1B39" w:rsidRDefault="00120ED4" w:rsidP="00540D65">
            <w:pPr>
              <w:numPr>
                <w:ilvl w:val="0"/>
                <w:numId w:val="35"/>
              </w:numPr>
              <w:contextualSpacing/>
              <w:rPr>
                <w:b w:val="0"/>
                <w:szCs w:val="24"/>
                <w:lang w:val="en-US"/>
              </w:rPr>
            </w:pPr>
            <w:r>
              <w:rPr>
                <w:b w:val="0"/>
                <w:szCs w:val="24"/>
                <w:lang w:val="en-US"/>
              </w:rPr>
              <w:t xml:space="preserve">How do the stakeholders (in this programme context) communicate, coordinate, and cooperate? </w:t>
            </w:r>
          </w:p>
        </w:tc>
      </w:tr>
      <w:tr w:rsidR="00120ED4" w:rsidRPr="009974CB" w:rsidTr="00540D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120ED4" w:rsidRPr="0070296C" w:rsidRDefault="00120ED4" w:rsidP="00540D65">
            <w:pPr>
              <w:numPr>
                <w:ilvl w:val="0"/>
                <w:numId w:val="35"/>
              </w:numPr>
              <w:contextualSpacing/>
              <w:rPr>
                <w:b w:val="0"/>
                <w:szCs w:val="24"/>
                <w:lang w:val="en-US"/>
              </w:rPr>
            </w:pPr>
            <w:r w:rsidRPr="0070296C">
              <w:rPr>
                <w:b w:val="0"/>
                <w:szCs w:val="24"/>
                <w:lang w:val="en-US"/>
              </w:rPr>
              <w:t>Who is the lead stakeholder</w:t>
            </w:r>
            <w:r>
              <w:rPr>
                <w:b w:val="0"/>
                <w:szCs w:val="24"/>
                <w:lang w:val="en-US"/>
              </w:rPr>
              <w:t xml:space="preserve"> and is it a homogenous group or are there divisions within the group?</w:t>
            </w:r>
          </w:p>
        </w:tc>
      </w:tr>
      <w:tr w:rsidR="00120ED4" w:rsidRPr="009974CB" w:rsidTr="00540D65">
        <w:tc>
          <w:tcPr>
            <w:cnfStyle w:val="001000000000" w:firstRow="0" w:lastRow="0" w:firstColumn="1" w:lastColumn="0" w:oddVBand="0" w:evenVBand="0" w:oddHBand="0" w:evenHBand="0" w:firstRowFirstColumn="0" w:firstRowLastColumn="0" w:lastRowFirstColumn="0" w:lastRowLastColumn="0"/>
            <w:tcW w:w="9629" w:type="dxa"/>
          </w:tcPr>
          <w:p w:rsidR="00120ED4" w:rsidRPr="009974CB" w:rsidRDefault="00120ED4" w:rsidP="00540D65">
            <w:pPr>
              <w:numPr>
                <w:ilvl w:val="0"/>
                <w:numId w:val="35"/>
              </w:numPr>
              <w:contextualSpacing/>
              <w:rPr>
                <w:b w:val="0"/>
                <w:szCs w:val="24"/>
                <w:lang w:val="en-US"/>
              </w:rPr>
            </w:pPr>
            <w:r>
              <w:rPr>
                <w:b w:val="0"/>
                <w:szCs w:val="24"/>
                <w:lang w:val="en-GB"/>
              </w:rPr>
              <w:t>How have key stakeholders been involved during the preparation and formulation process?</w:t>
            </w:r>
          </w:p>
        </w:tc>
      </w:tr>
      <w:tr w:rsidR="00120ED4" w:rsidRPr="008D5791" w:rsidTr="00540D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120ED4" w:rsidRPr="008D5791" w:rsidRDefault="00120ED4" w:rsidP="00540D65">
            <w:pPr>
              <w:pStyle w:val="Listeafsnit"/>
              <w:numPr>
                <w:ilvl w:val="0"/>
                <w:numId w:val="35"/>
              </w:numPr>
              <w:rPr>
                <w:rFonts w:ascii="Garamond" w:hAnsi="Garamond"/>
                <w:i/>
                <w:sz w:val="24"/>
                <w:szCs w:val="24"/>
                <w:lang w:val="en-US"/>
              </w:rPr>
            </w:pPr>
            <w:r w:rsidRPr="008D5791">
              <w:rPr>
                <w:rFonts w:ascii="Garamond" w:hAnsi="Garamond"/>
                <w:b w:val="0"/>
                <w:sz w:val="24"/>
                <w:szCs w:val="24"/>
                <w:lang w:val="en-GB"/>
              </w:rPr>
              <w:t>W</w:t>
            </w:r>
            <w:r>
              <w:rPr>
                <w:rFonts w:ascii="Garamond" w:hAnsi="Garamond"/>
                <w:b w:val="0"/>
                <w:sz w:val="24"/>
                <w:szCs w:val="24"/>
                <w:lang w:val="en-GB"/>
              </w:rPr>
              <w:t>hich stakeholders are likely to support the programme and who, if any, are likely to hinder the program? (Who stands to gain and who stands to loose?)</w:t>
            </w:r>
          </w:p>
        </w:tc>
      </w:tr>
      <w:tr w:rsidR="00120ED4" w:rsidRPr="001201EF" w:rsidTr="00540D65">
        <w:tc>
          <w:tcPr>
            <w:cnfStyle w:val="001000000000" w:firstRow="0" w:lastRow="0" w:firstColumn="1" w:lastColumn="0" w:oddVBand="0" w:evenVBand="0" w:oddHBand="0" w:evenHBand="0" w:firstRowFirstColumn="0" w:firstRowLastColumn="0" w:lastRowFirstColumn="0" w:lastRowLastColumn="0"/>
            <w:tcW w:w="9629" w:type="dxa"/>
          </w:tcPr>
          <w:p w:rsidR="00120ED4" w:rsidRPr="008D5791" w:rsidRDefault="00120ED4" w:rsidP="00540D65">
            <w:pPr>
              <w:pStyle w:val="Listeafsnit"/>
              <w:numPr>
                <w:ilvl w:val="0"/>
                <w:numId w:val="35"/>
              </w:numPr>
              <w:rPr>
                <w:rFonts w:ascii="Garamond" w:hAnsi="Garamond"/>
                <w:i/>
                <w:sz w:val="24"/>
                <w:szCs w:val="24"/>
                <w:lang w:val="en-US"/>
              </w:rPr>
            </w:pPr>
            <w:r>
              <w:rPr>
                <w:rFonts w:ascii="Garamond" w:hAnsi="Garamond"/>
                <w:b w:val="0"/>
                <w:sz w:val="24"/>
                <w:szCs w:val="24"/>
                <w:lang w:val="en-GB"/>
              </w:rPr>
              <w:t xml:space="preserve">What are potential strategies (approaches, methods, etc.) for engaging key stakeholders? </w:t>
            </w:r>
          </w:p>
        </w:tc>
      </w:tr>
      <w:tr w:rsidR="00120ED4" w:rsidRPr="008D5791" w:rsidTr="00540D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120ED4" w:rsidRPr="008D5791" w:rsidRDefault="00120ED4" w:rsidP="00540D65">
            <w:pPr>
              <w:pStyle w:val="Listeafsnit"/>
              <w:numPr>
                <w:ilvl w:val="0"/>
                <w:numId w:val="35"/>
              </w:numPr>
              <w:rPr>
                <w:rFonts w:ascii="Garamond" w:hAnsi="Garamond"/>
                <w:i/>
                <w:sz w:val="24"/>
                <w:szCs w:val="24"/>
                <w:lang w:val="en-US"/>
              </w:rPr>
            </w:pPr>
            <w:r>
              <w:rPr>
                <w:rFonts w:ascii="Garamond" w:hAnsi="Garamond"/>
                <w:b w:val="0"/>
                <w:sz w:val="24"/>
                <w:szCs w:val="24"/>
                <w:lang w:val="en-US"/>
              </w:rPr>
              <w:t xml:space="preserve">Which stakeholders offer the best overall prospects in terms of possible partnerships and why?  </w:t>
            </w:r>
          </w:p>
        </w:tc>
      </w:tr>
      <w:tr w:rsidR="00120ED4" w:rsidRPr="009974CB" w:rsidTr="00540D65">
        <w:tc>
          <w:tcPr>
            <w:cnfStyle w:val="001000000000" w:firstRow="0" w:lastRow="0" w:firstColumn="1" w:lastColumn="0" w:oddVBand="0" w:evenVBand="0" w:oddHBand="0" w:evenHBand="0" w:firstRowFirstColumn="0" w:firstRowLastColumn="0" w:lastRowFirstColumn="0" w:lastRowLastColumn="0"/>
            <w:tcW w:w="9629" w:type="dxa"/>
          </w:tcPr>
          <w:p w:rsidR="00120ED4" w:rsidRPr="00654B4F" w:rsidRDefault="00120ED4" w:rsidP="00540D65">
            <w:pPr>
              <w:spacing w:after="200" w:line="276" w:lineRule="auto"/>
              <w:rPr>
                <w:bCs w:val="0"/>
                <w:i/>
                <w:szCs w:val="24"/>
                <w:lang w:val="en-GB"/>
              </w:rPr>
            </w:pPr>
            <w:r w:rsidRPr="005677F7">
              <w:rPr>
                <w:bCs w:val="0"/>
                <w:i/>
                <w:szCs w:val="24"/>
                <w:lang w:val="en-GB"/>
              </w:rPr>
              <w:t>List the key documentation and sources used for the analysis</w:t>
            </w:r>
            <w:r>
              <w:rPr>
                <w:bCs w:val="0"/>
                <w:i/>
                <w:szCs w:val="24"/>
                <w:lang w:val="en-GB"/>
              </w:rPr>
              <w:t>:</w:t>
            </w:r>
          </w:p>
          <w:p w:rsidR="00120ED4" w:rsidRPr="00654B4F" w:rsidRDefault="00120ED4" w:rsidP="00540D65">
            <w:pPr>
              <w:rPr>
                <w:sz w:val="18"/>
                <w:szCs w:val="18"/>
                <w:highlight w:val="yellow"/>
                <w:lang w:val="en-GB"/>
              </w:rPr>
            </w:pPr>
            <w:r w:rsidRPr="002564B6">
              <w:rPr>
                <w:sz w:val="18"/>
                <w:szCs w:val="18"/>
                <w:lang w:val="en-GB"/>
              </w:rPr>
              <w:t xml:space="preserve">Relevant references and guidance may include:  </w:t>
            </w:r>
          </w:p>
          <w:p w:rsidR="00120ED4" w:rsidRDefault="00120ED4" w:rsidP="00540D65">
            <w:pPr>
              <w:rPr>
                <w:lang w:val="en-GB"/>
              </w:rPr>
            </w:pPr>
            <w:r>
              <w:rPr>
                <w:lang w:val="en-GB"/>
              </w:rPr>
              <w:t>Joint EU programming documents; sector studies and analyses, national aid management coordination documents, etc.</w:t>
            </w:r>
          </w:p>
          <w:p w:rsidR="00120ED4" w:rsidRPr="004B5856" w:rsidRDefault="00120ED4" w:rsidP="00540D65">
            <w:pPr>
              <w:rPr>
                <w:lang w:val="en-GB"/>
              </w:rPr>
            </w:pPr>
            <w:r>
              <w:rPr>
                <w:lang w:val="en-GB"/>
              </w:rPr>
              <w:t xml:space="preserve">     </w:t>
            </w:r>
            <w:r w:rsidRPr="002564B6">
              <w:rPr>
                <w:lang w:val="en-GB"/>
              </w:rPr>
              <w:tab/>
            </w:r>
          </w:p>
        </w:tc>
      </w:tr>
      <w:tr w:rsidR="00120ED4" w:rsidRPr="009974CB" w:rsidTr="00540D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rsidR="00120ED4" w:rsidRPr="00654B4F" w:rsidRDefault="00120ED4" w:rsidP="00540D65">
            <w:pPr>
              <w:rPr>
                <w:i/>
                <w:szCs w:val="24"/>
                <w:lang w:val="en-US"/>
              </w:rPr>
            </w:pPr>
            <w:r w:rsidRPr="00654B4F">
              <w:rPr>
                <w:i/>
                <w:szCs w:val="24"/>
                <w:lang w:val="en-US"/>
              </w:rPr>
              <w:t xml:space="preserve">Are additional studies / analytic work needed? How and when will it be done? </w:t>
            </w:r>
          </w:p>
          <w:p w:rsidR="00120ED4" w:rsidRDefault="00120ED4" w:rsidP="00540D65">
            <w:pPr>
              <w:rPr>
                <w:sz w:val="18"/>
                <w:szCs w:val="18"/>
                <w:lang w:val="en-GB"/>
              </w:rPr>
            </w:pPr>
          </w:p>
          <w:p w:rsidR="00120ED4" w:rsidRPr="00654B4F" w:rsidRDefault="00120ED4" w:rsidP="00540D65">
            <w:pPr>
              <w:rPr>
                <w:szCs w:val="24"/>
                <w:lang w:val="en-GB"/>
              </w:rPr>
            </w:pPr>
            <w:r w:rsidRPr="002564B6">
              <w:rPr>
                <w:b w:val="0"/>
                <w:sz w:val="18"/>
                <w:szCs w:val="18"/>
                <w:lang w:val="en-GB"/>
              </w:rPr>
              <w:t>List additional studies that will be carried out as part of the preparation phase, including studies that will be carried out jointly with others or by partners / other donors.</w:t>
            </w:r>
          </w:p>
        </w:tc>
      </w:tr>
    </w:tbl>
    <w:p w:rsidR="00120ED4" w:rsidRPr="00D503DC" w:rsidRDefault="00120ED4" w:rsidP="00515566">
      <w:pPr>
        <w:jc w:val="both"/>
        <w:rPr>
          <w:szCs w:val="24"/>
        </w:rPr>
      </w:pPr>
    </w:p>
    <w:sectPr w:rsidR="00120ED4" w:rsidRPr="00D503DC" w:rsidSect="00C11CB1">
      <w:footerReference w:type="default" r:id="rId24"/>
      <w:pgSz w:w="11906" w:h="16838"/>
      <w:pgMar w:top="1701" w:right="1134" w:bottom="1418" w:left="1134"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B00" w:rsidRDefault="00630B00" w:rsidP="00FA5BFC">
      <w:pPr>
        <w:spacing w:after="0" w:line="240" w:lineRule="auto"/>
      </w:pPr>
      <w:r>
        <w:separator/>
      </w:r>
    </w:p>
  </w:endnote>
  <w:endnote w:type="continuationSeparator" w:id="0">
    <w:p w:rsidR="00630B00" w:rsidRDefault="00630B00" w:rsidP="00FA5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etaNormal-Roman">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5545928"/>
      <w:docPartObj>
        <w:docPartGallery w:val="Page Numbers (Bottom of Page)"/>
        <w:docPartUnique/>
      </w:docPartObj>
    </w:sdtPr>
    <w:sdtEndPr/>
    <w:sdtContent>
      <w:p w:rsidR="00A10496" w:rsidRDefault="00A10496">
        <w:pPr>
          <w:pStyle w:val="Sidefod"/>
          <w:jc w:val="right"/>
        </w:pPr>
        <w:r>
          <w:fldChar w:fldCharType="begin"/>
        </w:r>
        <w:r>
          <w:instrText>PAGE   \* MERGEFORMAT</w:instrText>
        </w:r>
        <w:r>
          <w:fldChar w:fldCharType="separate"/>
        </w:r>
        <w:r w:rsidR="006D0F28" w:rsidRPr="006D0F28">
          <w:rPr>
            <w:noProof/>
            <w:lang w:val="da-DK"/>
          </w:rPr>
          <w:t>1</w:t>
        </w:r>
        <w:r>
          <w:fldChar w:fldCharType="end"/>
        </w:r>
      </w:p>
    </w:sdtContent>
  </w:sdt>
  <w:p w:rsidR="00A10496" w:rsidRDefault="00A1049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B00" w:rsidRDefault="00630B00" w:rsidP="00FA5BFC">
      <w:pPr>
        <w:spacing w:after="0" w:line="240" w:lineRule="auto"/>
      </w:pPr>
      <w:r>
        <w:separator/>
      </w:r>
    </w:p>
  </w:footnote>
  <w:footnote w:type="continuationSeparator" w:id="0">
    <w:p w:rsidR="00630B00" w:rsidRDefault="00630B00" w:rsidP="00FA5BFC">
      <w:pPr>
        <w:spacing w:after="0" w:line="240" w:lineRule="auto"/>
      </w:pPr>
      <w:r>
        <w:continuationSeparator/>
      </w:r>
    </w:p>
  </w:footnote>
  <w:footnote w:id="1">
    <w:p w:rsidR="0055611F" w:rsidRPr="00322943" w:rsidRDefault="0055611F" w:rsidP="0055611F">
      <w:pPr>
        <w:pStyle w:val="Fodnotetekst"/>
      </w:pPr>
      <w:r>
        <w:rPr>
          <w:rStyle w:val="Fodnotehenvisning"/>
        </w:rPr>
        <w:footnoteRef/>
      </w:r>
      <w:r w:rsidRPr="00322943">
        <w:t xml:space="preserve"> The purpose of the analysis is to facilitate and strengthen the application of the Human Rights Based Approach, and integrate gender in Danish development cooperation. </w:t>
      </w:r>
      <w:r>
        <w:t>The analysis should identify the main human rights issues in respect of social and economic rights, cultural rights, and civil and political rights. Gender is an integral part of all three categories.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0A1E"/>
    <w:multiLevelType w:val="hybridMultilevel"/>
    <w:tmpl w:val="A628CB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19267B5"/>
    <w:multiLevelType w:val="hybridMultilevel"/>
    <w:tmpl w:val="C2C236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D885CED"/>
    <w:multiLevelType w:val="hybridMultilevel"/>
    <w:tmpl w:val="CE68FA94"/>
    <w:lvl w:ilvl="0" w:tplc="8CFE4F90">
      <w:numFmt w:val="bullet"/>
      <w:lvlText w:val="-"/>
      <w:lvlJc w:val="left"/>
      <w:pPr>
        <w:ind w:left="36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02801AF"/>
    <w:multiLevelType w:val="hybridMultilevel"/>
    <w:tmpl w:val="6B1204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A514A0F"/>
    <w:multiLevelType w:val="hybridMultilevel"/>
    <w:tmpl w:val="ED8499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E555620"/>
    <w:multiLevelType w:val="hybridMultilevel"/>
    <w:tmpl w:val="265C034C"/>
    <w:lvl w:ilvl="0" w:tplc="949E039C">
      <w:numFmt w:val="bullet"/>
      <w:lvlText w:val="-"/>
      <w:lvlJc w:val="left"/>
      <w:pPr>
        <w:ind w:left="360" w:hanging="360"/>
      </w:pPr>
      <w:rPr>
        <w:rFonts w:ascii="Garamond" w:eastAsiaTheme="minorHAnsi" w:hAnsi="Garamond" w:cstheme="minorBid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215E5856"/>
    <w:multiLevelType w:val="hybridMultilevel"/>
    <w:tmpl w:val="37ECDB10"/>
    <w:lvl w:ilvl="0" w:tplc="71E6DF7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E9217E"/>
    <w:multiLevelType w:val="hybridMultilevel"/>
    <w:tmpl w:val="10BC7C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1F90C08"/>
    <w:multiLevelType w:val="hybridMultilevel"/>
    <w:tmpl w:val="964451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620445"/>
    <w:multiLevelType w:val="hybridMultilevel"/>
    <w:tmpl w:val="01FEB45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2B99523C"/>
    <w:multiLevelType w:val="hybridMultilevel"/>
    <w:tmpl w:val="5E9AA154"/>
    <w:lvl w:ilvl="0" w:tplc="E430BD08">
      <w:start w:val="5"/>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D3743A8"/>
    <w:multiLevelType w:val="hybridMultilevel"/>
    <w:tmpl w:val="69FEA00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319131C5"/>
    <w:multiLevelType w:val="hybridMultilevel"/>
    <w:tmpl w:val="FAA2C994"/>
    <w:lvl w:ilvl="0" w:tplc="04060001">
      <w:start w:val="1"/>
      <w:numFmt w:val="bullet"/>
      <w:lvlText w:val=""/>
      <w:lvlJc w:val="left"/>
      <w:pPr>
        <w:ind w:left="766" w:hanging="360"/>
      </w:pPr>
      <w:rPr>
        <w:rFonts w:ascii="Symbol" w:hAnsi="Symbol" w:hint="default"/>
      </w:rPr>
    </w:lvl>
    <w:lvl w:ilvl="1" w:tplc="04060003" w:tentative="1">
      <w:start w:val="1"/>
      <w:numFmt w:val="bullet"/>
      <w:lvlText w:val="o"/>
      <w:lvlJc w:val="left"/>
      <w:pPr>
        <w:ind w:left="1486" w:hanging="360"/>
      </w:pPr>
      <w:rPr>
        <w:rFonts w:ascii="Courier New" w:hAnsi="Courier New" w:cs="Courier New" w:hint="default"/>
      </w:rPr>
    </w:lvl>
    <w:lvl w:ilvl="2" w:tplc="04060005" w:tentative="1">
      <w:start w:val="1"/>
      <w:numFmt w:val="bullet"/>
      <w:lvlText w:val=""/>
      <w:lvlJc w:val="left"/>
      <w:pPr>
        <w:ind w:left="2206" w:hanging="360"/>
      </w:pPr>
      <w:rPr>
        <w:rFonts w:ascii="Wingdings" w:hAnsi="Wingdings" w:hint="default"/>
      </w:rPr>
    </w:lvl>
    <w:lvl w:ilvl="3" w:tplc="04060001" w:tentative="1">
      <w:start w:val="1"/>
      <w:numFmt w:val="bullet"/>
      <w:lvlText w:val=""/>
      <w:lvlJc w:val="left"/>
      <w:pPr>
        <w:ind w:left="2926" w:hanging="360"/>
      </w:pPr>
      <w:rPr>
        <w:rFonts w:ascii="Symbol" w:hAnsi="Symbol" w:hint="default"/>
      </w:rPr>
    </w:lvl>
    <w:lvl w:ilvl="4" w:tplc="04060003" w:tentative="1">
      <w:start w:val="1"/>
      <w:numFmt w:val="bullet"/>
      <w:lvlText w:val="o"/>
      <w:lvlJc w:val="left"/>
      <w:pPr>
        <w:ind w:left="3646" w:hanging="360"/>
      </w:pPr>
      <w:rPr>
        <w:rFonts w:ascii="Courier New" w:hAnsi="Courier New" w:cs="Courier New" w:hint="default"/>
      </w:rPr>
    </w:lvl>
    <w:lvl w:ilvl="5" w:tplc="04060005" w:tentative="1">
      <w:start w:val="1"/>
      <w:numFmt w:val="bullet"/>
      <w:lvlText w:val=""/>
      <w:lvlJc w:val="left"/>
      <w:pPr>
        <w:ind w:left="4366" w:hanging="360"/>
      </w:pPr>
      <w:rPr>
        <w:rFonts w:ascii="Wingdings" w:hAnsi="Wingdings" w:hint="default"/>
      </w:rPr>
    </w:lvl>
    <w:lvl w:ilvl="6" w:tplc="04060001" w:tentative="1">
      <w:start w:val="1"/>
      <w:numFmt w:val="bullet"/>
      <w:lvlText w:val=""/>
      <w:lvlJc w:val="left"/>
      <w:pPr>
        <w:ind w:left="5086" w:hanging="360"/>
      </w:pPr>
      <w:rPr>
        <w:rFonts w:ascii="Symbol" w:hAnsi="Symbol" w:hint="default"/>
      </w:rPr>
    </w:lvl>
    <w:lvl w:ilvl="7" w:tplc="04060003" w:tentative="1">
      <w:start w:val="1"/>
      <w:numFmt w:val="bullet"/>
      <w:lvlText w:val="o"/>
      <w:lvlJc w:val="left"/>
      <w:pPr>
        <w:ind w:left="5806" w:hanging="360"/>
      </w:pPr>
      <w:rPr>
        <w:rFonts w:ascii="Courier New" w:hAnsi="Courier New" w:cs="Courier New" w:hint="default"/>
      </w:rPr>
    </w:lvl>
    <w:lvl w:ilvl="8" w:tplc="04060005" w:tentative="1">
      <w:start w:val="1"/>
      <w:numFmt w:val="bullet"/>
      <w:lvlText w:val=""/>
      <w:lvlJc w:val="left"/>
      <w:pPr>
        <w:ind w:left="6526" w:hanging="360"/>
      </w:pPr>
      <w:rPr>
        <w:rFonts w:ascii="Wingdings" w:hAnsi="Wingdings" w:hint="default"/>
      </w:rPr>
    </w:lvl>
  </w:abstractNum>
  <w:abstractNum w:abstractNumId="13" w15:restartNumberingAfterBreak="0">
    <w:nsid w:val="36DE0FC4"/>
    <w:multiLevelType w:val="hybridMultilevel"/>
    <w:tmpl w:val="1A64F6B2"/>
    <w:lvl w:ilvl="0" w:tplc="0464C8EA">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8D876B1"/>
    <w:multiLevelType w:val="hybridMultilevel"/>
    <w:tmpl w:val="55F620D8"/>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15" w15:restartNumberingAfterBreak="0">
    <w:nsid w:val="39907F2A"/>
    <w:multiLevelType w:val="hybridMultilevel"/>
    <w:tmpl w:val="4282EF58"/>
    <w:lvl w:ilvl="0" w:tplc="83B07D22">
      <w:start w:val="1"/>
      <w:numFmt w:val="decimal"/>
      <w:lvlText w:val="%1."/>
      <w:lvlJc w:val="left"/>
      <w:pPr>
        <w:ind w:left="720" w:hanging="360"/>
      </w:pPr>
      <w:rPr>
        <w:rFonts w:hint="default"/>
        <w:b w:val="0"/>
      </w:rPr>
    </w:lvl>
    <w:lvl w:ilvl="1" w:tplc="9624715E">
      <w:start w:val="1"/>
      <w:numFmt w:val="bullet"/>
      <w:lvlText w:val="-"/>
      <w:lvlJc w:val="left"/>
      <w:pPr>
        <w:ind w:left="1440" w:hanging="360"/>
      </w:pPr>
      <w:rPr>
        <w:rFonts w:ascii="Courier New" w:hAnsi="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06B0F14"/>
    <w:multiLevelType w:val="hybridMultilevel"/>
    <w:tmpl w:val="53E4D6D4"/>
    <w:lvl w:ilvl="0" w:tplc="2B7466E6">
      <w:numFmt w:val="bullet"/>
      <w:lvlText w:val="•"/>
      <w:lvlJc w:val="left"/>
      <w:pPr>
        <w:ind w:left="855" w:hanging="495"/>
      </w:pPr>
      <w:rPr>
        <w:rFonts w:ascii="Calibri" w:eastAsia="Calibr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6EF76C4"/>
    <w:multiLevelType w:val="hybridMultilevel"/>
    <w:tmpl w:val="4DD2020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47FE128C"/>
    <w:multiLevelType w:val="hybridMultilevel"/>
    <w:tmpl w:val="77C2C0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8965C8C"/>
    <w:multiLevelType w:val="hybridMultilevel"/>
    <w:tmpl w:val="57DE3250"/>
    <w:lvl w:ilvl="0" w:tplc="949E039C">
      <w:numFmt w:val="bullet"/>
      <w:lvlText w:val="-"/>
      <w:lvlJc w:val="left"/>
      <w:pPr>
        <w:ind w:left="360" w:hanging="360"/>
      </w:pPr>
      <w:rPr>
        <w:rFonts w:ascii="Garamond" w:eastAsiaTheme="minorHAnsi" w:hAnsi="Garamond"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A265DDF"/>
    <w:multiLevelType w:val="hybridMultilevel"/>
    <w:tmpl w:val="5E9AA154"/>
    <w:lvl w:ilvl="0" w:tplc="E430BD08">
      <w:start w:val="5"/>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4A62465B"/>
    <w:multiLevelType w:val="hybridMultilevel"/>
    <w:tmpl w:val="875A14A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2" w15:restartNumberingAfterBreak="0">
    <w:nsid w:val="4BBA6BEB"/>
    <w:multiLevelType w:val="hybridMultilevel"/>
    <w:tmpl w:val="B1A2326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560A7E60"/>
    <w:multiLevelType w:val="hybridMultilevel"/>
    <w:tmpl w:val="DDF6C9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6500304"/>
    <w:multiLevelType w:val="hybridMultilevel"/>
    <w:tmpl w:val="D90EAF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E5B1EC2"/>
    <w:multiLevelType w:val="hybridMultilevel"/>
    <w:tmpl w:val="D3002F32"/>
    <w:lvl w:ilvl="0" w:tplc="A8E4B9AE">
      <w:numFmt w:val="bullet"/>
      <w:lvlText w:val=""/>
      <w:lvlJc w:val="left"/>
      <w:pPr>
        <w:ind w:left="720" w:hanging="360"/>
      </w:pPr>
      <w:rPr>
        <w:rFonts w:ascii="Wingdings" w:eastAsiaTheme="minorHAnsi" w:hAnsi="Wingdings" w:cs="Wingdings" w:hint="default"/>
        <w:sz w:val="16"/>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0513FF4"/>
    <w:multiLevelType w:val="hybridMultilevel"/>
    <w:tmpl w:val="8558035A"/>
    <w:lvl w:ilvl="0" w:tplc="0406000B">
      <w:start w:val="1"/>
      <w:numFmt w:val="bullet"/>
      <w:lvlText w:val=""/>
      <w:lvlJc w:val="left"/>
      <w:pPr>
        <w:ind w:left="1440" w:hanging="360"/>
      </w:pPr>
      <w:rPr>
        <w:rFonts w:ascii="Wingdings" w:hAnsi="Wingding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7" w15:restartNumberingAfterBreak="0">
    <w:nsid w:val="60626A3B"/>
    <w:multiLevelType w:val="hybridMultilevel"/>
    <w:tmpl w:val="099AC74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8" w15:restartNumberingAfterBreak="0">
    <w:nsid w:val="610B2F12"/>
    <w:multiLevelType w:val="hybridMultilevel"/>
    <w:tmpl w:val="27D0A4A8"/>
    <w:lvl w:ilvl="0" w:tplc="949E039C">
      <w:numFmt w:val="bullet"/>
      <w:lvlText w:val="-"/>
      <w:lvlJc w:val="left"/>
      <w:pPr>
        <w:ind w:left="360" w:hanging="360"/>
      </w:pPr>
      <w:rPr>
        <w:rFonts w:ascii="Garamond" w:eastAsia="Calibri" w:hAnsi="Garamond"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18F7EA7"/>
    <w:multiLevelType w:val="hybridMultilevel"/>
    <w:tmpl w:val="2292B09C"/>
    <w:lvl w:ilvl="0" w:tplc="C4381128">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6CC93B01"/>
    <w:multiLevelType w:val="hybridMultilevel"/>
    <w:tmpl w:val="8F5080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6DCA2C2C"/>
    <w:multiLevelType w:val="hybridMultilevel"/>
    <w:tmpl w:val="76E0D98C"/>
    <w:lvl w:ilvl="0" w:tplc="2F6C8ED8">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6E586930"/>
    <w:multiLevelType w:val="hybridMultilevel"/>
    <w:tmpl w:val="611857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711E6B61"/>
    <w:multiLevelType w:val="hybridMultilevel"/>
    <w:tmpl w:val="179648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1A9355F"/>
    <w:multiLevelType w:val="hybridMultilevel"/>
    <w:tmpl w:val="20D293C0"/>
    <w:lvl w:ilvl="0" w:tplc="0128AB96">
      <w:start w:val="1"/>
      <w:numFmt w:val="lowerRoman"/>
      <w:lvlText w:val="%1)"/>
      <w:lvlJc w:val="left"/>
      <w:pPr>
        <w:ind w:left="780" w:hanging="720"/>
      </w:pPr>
      <w:rPr>
        <w:rFonts w:hint="default"/>
      </w:rPr>
    </w:lvl>
    <w:lvl w:ilvl="1" w:tplc="04060019">
      <w:start w:val="1"/>
      <w:numFmt w:val="lowerLetter"/>
      <w:lvlText w:val="%2."/>
      <w:lvlJc w:val="left"/>
      <w:pPr>
        <w:ind w:left="1140" w:hanging="360"/>
      </w:pPr>
    </w:lvl>
    <w:lvl w:ilvl="2" w:tplc="0406001B" w:tentative="1">
      <w:start w:val="1"/>
      <w:numFmt w:val="lowerRoman"/>
      <w:lvlText w:val="%3."/>
      <w:lvlJc w:val="right"/>
      <w:pPr>
        <w:ind w:left="1860" w:hanging="180"/>
      </w:pPr>
    </w:lvl>
    <w:lvl w:ilvl="3" w:tplc="0406000F" w:tentative="1">
      <w:start w:val="1"/>
      <w:numFmt w:val="decimal"/>
      <w:lvlText w:val="%4."/>
      <w:lvlJc w:val="left"/>
      <w:pPr>
        <w:ind w:left="2580" w:hanging="360"/>
      </w:pPr>
    </w:lvl>
    <w:lvl w:ilvl="4" w:tplc="04060019" w:tentative="1">
      <w:start w:val="1"/>
      <w:numFmt w:val="lowerLetter"/>
      <w:lvlText w:val="%5."/>
      <w:lvlJc w:val="left"/>
      <w:pPr>
        <w:ind w:left="3300" w:hanging="360"/>
      </w:pPr>
    </w:lvl>
    <w:lvl w:ilvl="5" w:tplc="0406001B" w:tentative="1">
      <w:start w:val="1"/>
      <w:numFmt w:val="lowerRoman"/>
      <w:lvlText w:val="%6."/>
      <w:lvlJc w:val="right"/>
      <w:pPr>
        <w:ind w:left="4020" w:hanging="180"/>
      </w:pPr>
    </w:lvl>
    <w:lvl w:ilvl="6" w:tplc="0406000F" w:tentative="1">
      <w:start w:val="1"/>
      <w:numFmt w:val="decimal"/>
      <w:lvlText w:val="%7."/>
      <w:lvlJc w:val="left"/>
      <w:pPr>
        <w:ind w:left="4740" w:hanging="360"/>
      </w:pPr>
    </w:lvl>
    <w:lvl w:ilvl="7" w:tplc="04060019" w:tentative="1">
      <w:start w:val="1"/>
      <w:numFmt w:val="lowerLetter"/>
      <w:lvlText w:val="%8."/>
      <w:lvlJc w:val="left"/>
      <w:pPr>
        <w:ind w:left="5460" w:hanging="360"/>
      </w:pPr>
    </w:lvl>
    <w:lvl w:ilvl="8" w:tplc="0406001B" w:tentative="1">
      <w:start w:val="1"/>
      <w:numFmt w:val="lowerRoman"/>
      <w:lvlText w:val="%9."/>
      <w:lvlJc w:val="right"/>
      <w:pPr>
        <w:ind w:left="6180" w:hanging="180"/>
      </w:pPr>
    </w:lvl>
  </w:abstractNum>
  <w:abstractNum w:abstractNumId="35" w15:restartNumberingAfterBreak="0">
    <w:nsid w:val="74035F88"/>
    <w:multiLevelType w:val="hybridMultilevel"/>
    <w:tmpl w:val="A088F9F4"/>
    <w:lvl w:ilvl="0" w:tplc="28243A00">
      <w:numFmt w:val="bullet"/>
      <w:lvlText w:val=""/>
      <w:lvlJc w:val="left"/>
      <w:pPr>
        <w:ind w:left="360" w:hanging="360"/>
      </w:pPr>
      <w:rPr>
        <w:rFonts w:ascii="Wingdings" w:eastAsiaTheme="minorHAnsi" w:hAnsi="Wingdings" w:cs="Wingdings" w:hint="default"/>
        <w:sz w:val="16"/>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6" w15:restartNumberingAfterBreak="0">
    <w:nsid w:val="7AEC0CD3"/>
    <w:multiLevelType w:val="hybridMultilevel"/>
    <w:tmpl w:val="639241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30"/>
  </w:num>
  <w:num w:numId="4">
    <w:abstractNumId w:val="32"/>
  </w:num>
  <w:num w:numId="5">
    <w:abstractNumId w:val="3"/>
  </w:num>
  <w:num w:numId="6">
    <w:abstractNumId w:val="36"/>
  </w:num>
  <w:num w:numId="7">
    <w:abstractNumId w:val="34"/>
  </w:num>
  <w:num w:numId="8">
    <w:abstractNumId w:val="1"/>
  </w:num>
  <w:num w:numId="9">
    <w:abstractNumId w:val="1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8"/>
  </w:num>
  <w:num w:numId="13">
    <w:abstractNumId w:val="2"/>
  </w:num>
  <w:num w:numId="14">
    <w:abstractNumId w:val="22"/>
  </w:num>
  <w:num w:numId="15">
    <w:abstractNumId w:val="17"/>
  </w:num>
  <w:num w:numId="16">
    <w:abstractNumId w:val="11"/>
  </w:num>
  <w:num w:numId="17">
    <w:abstractNumId w:val="27"/>
  </w:num>
  <w:num w:numId="18">
    <w:abstractNumId w:val="9"/>
  </w:num>
  <w:num w:numId="19">
    <w:abstractNumId w:val="21"/>
  </w:num>
  <w:num w:numId="20">
    <w:abstractNumId w:val="0"/>
  </w:num>
  <w:num w:numId="21">
    <w:abstractNumId w:val="35"/>
  </w:num>
  <w:num w:numId="22">
    <w:abstractNumId w:val="25"/>
  </w:num>
  <w:num w:numId="23">
    <w:abstractNumId w:val="0"/>
  </w:num>
  <w:num w:numId="24">
    <w:abstractNumId w:val="6"/>
  </w:num>
  <w:num w:numId="25">
    <w:abstractNumId w:val="33"/>
  </w:num>
  <w:num w:numId="26">
    <w:abstractNumId w:val="7"/>
  </w:num>
  <w:num w:numId="27">
    <w:abstractNumId w:val="24"/>
  </w:num>
  <w:num w:numId="28">
    <w:abstractNumId w:val="29"/>
  </w:num>
  <w:num w:numId="29">
    <w:abstractNumId w:val="12"/>
  </w:num>
  <w:num w:numId="30">
    <w:abstractNumId w:val="4"/>
  </w:num>
  <w:num w:numId="31">
    <w:abstractNumId w:val="31"/>
  </w:num>
  <w:num w:numId="32">
    <w:abstractNumId w:val="5"/>
  </w:num>
  <w:num w:numId="33">
    <w:abstractNumId w:val="19"/>
  </w:num>
  <w:num w:numId="34">
    <w:abstractNumId w:val="10"/>
  </w:num>
  <w:num w:numId="35">
    <w:abstractNumId w:val="28"/>
  </w:num>
  <w:num w:numId="36">
    <w:abstractNumId w:val="13"/>
  </w:num>
  <w:num w:numId="37">
    <w:abstractNumId w:val="18"/>
  </w:num>
  <w:num w:numId="38">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hideSpellingErrors/>
  <w:hideGrammaticalErrors/>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00C"/>
    <w:rsid w:val="00005E43"/>
    <w:rsid w:val="000076D9"/>
    <w:rsid w:val="0002063D"/>
    <w:rsid w:val="00023E77"/>
    <w:rsid w:val="00026DA3"/>
    <w:rsid w:val="00026F4B"/>
    <w:rsid w:val="00030A78"/>
    <w:rsid w:val="00032ECB"/>
    <w:rsid w:val="00033453"/>
    <w:rsid w:val="0003416A"/>
    <w:rsid w:val="00036FA7"/>
    <w:rsid w:val="00040773"/>
    <w:rsid w:val="000413E2"/>
    <w:rsid w:val="00041606"/>
    <w:rsid w:val="00044439"/>
    <w:rsid w:val="00045EFD"/>
    <w:rsid w:val="00046C04"/>
    <w:rsid w:val="000549A1"/>
    <w:rsid w:val="00056836"/>
    <w:rsid w:val="000629B6"/>
    <w:rsid w:val="00072420"/>
    <w:rsid w:val="00073AC5"/>
    <w:rsid w:val="00073AE0"/>
    <w:rsid w:val="000837C7"/>
    <w:rsid w:val="000865B8"/>
    <w:rsid w:val="0009094D"/>
    <w:rsid w:val="000948E9"/>
    <w:rsid w:val="000A13ED"/>
    <w:rsid w:val="000A3EF8"/>
    <w:rsid w:val="000B36B5"/>
    <w:rsid w:val="000B3BBD"/>
    <w:rsid w:val="000B48CA"/>
    <w:rsid w:val="000B528D"/>
    <w:rsid w:val="000B75ED"/>
    <w:rsid w:val="000B76AA"/>
    <w:rsid w:val="000C584F"/>
    <w:rsid w:val="000D4550"/>
    <w:rsid w:val="000D5E31"/>
    <w:rsid w:val="000D6BEF"/>
    <w:rsid w:val="000D7249"/>
    <w:rsid w:val="000E0911"/>
    <w:rsid w:val="000E264E"/>
    <w:rsid w:val="000E2A54"/>
    <w:rsid w:val="000E3C82"/>
    <w:rsid w:val="000E4F44"/>
    <w:rsid w:val="000E5FF6"/>
    <w:rsid w:val="000F221A"/>
    <w:rsid w:val="000F7538"/>
    <w:rsid w:val="0010492F"/>
    <w:rsid w:val="00105226"/>
    <w:rsid w:val="00106176"/>
    <w:rsid w:val="001201EF"/>
    <w:rsid w:val="00120ED4"/>
    <w:rsid w:val="001237B9"/>
    <w:rsid w:val="00125117"/>
    <w:rsid w:val="001252F2"/>
    <w:rsid w:val="00126743"/>
    <w:rsid w:val="001312BF"/>
    <w:rsid w:val="001404E3"/>
    <w:rsid w:val="00143265"/>
    <w:rsid w:val="00143809"/>
    <w:rsid w:val="00144A3A"/>
    <w:rsid w:val="001619EB"/>
    <w:rsid w:val="00161C08"/>
    <w:rsid w:val="00162413"/>
    <w:rsid w:val="0016523F"/>
    <w:rsid w:val="00165365"/>
    <w:rsid w:val="001653A0"/>
    <w:rsid w:val="0017705A"/>
    <w:rsid w:val="0018467A"/>
    <w:rsid w:val="00191575"/>
    <w:rsid w:val="00192DCC"/>
    <w:rsid w:val="001A20A0"/>
    <w:rsid w:val="001A70CD"/>
    <w:rsid w:val="001B2997"/>
    <w:rsid w:val="001B32AB"/>
    <w:rsid w:val="001B3807"/>
    <w:rsid w:val="001B5068"/>
    <w:rsid w:val="001B754D"/>
    <w:rsid w:val="001C5EB2"/>
    <w:rsid w:val="001D1830"/>
    <w:rsid w:val="001D2F4B"/>
    <w:rsid w:val="001D2FED"/>
    <w:rsid w:val="001D58E6"/>
    <w:rsid w:val="001E2AB1"/>
    <w:rsid w:val="001E4187"/>
    <w:rsid w:val="001E5BA2"/>
    <w:rsid w:val="001E7C05"/>
    <w:rsid w:val="001F05FF"/>
    <w:rsid w:val="001F73CD"/>
    <w:rsid w:val="001F7644"/>
    <w:rsid w:val="00206F17"/>
    <w:rsid w:val="00207379"/>
    <w:rsid w:val="002157DA"/>
    <w:rsid w:val="00216C34"/>
    <w:rsid w:val="00217531"/>
    <w:rsid w:val="00223E9F"/>
    <w:rsid w:val="0023011B"/>
    <w:rsid w:val="002327C1"/>
    <w:rsid w:val="00234766"/>
    <w:rsid w:val="00240F1A"/>
    <w:rsid w:val="00242C1E"/>
    <w:rsid w:val="00243013"/>
    <w:rsid w:val="0024647C"/>
    <w:rsid w:val="00260F58"/>
    <w:rsid w:val="00264A46"/>
    <w:rsid w:val="00266A4E"/>
    <w:rsid w:val="00273D82"/>
    <w:rsid w:val="00273FCA"/>
    <w:rsid w:val="00275525"/>
    <w:rsid w:val="00277B47"/>
    <w:rsid w:val="00280B18"/>
    <w:rsid w:val="00281834"/>
    <w:rsid w:val="00284CA6"/>
    <w:rsid w:val="002909E1"/>
    <w:rsid w:val="002935AA"/>
    <w:rsid w:val="002937D5"/>
    <w:rsid w:val="002A5EF0"/>
    <w:rsid w:val="002B78C9"/>
    <w:rsid w:val="002C1331"/>
    <w:rsid w:val="002C2C42"/>
    <w:rsid w:val="002C30F7"/>
    <w:rsid w:val="002D0144"/>
    <w:rsid w:val="002D49B0"/>
    <w:rsid w:val="002D5A97"/>
    <w:rsid w:val="002D778F"/>
    <w:rsid w:val="002E0BD6"/>
    <w:rsid w:val="002E449D"/>
    <w:rsid w:val="002E4D36"/>
    <w:rsid w:val="002F19DA"/>
    <w:rsid w:val="002F2034"/>
    <w:rsid w:val="0030074D"/>
    <w:rsid w:val="0030226E"/>
    <w:rsid w:val="00303994"/>
    <w:rsid w:val="00303BCC"/>
    <w:rsid w:val="00305C9E"/>
    <w:rsid w:val="00306494"/>
    <w:rsid w:val="0030671D"/>
    <w:rsid w:val="00306C6A"/>
    <w:rsid w:val="00314D78"/>
    <w:rsid w:val="003177D7"/>
    <w:rsid w:val="00317856"/>
    <w:rsid w:val="003262B1"/>
    <w:rsid w:val="00327DCE"/>
    <w:rsid w:val="00330ED0"/>
    <w:rsid w:val="003310C6"/>
    <w:rsid w:val="00333084"/>
    <w:rsid w:val="0033395C"/>
    <w:rsid w:val="00335698"/>
    <w:rsid w:val="003371A6"/>
    <w:rsid w:val="003439FF"/>
    <w:rsid w:val="00343A9A"/>
    <w:rsid w:val="00347332"/>
    <w:rsid w:val="003516C3"/>
    <w:rsid w:val="00352A59"/>
    <w:rsid w:val="0035449C"/>
    <w:rsid w:val="003739D4"/>
    <w:rsid w:val="00374C9B"/>
    <w:rsid w:val="0037526D"/>
    <w:rsid w:val="00385743"/>
    <w:rsid w:val="003874CC"/>
    <w:rsid w:val="00390C89"/>
    <w:rsid w:val="0039466F"/>
    <w:rsid w:val="003946E0"/>
    <w:rsid w:val="00394ADD"/>
    <w:rsid w:val="00396C7E"/>
    <w:rsid w:val="003A3B31"/>
    <w:rsid w:val="003B12D5"/>
    <w:rsid w:val="003B1466"/>
    <w:rsid w:val="003C36FD"/>
    <w:rsid w:val="003C4844"/>
    <w:rsid w:val="003C794F"/>
    <w:rsid w:val="003E6761"/>
    <w:rsid w:val="003E7DB7"/>
    <w:rsid w:val="00404750"/>
    <w:rsid w:val="00404FFA"/>
    <w:rsid w:val="00406EE3"/>
    <w:rsid w:val="00413A9E"/>
    <w:rsid w:val="00416774"/>
    <w:rsid w:val="00420676"/>
    <w:rsid w:val="004232B7"/>
    <w:rsid w:val="004236B5"/>
    <w:rsid w:val="00427CAF"/>
    <w:rsid w:val="00432A6A"/>
    <w:rsid w:val="0043319A"/>
    <w:rsid w:val="004344DD"/>
    <w:rsid w:val="00434D8D"/>
    <w:rsid w:val="00435F88"/>
    <w:rsid w:val="004375F6"/>
    <w:rsid w:val="00441385"/>
    <w:rsid w:val="00443C6B"/>
    <w:rsid w:val="00444EAC"/>
    <w:rsid w:val="00453A2C"/>
    <w:rsid w:val="004553D0"/>
    <w:rsid w:val="00457540"/>
    <w:rsid w:val="00460B94"/>
    <w:rsid w:val="00460DA7"/>
    <w:rsid w:val="004652C5"/>
    <w:rsid w:val="004667C7"/>
    <w:rsid w:val="00467613"/>
    <w:rsid w:val="004738CE"/>
    <w:rsid w:val="00481ED6"/>
    <w:rsid w:val="00482053"/>
    <w:rsid w:val="0048275B"/>
    <w:rsid w:val="0048368D"/>
    <w:rsid w:val="0049076E"/>
    <w:rsid w:val="004A2D14"/>
    <w:rsid w:val="004A362A"/>
    <w:rsid w:val="004B0012"/>
    <w:rsid w:val="004B0592"/>
    <w:rsid w:val="004B2D97"/>
    <w:rsid w:val="004B6A85"/>
    <w:rsid w:val="004B6C13"/>
    <w:rsid w:val="004B7037"/>
    <w:rsid w:val="004B7A43"/>
    <w:rsid w:val="004C0337"/>
    <w:rsid w:val="004C27B7"/>
    <w:rsid w:val="004C55F9"/>
    <w:rsid w:val="004D117B"/>
    <w:rsid w:val="004D179D"/>
    <w:rsid w:val="004D4C7D"/>
    <w:rsid w:val="004D6AA9"/>
    <w:rsid w:val="004D6BCB"/>
    <w:rsid w:val="004E3736"/>
    <w:rsid w:val="004E49F4"/>
    <w:rsid w:val="004E73C5"/>
    <w:rsid w:val="004F1882"/>
    <w:rsid w:val="004F18DA"/>
    <w:rsid w:val="004F6620"/>
    <w:rsid w:val="004F6F06"/>
    <w:rsid w:val="00500CCE"/>
    <w:rsid w:val="005019E3"/>
    <w:rsid w:val="0051030A"/>
    <w:rsid w:val="00515566"/>
    <w:rsid w:val="005215AB"/>
    <w:rsid w:val="00524517"/>
    <w:rsid w:val="00530AFE"/>
    <w:rsid w:val="005341EB"/>
    <w:rsid w:val="0054545C"/>
    <w:rsid w:val="0054691D"/>
    <w:rsid w:val="0055611F"/>
    <w:rsid w:val="00557BBB"/>
    <w:rsid w:val="00560957"/>
    <w:rsid w:val="00561623"/>
    <w:rsid w:val="005628F5"/>
    <w:rsid w:val="00565CC2"/>
    <w:rsid w:val="00566E65"/>
    <w:rsid w:val="00567EF8"/>
    <w:rsid w:val="00574760"/>
    <w:rsid w:val="005751CE"/>
    <w:rsid w:val="00584202"/>
    <w:rsid w:val="00584FA4"/>
    <w:rsid w:val="00586D7F"/>
    <w:rsid w:val="0059077F"/>
    <w:rsid w:val="00592D2D"/>
    <w:rsid w:val="00595B2F"/>
    <w:rsid w:val="005A1924"/>
    <w:rsid w:val="005B5AED"/>
    <w:rsid w:val="005C28C6"/>
    <w:rsid w:val="005C3F41"/>
    <w:rsid w:val="005C4084"/>
    <w:rsid w:val="005C67B8"/>
    <w:rsid w:val="005D006D"/>
    <w:rsid w:val="005D4CA6"/>
    <w:rsid w:val="005E5051"/>
    <w:rsid w:val="005F09E9"/>
    <w:rsid w:val="006067BF"/>
    <w:rsid w:val="006113C7"/>
    <w:rsid w:val="00612BBB"/>
    <w:rsid w:val="00613C57"/>
    <w:rsid w:val="00630B00"/>
    <w:rsid w:val="00632FA0"/>
    <w:rsid w:val="00633BAA"/>
    <w:rsid w:val="0063586B"/>
    <w:rsid w:val="00637BB2"/>
    <w:rsid w:val="00637BBA"/>
    <w:rsid w:val="0065051F"/>
    <w:rsid w:val="0065288B"/>
    <w:rsid w:val="00657B44"/>
    <w:rsid w:val="0066215D"/>
    <w:rsid w:val="006633F0"/>
    <w:rsid w:val="00665057"/>
    <w:rsid w:val="0066637B"/>
    <w:rsid w:val="00674097"/>
    <w:rsid w:val="0068434D"/>
    <w:rsid w:val="00686D22"/>
    <w:rsid w:val="0068748F"/>
    <w:rsid w:val="006942E8"/>
    <w:rsid w:val="00696E2B"/>
    <w:rsid w:val="006A41E2"/>
    <w:rsid w:val="006A5168"/>
    <w:rsid w:val="006A6491"/>
    <w:rsid w:val="006A6F66"/>
    <w:rsid w:val="006B6AE9"/>
    <w:rsid w:val="006C0D72"/>
    <w:rsid w:val="006C1F72"/>
    <w:rsid w:val="006C290B"/>
    <w:rsid w:val="006C2963"/>
    <w:rsid w:val="006D00DB"/>
    <w:rsid w:val="006D0AB3"/>
    <w:rsid w:val="006D0F28"/>
    <w:rsid w:val="006D3057"/>
    <w:rsid w:val="006D39F7"/>
    <w:rsid w:val="006D4CCA"/>
    <w:rsid w:val="006D6F7E"/>
    <w:rsid w:val="006E3CB0"/>
    <w:rsid w:val="006E3E89"/>
    <w:rsid w:val="006F3FBD"/>
    <w:rsid w:val="00700366"/>
    <w:rsid w:val="00700E8F"/>
    <w:rsid w:val="0070296C"/>
    <w:rsid w:val="00704831"/>
    <w:rsid w:val="00706805"/>
    <w:rsid w:val="00707B04"/>
    <w:rsid w:val="00707D8F"/>
    <w:rsid w:val="00710B89"/>
    <w:rsid w:val="00712D8B"/>
    <w:rsid w:val="00714D66"/>
    <w:rsid w:val="00717D20"/>
    <w:rsid w:val="0072040F"/>
    <w:rsid w:val="00724062"/>
    <w:rsid w:val="00732218"/>
    <w:rsid w:val="007329D4"/>
    <w:rsid w:val="00732B17"/>
    <w:rsid w:val="007348A0"/>
    <w:rsid w:val="007357CC"/>
    <w:rsid w:val="007456EC"/>
    <w:rsid w:val="0074648B"/>
    <w:rsid w:val="0075765C"/>
    <w:rsid w:val="00761CC6"/>
    <w:rsid w:val="007651A4"/>
    <w:rsid w:val="0077224C"/>
    <w:rsid w:val="00776D3A"/>
    <w:rsid w:val="00781F02"/>
    <w:rsid w:val="007958FA"/>
    <w:rsid w:val="007968A6"/>
    <w:rsid w:val="00796EE9"/>
    <w:rsid w:val="00797D9A"/>
    <w:rsid w:val="007A1A5D"/>
    <w:rsid w:val="007A611F"/>
    <w:rsid w:val="007C4125"/>
    <w:rsid w:val="007D5F7C"/>
    <w:rsid w:val="007E2FED"/>
    <w:rsid w:val="007E3930"/>
    <w:rsid w:val="007E43AE"/>
    <w:rsid w:val="007E53DB"/>
    <w:rsid w:val="007E68F3"/>
    <w:rsid w:val="007E6F51"/>
    <w:rsid w:val="007F0C93"/>
    <w:rsid w:val="007F3BB7"/>
    <w:rsid w:val="00802246"/>
    <w:rsid w:val="0080323D"/>
    <w:rsid w:val="0080692F"/>
    <w:rsid w:val="00813DB5"/>
    <w:rsid w:val="00814DA6"/>
    <w:rsid w:val="00815E81"/>
    <w:rsid w:val="00816115"/>
    <w:rsid w:val="00833292"/>
    <w:rsid w:val="00834EDD"/>
    <w:rsid w:val="008355A6"/>
    <w:rsid w:val="00840C71"/>
    <w:rsid w:val="00840CCD"/>
    <w:rsid w:val="00841024"/>
    <w:rsid w:val="008438AE"/>
    <w:rsid w:val="00846EEE"/>
    <w:rsid w:val="00851935"/>
    <w:rsid w:val="00853284"/>
    <w:rsid w:val="00854E0A"/>
    <w:rsid w:val="00855046"/>
    <w:rsid w:val="0085568C"/>
    <w:rsid w:val="00856C42"/>
    <w:rsid w:val="00857864"/>
    <w:rsid w:val="0086305B"/>
    <w:rsid w:val="00865898"/>
    <w:rsid w:val="00866455"/>
    <w:rsid w:val="00871D0C"/>
    <w:rsid w:val="00873823"/>
    <w:rsid w:val="00874045"/>
    <w:rsid w:val="00875CC0"/>
    <w:rsid w:val="00881BB9"/>
    <w:rsid w:val="00885F1F"/>
    <w:rsid w:val="008860E8"/>
    <w:rsid w:val="00886DCD"/>
    <w:rsid w:val="00891BB1"/>
    <w:rsid w:val="0089548D"/>
    <w:rsid w:val="0089649A"/>
    <w:rsid w:val="00896523"/>
    <w:rsid w:val="008A2133"/>
    <w:rsid w:val="008A382D"/>
    <w:rsid w:val="008A4472"/>
    <w:rsid w:val="008A4C3A"/>
    <w:rsid w:val="008A59D8"/>
    <w:rsid w:val="008A7005"/>
    <w:rsid w:val="008B4372"/>
    <w:rsid w:val="008B5238"/>
    <w:rsid w:val="008B6F69"/>
    <w:rsid w:val="008B7126"/>
    <w:rsid w:val="008C088A"/>
    <w:rsid w:val="008C12C3"/>
    <w:rsid w:val="008C75B9"/>
    <w:rsid w:val="008D1CBE"/>
    <w:rsid w:val="008D34F6"/>
    <w:rsid w:val="008D5791"/>
    <w:rsid w:val="008D76D8"/>
    <w:rsid w:val="00902A86"/>
    <w:rsid w:val="00910B11"/>
    <w:rsid w:val="00917047"/>
    <w:rsid w:val="00920FE0"/>
    <w:rsid w:val="009237F9"/>
    <w:rsid w:val="00925D73"/>
    <w:rsid w:val="009263A1"/>
    <w:rsid w:val="00926F62"/>
    <w:rsid w:val="00927EAA"/>
    <w:rsid w:val="00933463"/>
    <w:rsid w:val="00946C8A"/>
    <w:rsid w:val="009471F7"/>
    <w:rsid w:val="0094757E"/>
    <w:rsid w:val="00951390"/>
    <w:rsid w:val="009570EB"/>
    <w:rsid w:val="00957745"/>
    <w:rsid w:val="00957A3F"/>
    <w:rsid w:val="00960BC7"/>
    <w:rsid w:val="0096427D"/>
    <w:rsid w:val="0096641D"/>
    <w:rsid w:val="009705CD"/>
    <w:rsid w:val="0098232D"/>
    <w:rsid w:val="009854FC"/>
    <w:rsid w:val="00986894"/>
    <w:rsid w:val="00986D4F"/>
    <w:rsid w:val="009919C8"/>
    <w:rsid w:val="00992DC4"/>
    <w:rsid w:val="00992F79"/>
    <w:rsid w:val="009A04B3"/>
    <w:rsid w:val="009A220F"/>
    <w:rsid w:val="009A38A9"/>
    <w:rsid w:val="009B1D11"/>
    <w:rsid w:val="009B25E7"/>
    <w:rsid w:val="009B2826"/>
    <w:rsid w:val="009B352F"/>
    <w:rsid w:val="009B5568"/>
    <w:rsid w:val="009C26A8"/>
    <w:rsid w:val="009C3E00"/>
    <w:rsid w:val="009C5026"/>
    <w:rsid w:val="009D039A"/>
    <w:rsid w:val="009D0D0F"/>
    <w:rsid w:val="009D2DA2"/>
    <w:rsid w:val="009D2EDD"/>
    <w:rsid w:val="009D496E"/>
    <w:rsid w:val="009D72A7"/>
    <w:rsid w:val="009F2452"/>
    <w:rsid w:val="009F5652"/>
    <w:rsid w:val="009F63B4"/>
    <w:rsid w:val="009F7FF3"/>
    <w:rsid w:val="00A07A13"/>
    <w:rsid w:val="00A10496"/>
    <w:rsid w:val="00A10AF8"/>
    <w:rsid w:val="00A1153E"/>
    <w:rsid w:val="00A30BB5"/>
    <w:rsid w:val="00A31488"/>
    <w:rsid w:val="00A325B2"/>
    <w:rsid w:val="00A343C1"/>
    <w:rsid w:val="00A35391"/>
    <w:rsid w:val="00A40AE0"/>
    <w:rsid w:val="00A4137E"/>
    <w:rsid w:val="00A41C00"/>
    <w:rsid w:val="00A42B17"/>
    <w:rsid w:val="00A432B9"/>
    <w:rsid w:val="00A44D86"/>
    <w:rsid w:val="00A51BAB"/>
    <w:rsid w:val="00A51F25"/>
    <w:rsid w:val="00A567C0"/>
    <w:rsid w:val="00A576EB"/>
    <w:rsid w:val="00A75D6B"/>
    <w:rsid w:val="00A76710"/>
    <w:rsid w:val="00A81F35"/>
    <w:rsid w:val="00A831D8"/>
    <w:rsid w:val="00A84422"/>
    <w:rsid w:val="00A8499D"/>
    <w:rsid w:val="00A9058F"/>
    <w:rsid w:val="00A9359F"/>
    <w:rsid w:val="00AA05F4"/>
    <w:rsid w:val="00AA3350"/>
    <w:rsid w:val="00AA5F37"/>
    <w:rsid w:val="00AA67C2"/>
    <w:rsid w:val="00AA741F"/>
    <w:rsid w:val="00AB204E"/>
    <w:rsid w:val="00AB23AF"/>
    <w:rsid w:val="00AB5295"/>
    <w:rsid w:val="00AB6A4A"/>
    <w:rsid w:val="00AB7124"/>
    <w:rsid w:val="00AB74E9"/>
    <w:rsid w:val="00AC0374"/>
    <w:rsid w:val="00AC2725"/>
    <w:rsid w:val="00AC351D"/>
    <w:rsid w:val="00AC4A16"/>
    <w:rsid w:val="00AC5A06"/>
    <w:rsid w:val="00AC739A"/>
    <w:rsid w:val="00AD12CF"/>
    <w:rsid w:val="00AD3DA4"/>
    <w:rsid w:val="00AD7BBC"/>
    <w:rsid w:val="00AE1D1A"/>
    <w:rsid w:val="00AE2D2D"/>
    <w:rsid w:val="00AE4C11"/>
    <w:rsid w:val="00AF4770"/>
    <w:rsid w:val="00AF54B1"/>
    <w:rsid w:val="00AF5BD8"/>
    <w:rsid w:val="00AF67AF"/>
    <w:rsid w:val="00AF6DB3"/>
    <w:rsid w:val="00B05B05"/>
    <w:rsid w:val="00B10A94"/>
    <w:rsid w:val="00B11BDA"/>
    <w:rsid w:val="00B15111"/>
    <w:rsid w:val="00B16BF8"/>
    <w:rsid w:val="00B20096"/>
    <w:rsid w:val="00B277FB"/>
    <w:rsid w:val="00B30DC0"/>
    <w:rsid w:val="00B3334A"/>
    <w:rsid w:val="00B3352E"/>
    <w:rsid w:val="00B34073"/>
    <w:rsid w:val="00B44658"/>
    <w:rsid w:val="00B459E4"/>
    <w:rsid w:val="00B52FE5"/>
    <w:rsid w:val="00B53EC4"/>
    <w:rsid w:val="00B62B2D"/>
    <w:rsid w:val="00B808DF"/>
    <w:rsid w:val="00B83131"/>
    <w:rsid w:val="00B85B39"/>
    <w:rsid w:val="00B85CDB"/>
    <w:rsid w:val="00B86CF5"/>
    <w:rsid w:val="00BA161F"/>
    <w:rsid w:val="00BA6DB8"/>
    <w:rsid w:val="00BB1AA9"/>
    <w:rsid w:val="00BB30A3"/>
    <w:rsid w:val="00BB34C8"/>
    <w:rsid w:val="00BB676D"/>
    <w:rsid w:val="00BC3139"/>
    <w:rsid w:val="00BC38BE"/>
    <w:rsid w:val="00BC5F2A"/>
    <w:rsid w:val="00BC6EC6"/>
    <w:rsid w:val="00BD671C"/>
    <w:rsid w:val="00BD6F9F"/>
    <w:rsid w:val="00BE0F9D"/>
    <w:rsid w:val="00BF200C"/>
    <w:rsid w:val="00BF2F12"/>
    <w:rsid w:val="00BF5959"/>
    <w:rsid w:val="00C04A9C"/>
    <w:rsid w:val="00C06C0F"/>
    <w:rsid w:val="00C11823"/>
    <w:rsid w:val="00C11CB1"/>
    <w:rsid w:val="00C1453D"/>
    <w:rsid w:val="00C221BC"/>
    <w:rsid w:val="00C22599"/>
    <w:rsid w:val="00C250D8"/>
    <w:rsid w:val="00C26C2C"/>
    <w:rsid w:val="00C321DC"/>
    <w:rsid w:val="00C3311E"/>
    <w:rsid w:val="00C43A5E"/>
    <w:rsid w:val="00C44E93"/>
    <w:rsid w:val="00C472C7"/>
    <w:rsid w:val="00C520A6"/>
    <w:rsid w:val="00C5758E"/>
    <w:rsid w:val="00C61AB1"/>
    <w:rsid w:val="00C63386"/>
    <w:rsid w:val="00C6345B"/>
    <w:rsid w:val="00C76594"/>
    <w:rsid w:val="00C84087"/>
    <w:rsid w:val="00C97F47"/>
    <w:rsid w:val="00CA0602"/>
    <w:rsid w:val="00CA2A53"/>
    <w:rsid w:val="00CA48DA"/>
    <w:rsid w:val="00CB004B"/>
    <w:rsid w:val="00CB051A"/>
    <w:rsid w:val="00CB1317"/>
    <w:rsid w:val="00CB4097"/>
    <w:rsid w:val="00CB4A18"/>
    <w:rsid w:val="00CC20B1"/>
    <w:rsid w:val="00CC5D02"/>
    <w:rsid w:val="00CC753F"/>
    <w:rsid w:val="00CD4004"/>
    <w:rsid w:val="00CE2C35"/>
    <w:rsid w:val="00CE2D39"/>
    <w:rsid w:val="00CF14F7"/>
    <w:rsid w:val="00CF203D"/>
    <w:rsid w:val="00CF7525"/>
    <w:rsid w:val="00D03FCE"/>
    <w:rsid w:val="00D05CC0"/>
    <w:rsid w:val="00D07192"/>
    <w:rsid w:val="00D210DF"/>
    <w:rsid w:val="00D223A4"/>
    <w:rsid w:val="00D233D9"/>
    <w:rsid w:val="00D23B8C"/>
    <w:rsid w:val="00D23F95"/>
    <w:rsid w:val="00D250FE"/>
    <w:rsid w:val="00D35183"/>
    <w:rsid w:val="00D352B8"/>
    <w:rsid w:val="00D35EA1"/>
    <w:rsid w:val="00D36850"/>
    <w:rsid w:val="00D3724C"/>
    <w:rsid w:val="00D44DEB"/>
    <w:rsid w:val="00D4536E"/>
    <w:rsid w:val="00D503DC"/>
    <w:rsid w:val="00D51501"/>
    <w:rsid w:val="00D5284A"/>
    <w:rsid w:val="00D56536"/>
    <w:rsid w:val="00D60218"/>
    <w:rsid w:val="00D60F20"/>
    <w:rsid w:val="00D61671"/>
    <w:rsid w:val="00D6409F"/>
    <w:rsid w:val="00D66A66"/>
    <w:rsid w:val="00D73236"/>
    <w:rsid w:val="00D75915"/>
    <w:rsid w:val="00D76EAA"/>
    <w:rsid w:val="00D816D6"/>
    <w:rsid w:val="00D83AC9"/>
    <w:rsid w:val="00D845CE"/>
    <w:rsid w:val="00D86452"/>
    <w:rsid w:val="00D9009D"/>
    <w:rsid w:val="00D946CC"/>
    <w:rsid w:val="00D96F4D"/>
    <w:rsid w:val="00DA09AD"/>
    <w:rsid w:val="00DA0EB9"/>
    <w:rsid w:val="00DA222A"/>
    <w:rsid w:val="00DA3B76"/>
    <w:rsid w:val="00DA4795"/>
    <w:rsid w:val="00DA64A1"/>
    <w:rsid w:val="00DA79E0"/>
    <w:rsid w:val="00DB75AD"/>
    <w:rsid w:val="00DC01B9"/>
    <w:rsid w:val="00DC4B5F"/>
    <w:rsid w:val="00DD0168"/>
    <w:rsid w:val="00DD600E"/>
    <w:rsid w:val="00DE145B"/>
    <w:rsid w:val="00DE16D4"/>
    <w:rsid w:val="00DE1A2E"/>
    <w:rsid w:val="00DE1AAC"/>
    <w:rsid w:val="00DE3082"/>
    <w:rsid w:val="00DE3AE5"/>
    <w:rsid w:val="00DE4CDE"/>
    <w:rsid w:val="00DE596B"/>
    <w:rsid w:val="00DE79C7"/>
    <w:rsid w:val="00DF0621"/>
    <w:rsid w:val="00E014B1"/>
    <w:rsid w:val="00E044B9"/>
    <w:rsid w:val="00E045A8"/>
    <w:rsid w:val="00E05433"/>
    <w:rsid w:val="00E06033"/>
    <w:rsid w:val="00E065E5"/>
    <w:rsid w:val="00E06A48"/>
    <w:rsid w:val="00E107A4"/>
    <w:rsid w:val="00E11E81"/>
    <w:rsid w:val="00E125DC"/>
    <w:rsid w:val="00E12F4E"/>
    <w:rsid w:val="00E13332"/>
    <w:rsid w:val="00E13D37"/>
    <w:rsid w:val="00E1416A"/>
    <w:rsid w:val="00E15A20"/>
    <w:rsid w:val="00E16F2A"/>
    <w:rsid w:val="00E215BC"/>
    <w:rsid w:val="00E3363E"/>
    <w:rsid w:val="00E367DF"/>
    <w:rsid w:val="00E459FC"/>
    <w:rsid w:val="00E61D2E"/>
    <w:rsid w:val="00E63DF3"/>
    <w:rsid w:val="00E65B00"/>
    <w:rsid w:val="00E72A75"/>
    <w:rsid w:val="00E72FCA"/>
    <w:rsid w:val="00E76CAC"/>
    <w:rsid w:val="00E8021F"/>
    <w:rsid w:val="00E8125B"/>
    <w:rsid w:val="00E8198A"/>
    <w:rsid w:val="00E81E32"/>
    <w:rsid w:val="00E82E10"/>
    <w:rsid w:val="00E953FD"/>
    <w:rsid w:val="00E95B98"/>
    <w:rsid w:val="00E96642"/>
    <w:rsid w:val="00EA0638"/>
    <w:rsid w:val="00EA08B8"/>
    <w:rsid w:val="00EA2E44"/>
    <w:rsid w:val="00EA4D75"/>
    <w:rsid w:val="00EB132B"/>
    <w:rsid w:val="00EB1B39"/>
    <w:rsid w:val="00EB39F2"/>
    <w:rsid w:val="00EB45D4"/>
    <w:rsid w:val="00EB6CA6"/>
    <w:rsid w:val="00ED0889"/>
    <w:rsid w:val="00ED4E21"/>
    <w:rsid w:val="00ED5743"/>
    <w:rsid w:val="00EE16C7"/>
    <w:rsid w:val="00EE6196"/>
    <w:rsid w:val="00EE7272"/>
    <w:rsid w:val="00EF2A72"/>
    <w:rsid w:val="00EF7C83"/>
    <w:rsid w:val="00F01EC6"/>
    <w:rsid w:val="00F04DAA"/>
    <w:rsid w:val="00F063E8"/>
    <w:rsid w:val="00F07940"/>
    <w:rsid w:val="00F11CDA"/>
    <w:rsid w:val="00F22A36"/>
    <w:rsid w:val="00F22F97"/>
    <w:rsid w:val="00F278AC"/>
    <w:rsid w:val="00F27E4E"/>
    <w:rsid w:val="00F33B52"/>
    <w:rsid w:val="00F35A24"/>
    <w:rsid w:val="00F45626"/>
    <w:rsid w:val="00F56B8F"/>
    <w:rsid w:val="00F6536B"/>
    <w:rsid w:val="00F75E14"/>
    <w:rsid w:val="00F77862"/>
    <w:rsid w:val="00F8104A"/>
    <w:rsid w:val="00F81A9E"/>
    <w:rsid w:val="00F86F11"/>
    <w:rsid w:val="00F958B5"/>
    <w:rsid w:val="00F959BD"/>
    <w:rsid w:val="00FA15A2"/>
    <w:rsid w:val="00FA16C7"/>
    <w:rsid w:val="00FA5ACE"/>
    <w:rsid w:val="00FA5BFC"/>
    <w:rsid w:val="00FA7F6A"/>
    <w:rsid w:val="00FB04CB"/>
    <w:rsid w:val="00FB0A88"/>
    <w:rsid w:val="00FB0F58"/>
    <w:rsid w:val="00FB23DE"/>
    <w:rsid w:val="00FC3239"/>
    <w:rsid w:val="00FC66FD"/>
    <w:rsid w:val="00FD0161"/>
    <w:rsid w:val="00FD0736"/>
    <w:rsid w:val="00FD2F41"/>
    <w:rsid w:val="00FE14ED"/>
    <w:rsid w:val="00FE4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439BF9E7-0503-4F7E-A276-D50116AC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00C"/>
    <w:rPr>
      <w:rFonts w:ascii="Garamond" w:hAnsi="Garamond"/>
      <w:sz w:val="24"/>
    </w:rPr>
  </w:style>
  <w:style w:type="paragraph" w:styleId="Overskrift1">
    <w:name w:val="heading 1"/>
    <w:basedOn w:val="Normal"/>
    <w:next w:val="Normal"/>
    <w:link w:val="Overskrift1Tegn"/>
    <w:uiPriority w:val="9"/>
    <w:qFormat/>
    <w:rsid w:val="002F19DA"/>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Overskrift2">
    <w:name w:val="heading 2"/>
    <w:basedOn w:val="Normal"/>
    <w:next w:val="Normal"/>
    <w:link w:val="Overskrift2Tegn"/>
    <w:uiPriority w:val="9"/>
    <w:unhideWhenUsed/>
    <w:qFormat/>
    <w:rsid w:val="002F19DA"/>
    <w:pPr>
      <w:keepNext/>
      <w:keepLines/>
      <w:spacing w:before="200" w:after="0"/>
      <w:outlineLvl w:val="1"/>
    </w:pPr>
    <w:rPr>
      <w:rFonts w:asciiTheme="majorHAnsi" w:eastAsiaTheme="majorEastAsia" w:hAnsiTheme="majorHAnsi" w:cstheme="majorBidi"/>
      <w:b/>
      <w:bCs/>
      <w:sz w:val="26"/>
      <w:szCs w:val="26"/>
      <w:u w:val="single"/>
    </w:rPr>
  </w:style>
  <w:style w:type="paragraph" w:styleId="Overskrift3">
    <w:name w:val="heading 3"/>
    <w:basedOn w:val="Normal"/>
    <w:next w:val="Normal"/>
    <w:link w:val="Overskrift3Tegn"/>
    <w:uiPriority w:val="9"/>
    <w:unhideWhenUsed/>
    <w:qFormat/>
    <w:rsid w:val="00D845CE"/>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D845C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F19DA"/>
    <w:rPr>
      <w:rFonts w:asciiTheme="majorHAnsi" w:eastAsiaTheme="majorEastAsia" w:hAnsiTheme="majorHAnsi" w:cstheme="majorBidi"/>
      <w:b/>
      <w:bCs/>
      <w:color w:val="365F91" w:themeColor="accent1" w:themeShade="BF"/>
      <w:sz w:val="32"/>
      <w:szCs w:val="28"/>
    </w:rPr>
  </w:style>
  <w:style w:type="character" w:customStyle="1" w:styleId="Overskrift2Tegn">
    <w:name w:val="Overskrift 2 Tegn"/>
    <w:basedOn w:val="Standardskrifttypeiafsnit"/>
    <w:link w:val="Overskrift2"/>
    <w:uiPriority w:val="9"/>
    <w:rsid w:val="002F19DA"/>
    <w:rPr>
      <w:rFonts w:asciiTheme="majorHAnsi" w:eastAsiaTheme="majorEastAsia" w:hAnsiTheme="majorHAnsi" w:cstheme="majorBidi"/>
      <w:b/>
      <w:bCs/>
      <w:sz w:val="26"/>
      <w:szCs w:val="26"/>
      <w:u w:val="single"/>
    </w:rPr>
  </w:style>
  <w:style w:type="character" w:customStyle="1" w:styleId="Overskrift3Tegn">
    <w:name w:val="Overskrift 3 Tegn"/>
    <w:basedOn w:val="Standardskrifttypeiafsnit"/>
    <w:link w:val="Overskrift3"/>
    <w:uiPriority w:val="9"/>
    <w:rsid w:val="00D845CE"/>
    <w:rPr>
      <w:rFonts w:asciiTheme="majorHAnsi" w:eastAsiaTheme="majorEastAsia" w:hAnsiTheme="majorHAnsi" w:cstheme="majorBidi"/>
      <w:b/>
      <w:bCs/>
      <w:color w:val="4F81BD" w:themeColor="accent1"/>
      <w:sz w:val="24"/>
    </w:rPr>
  </w:style>
  <w:style w:type="character" w:customStyle="1" w:styleId="Overskrift4Tegn">
    <w:name w:val="Overskrift 4 Tegn"/>
    <w:basedOn w:val="Standardskrifttypeiafsnit"/>
    <w:link w:val="Overskrift4"/>
    <w:uiPriority w:val="9"/>
    <w:rsid w:val="00D845CE"/>
    <w:rPr>
      <w:rFonts w:asciiTheme="majorHAnsi" w:eastAsiaTheme="majorEastAsia" w:hAnsiTheme="majorHAnsi" w:cstheme="majorBidi"/>
      <w:b/>
      <w:bCs/>
      <w:i/>
      <w:iCs/>
      <w:color w:val="4F81BD" w:themeColor="accent1"/>
      <w:sz w:val="24"/>
    </w:rPr>
  </w:style>
  <w:style w:type="paragraph" w:styleId="Overskrift">
    <w:name w:val="TOC Heading"/>
    <w:basedOn w:val="Overskrift1"/>
    <w:next w:val="Normal"/>
    <w:uiPriority w:val="39"/>
    <w:semiHidden/>
    <w:unhideWhenUsed/>
    <w:qFormat/>
    <w:rsid w:val="00BF200C"/>
    <w:pPr>
      <w:outlineLvl w:val="9"/>
    </w:pPr>
    <w:rPr>
      <w:lang w:eastAsia="en-GB"/>
    </w:rPr>
  </w:style>
  <w:style w:type="paragraph" w:styleId="Indholdsfortegnelse2">
    <w:name w:val="toc 2"/>
    <w:basedOn w:val="Normal"/>
    <w:next w:val="Normal"/>
    <w:autoRedefine/>
    <w:uiPriority w:val="39"/>
    <w:unhideWhenUsed/>
    <w:qFormat/>
    <w:rsid w:val="00BF200C"/>
    <w:pPr>
      <w:spacing w:after="100"/>
      <w:ind w:left="220"/>
    </w:pPr>
    <w:rPr>
      <w:rFonts w:asciiTheme="minorHAnsi" w:eastAsiaTheme="minorEastAsia" w:hAnsiTheme="minorHAnsi"/>
      <w:sz w:val="22"/>
      <w:lang w:eastAsia="en-GB"/>
    </w:rPr>
  </w:style>
  <w:style w:type="paragraph" w:styleId="Indholdsfortegnelse1">
    <w:name w:val="toc 1"/>
    <w:basedOn w:val="Normal"/>
    <w:next w:val="Normal"/>
    <w:autoRedefine/>
    <w:uiPriority w:val="39"/>
    <w:unhideWhenUsed/>
    <w:qFormat/>
    <w:rsid w:val="00BF200C"/>
    <w:pPr>
      <w:spacing w:after="100"/>
    </w:pPr>
    <w:rPr>
      <w:rFonts w:asciiTheme="minorHAnsi" w:eastAsiaTheme="minorEastAsia" w:hAnsiTheme="minorHAnsi"/>
      <w:sz w:val="22"/>
      <w:lang w:eastAsia="en-GB"/>
    </w:rPr>
  </w:style>
  <w:style w:type="paragraph" w:styleId="Indholdsfortegnelse3">
    <w:name w:val="toc 3"/>
    <w:basedOn w:val="Normal"/>
    <w:next w:val="Normal"/>
    <w:autoRedefine/>
    <w:uiPriority w:val="39"/>
    <w:unhideWhenUsed/>
    <w:qFormat/>
    <w:rsid w:val="00BF200C"/>
    <w:pPr>
      <w:spacing w:after="100"/>
      <w:ind w:left="440"/>
    </w:pPr>
    <w:rPr>
      <w:rFonts w:asciiTheme="minorHAnsi" w:eastAsiaTheme="minorEastAsia" w:hAnsiTheme="minorHAnsi"/>
      <w:sz w:val="22"/>
      <w:lang w:eastAsia="en-GB"/>
    </w:rPr>
  </w:style>
  <w:style w:type="paragraph" w:styleId="Markeringsbobletekst">
    <w:name w:val="Balloon Text"/>
    <w:basedOn w:val="Normal"/>
    <w:link w:val="MarkeringsbobletekstTegn"/>
    <w:uiPriority w:val="99"/>
    <w:semiHidden/>
    <w:unhideWhenUsed/>
    <w:rsid w:val="00BF200C"/>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F200C"/>
    <w:rPr>
      <w:rFonts w:ascii="Tahoma" w:hAnsi="Tahoma" w:cs="Tahoma"/>
      <w:sz w:val="16"/>
      <w:szCs w:val="16"/>
    </w:rPr>
  </w:style>
  <w:style w:type="paragraph" w:styleId="Fodnotetekst">
    <w:name w:val="footnote text"/>
    <w:basedOn w:val="Normal"/>
    <w:link w:val="FodnotetekstTegn"/>
    <w:uiPriority w:val="99"/>
    <w:unhideWhenUsed/>
    <w:rsid w:val="00FA5BFC"/>
    <w:pPr>
      <w:spacing w:after="0" w:line="240" w:lineRule="auto"/>
    </w:pPr>
    <w:rPr>
      <w:sz w:val="20"/>
      <w:szCs w:val="20"/>
    </w:rPr>
  </w:style>
  <w:style w:type="character" w:customStyle="1" w:styleId="FodnotetekstTegn">
    <w:name w:val="Fodnotetekst Tegn"/>
    <w:basedOn w:val="Standardskrifttypeiafsnit"/>
    <w:link w:val="Fodnotetekst"/>
    <w:uiPriority w:val="99"/>
    <w:rsid w:val="00FA5BFC"/>
    <w:rPr>
      <w:rFonts w:ascii="Garamond" w:hAnsi="Garamond"/>
      <w:sz w:val="20"/>
      <w:szCs w:val="20"/>
    </w:rPr>
  </w:style>
  <w:style w:type="character" w:customStyle="1" w:styleId="Fodnotetegn">
    <w:name w:val="Fodnotetegn"/>
    <w:rsid w:val="00FA5BFC"/>
  </w:style>
  <w:style w:type="character" w:styleId="Kommentarhenvisning">
    <w:name w:val="annotation reference"/>
    <w:uiPriority w:val="99"/>
    <w:semiHidden/>
    <w:unhideWhenUsed/>
    <w:rsid w:val="00FA5BFC"/>
    <w:rPr>
      <w:sz w:val="16"/>
      <w:szCs w:val="16"/>
    </w:rPr>
  </w:style>
  <w:style w:type="paragraph" w:styleId="Kommentartekst">
    <w:name w:val="annotation text"/>
    <w:basedOn w:val="Normal"/>
    <w:link w:val="KommentartekstTegn"/>
    <w:uiPriority w:val="99"/>
    <w:unhideWhenUsed/>
    <w:rsid w:val="00FA5BFC"/>
    <w:pPr>
      <w:widowControl w:val="0"/>
      <w:suppressAutoHyphens/>
      <w:spacing w:after="0" w:line="240" w:lineRule="auto"/>
    </w:pPr>
    <w:rPr>
      <w:rFonts w:ascii="Times New Roman" w:eastAsia="SimSun" w:hAnsi="Times New Roman" w:cs="Mangal"/>
      <w:kern w:val="1"/>
      <w:sz w:val="20"/>
      <w:szCs w:val="18"/>
      <w:lang w:val="en-US" w:eastAsia="hi-IN" w:bidi="hi-IN"/>
    </w:rPr>
  </w:style>
  <w:style w:type="character" w:customStyle="1" w:styleId="KommentartekstTegn">
    <w:name w:val="Kommentartekst Tegn"/>
    <w:basedOn w:val="Standardskrifttypeiafsnit"/>
    <w:link w:val="Kommentartekst"/>
    <w:uiPriority w:val="99"/>
    <w:rsid w:val="00FA5BFC"/>
    <w:rPr>
      <w:rFonts w:ascii="Times New Roman" w:eastAsia="SimSun" w:hAnsi="Times New Roman" w:cs="Mangal"/>
      <w:kern w:val="1"/>
      <w:sz w:val="20"/>
      <w:szCs w:val="18"/>
      <w:lang w:val="en-US" w:eastAsia="hi-IN" w:bidi="hi-IN"/>
    </w:rPr>
  </w:style>
  <w:style w:type="paragraph" w:styleId="Sidehoved">
    <w:name w:val="header"/>
    <w:basedOn w:val="Normal"/>
    <w:link w:val="SidehovedTegn"/>
    <w:uiPriority w:val="99"/>
    <w:unhideWhenUsed/>
    <w:rsid w:val="0056095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60957"/>
    <w:rPr>
      <w:rFonts w:ascii="Garamond" w:hAnsi="Garamond"/>
      <w:sz w:val="24"/>
    </w:rPr>
  </w:style>
  <w:style w:type="paragraph" w:styleId="Sidefod">
    <w:name w:val="footer"/>
    <w:basedOn w:val="Normal"/>
    <w:link w:val="SidefodTegn"/>
    <w:uiPriority w:val="99"/>
    <w:unhideWhenUsed/>
    <w:rsid w:val="0056095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60957"/>
    <w:rPr>
      <w:rFonts w:ascii="Garamond" w:hAnsi="Garamond"/>
      <w:sz w:val="24"/>
    </w:rPr>
  </w:style>
  <w:style w:type="character" w:styleId="Hyperlink">
    <w:name w:val="Hyperlink"/>
    <w:basedOn w:val="Standardskrifttypeiafsnit"/>
    <w:uiPriority w:val="99"/>
    <w:unhideWhenUsed/>
    <w:rsid w:val="00560957"/>
    <w:rPr>
      <w:color w:val="0000FF" w:themeColor="hyperlink"/>
      <w:u w:val="single"/>
    </w:rPr>
  </w:style>
  <w:style w:type="character" w:styleId="Fodnotehenvisning">
    <w:name w:val="footnote reference"/>
    <w:aliases w:val=" Char Char1 Char Char Char Char1 Char Char Char Char Char Char Char Char Char Char Char Char Char Char Char Char Char Char Tegn Tegn Char Char Char Char Char Char Char Char Char Char Char,BVI fnr Char Char Char Char Char Char Char"/>
    <w:basedOn w:val="Standardskrifttypeiafsnit"/>
    <w:link w:val="CharChar1CharCharCharChar1CharCharCharCharCharCharCharCharCharCharCharCharCharCharCharCharCharCharTegnTegnCharCharCharCharCharCharCharCharCharChar"/>
    <w:uiPriority w:val="99"/>
    <w:unhideWhenUsed/>
    <w:rsid w:val="00D845CE"/>
    <w:rPr>
      <w:vertAlign w:val="superscript"/>
    </w:rPr>
  </w:style>
  <w:style w:type="paragraph" w:customStyle="1" w:styleId="CharChar1CharCharCharChar1CharCharCharCharCharCharCharCharCharCharCharCharCharCharCharCharCharCharTegnTegnCharCharCharCharCharCharCharCharCharChar">
    <w:name w:val="Char Char1 Char Char Char Char1 Char Char Char Char Char Char Char Char Char Char Char Char Char Char Char Char Char Char Tegn Tegn Char Char Char Char Char Char Char Char Char Char"/>
    <w:aliases w:val="BVI fnr Char Char Char Char Char"/>
    <w:basedOn w:val="Normal"/>
    <w:next w:val="Normal"/>
    <w:link w:val="Fodnotehenvisning"/>
    <w:uiPriority w:val="99"/>
    <w:rsid w:val="00E13332"/>
    <w:pPr>
      <w:spacing w:after="160" w:line="240" w:lineRule="exact"/>
    </w:pPr>
    <w:rPr>
      <w:rFonts w:asciiTheme="minorHAnsi" w:hAnsiTheme="minorHAnsi"/>
      <w:sz w:val="22"/>
      <w:vertAlign w:val="superscript"/>
    </w:rPr>
  </w:style>
  <w:style w:type="table" w:styleId="Tabel-Gitter">
    <w:name w:val="Table Grid"/>
    <w:basedOn w:val="Tabel-Normal"/>
    <w:uiPriority w:val="59"/>
    <w:rsid w:val="00D845CE"/>
    <w:pPr>
      <w:spacing w:after="0" w:line="240" w:lineRule="auto"/>
    </w:pPr>
    <w:rPr>
      <w:rFonts w:ascii="Verdana" w:hAnsi="Verdana"/>
      <w:sz w:val="20"/>
      <w:szCs w:val="2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BC6EC6"/>
    <w:pPr>
      <w:ind w:left="720"/>
      <w:contextualSpacing/>
    </w:pPr>
    <w:rPr>
      <w:rFonts w:ascii="Verdana" w:hAnsi="Verdana"/>
      <w:sz w:val="20"/>
      <w:szCs w:val="20"/>
      <w:lang w:val="da-DK"/>
    </w:rPr>
  </w:style>
  <w:style w:type="paragraph" w:styleId="Kommentaremne">
    <w:name w:val="annotation subject"/>
    <w:basedOn w:val="Kommentartekst"/>
    <w:next w:val="Kommentartekst"/>
    <w:link w:val="KommentaremneTegn"/>
    <w:uiPriority w:val="99"/>
    <w:semiHidden/>
    <w:unhideWhenUsed/>
    <w:rsid w:val="00073AC5"/>
    <w:pPr>
      <w:widowControl/>
      <w:suppressAutoHyphens w:val="0"/>
      <w:spacing w:after="200"/>
    </w:pPr>
    <w:rPr>
      <w:rFonts w:ascii="Garamond" w:eastAsiaTheme="minorHAnsi" w:hAnsi="Garamond" w:cstheme="minorBidi"/>
      <w:b/>
      <w:bCs/>
      <w:kern w:val="0"/>
      <w:szCs w:val="20"/>
      <w:lang w:val="en-GB" w:eastAsia="en-US" w:bidi="ar-SA"/>
    </w:rPr>
  </w:style>
  <w:style w:type="character" w:customStyle="1" w:styleId="KommentaremneTegn">
    <w:name w:val="Kommentaremne Tegn"/>
    <w:basedOn w:val="KommentartekstTegn"/>
    <w:link w:val="Kommentaremne"/>
    <w:uiPriority w:val="99"/>
    <w:semiHidden/>
    <w:rsid w:val="00073AC5"/>
    <w:rPr>
      <w:rFonts w:ascii="Garamond" w:eastAsia="SimSun" w:hAnsi="Garamond" w:cs="Mangal"/>
      <w:b/>
      <w:bCs/>
      <w:kern w:val="1"/>
      <w:sz w:val="20"/>
      <w:szCs w:val="20"/>
      <w:lang w:val="en-US" w:eastAsia="hi-IN" w:bidi="hi-IN"/>
    </w:rPr>
  </w:style>
  <w:style w:type="paragraph" w:styleId="NormalWeb">
    <w:name w:val="Normal (Web)"/>
    <w:basedOn w:val="Normal"/>
    <w:uiPriority w:val="99"/>
    <w:semiHidden/>
    <w:unhideWhenUsed/>
    <w:rsid w:val="00A81F35"/>
    <w:pPr>
      <w:spacing w:before="100" w:beforeAutospacing="1" w:after="100" w:afterAutospacing="1" w:line="240" w:lineRule="auto"/>
    </w:pPr>
    <w:rPr>
      <w:rFonts w:ascii="Times New Roman" w:eastAsia="Times New Roman" w:hAnsi="Times New Roman" w:cs="Times New Roman"/>
      <w:szCs w:val="24"/>
      <w:lang w:val="da-DK" w:eastAsia="da-DK"/>
    </w:rPr>
  </w:style>
  <w:style w:type="table" w:customStyle="1" w:styleId="Tabel-Gitter1">
    <w:name w:val="Tabel - Gitter1"/>
    <w:basedOn w:val="Tabel-Normal"/>
    <w:next w:val="Tabel-Gitter"/>
    <w:uiPriority w:val="59"/>
    <w:rsid w:val="00815E81"/>
    <w:pPr>
      <w:spacing w:after="0" w:line="240" w:lineRule="auto"/>
    </w:pPr>
    <w:rPr>
      <w:rFonts w:ascii="Verdana" w:hAnsi="Verdana"/>
      <w:sz w:val="20"/>
      <w:szCs w:val="2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7940"/>
    <w:pPr>
      <w:autoSpaceDE w:val="0"/>
      <w:autoSpaceDN w:val="0"/>
      <w:adjustRightInd w:val="0"/>
      <w:spacing w:after="0" w:line="240" w:lineRule="auto"/>
    </w:pPr>
    <w:rPr>
      <w:rFonts w:ascii="Calibri" w:hAnsi="Calibri" w:cs="Calibri"/>
      <w:color w:val="000000"/>
      <w:sz w:val="24"/>
      <w:szCs w:val="24"/>
    </w:rPr>
  </w:style>
  <w:style w:type="paragraph" w:customStyle="1" w:styleId="Standard">
    <w:name w:val="Standard"/>
    <w:rsid w:val="008D34F6"/>
    <w:pPr>
      <w:suppressAutoHyphens/>
      <w:autoSpaceDN w:val="0"/>
      <w:spacing w:after="0" w:line="240" w:lineRule="auto"/>
      <w:textAlignment w:val="baseline"/>
    </w:pPr>
    <w:rPr>
      <w:rFonts w:ascii="MetaNormal-Roman" w:eastAsia="Times New Roman" w:hAnsi="MetaNormal-Roman" w:cs="Times New Roman"/>
      <w:kern w:val="3"/>
      <w:sz w:val="17"/>
      <w:szCs w:val="17"/>
      <w:lang w:val="en-US" w:eastAsia="zh-CN" w:bidi="hi-IN"/>
    </w:rPr>
  </w:style>
  <w:style w:type="paragraph" w:styleId="Korrektur">
    <w:name w:val="Revision"/>
    <w:hidden/>
    <w:uiPriority w:val="99"/>
    <w:semiHidden/>
    <w:rsid w:val="006C290B"/>
    <w:pPr>
      <w:spacing w:after="0" w:line="240" w:lineRule="auto"/>
    </w:pPr>
    <w:rPr>
      <w:rFonts w:ascii="Garamond" w:hAnsi="Garamond"/>
      <w:sz w:val="24"/>
    </w:rPr>
  </w:style>
  <w:style w:type="table" w:styleId="Mediumskygge1">
    <w:name w:val="Medium Shading 1"/>
    <w:basedOn w:val="Tabel-Normal"/>
    <w:uiPriority w:val="63"/>
    <w:rsid w:val="00D07192"/>
    <w:pPr>
      <w:spacing w:after="0" w:line="240" w:lineRule="auto"/>
    </w:pPr>
    <w:rPr>
      <w:lang w:val="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Grid1">
    <w:name w:val="Table Grid1"/>
    <w:basedOn w:val="Tabel-Normal"/>
    <w:next w:val="Tabel-Gitter"/>
    <w:uiPriority w:val="59"/>
    <w:rsid w:val="00E65B00"/>
    <w:pPr>
      <w:spacing w:after="0" w:line="240" w:lineRule="auto"/>
    </w:pPr>
    <w:rPr>
      <w:rFonts w:ascii="Verdana" w:hAnsi="Verdana"/>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holdsfortegnelse4">
    <w:name w:val="toc 4"/>
    <w:basedOn w:val="Normal"/>
    <w:next w:val="Normal"/>
    <w:autoRedefine/>
    <w:uiPriority w:val="39"/>
    <w:unhideWhenUsed/>
    <w:rsid w:val="001D1830"/>
    <w:pPr>
      <w:spacing w:after="100"/>
      <w:ind w:left="660"/>
    </w:pPr>
    <w:rPr>
      <w:rFonts w:asciiTheme="minorHAnsi" w:eastAsiaTheme="minorEastAsia" w:hAnsiTheme="minorHAnsi"/>
      <w:sz w:val="22"/>
      <w:lang w:val="da-DK" w:eastAsia="da-DK"/>
    </w:rPr>
  </w:style>
  <w:style w:type="paragraph" w:styleId="Indholdsfortegnelse5">
    <w:name w:val="toc 5"/>
    <w:basedOn w:val="Normal"/>
    <w:next w:val="Normal"/>
    <w:autoRedefine/>
    <w:uiPriority w:val="39"/>
    <w:unhideWhenUsed/>
    <w:rsid w:val="001D1830"/>
    <w:pPr>
      <w:spacing w:after="100"/>
      <w:ind w:left="880"/>
    </w:pPr>
    <w:rPr>
      <w:rFonts w:asciiTheme="minorHAnsi" w:eastAsiaTheme="minorEastAsia" w:hAnsiTheme="minorHAnsi"/>
      <w:sz w:val="22"/>
      <w:lang w:val="da-DK" w:eastAsia="da-DK"/>
    </w:rPr>
  </w:style>
  <w:style w:type="paragraph" w:styleId="Indholdsfortegnelse6">
    <w:name w:val="toc 6"/>
    <w:basedOn w:val="Normal"/>
    <w:next w:val="Normal"/>
    <w:autoRedefine/>
    <w:uiPriority w:val="39"/>
    <w:unhideWhenUsed/>
    <w:rsid w:val="001D1830"/>
    <w:pPr>
      <w:spacing w:after="100"/>
      <w:ind w:left="1100"/>
    </w:pPr>
    <w:rPr>
      <w:rFonts w:asciiTheme="minorHAnsi" w:eastAsiaTheme="minorEastAsia" w:hAnsiTheme="minorHAnsi"/>
      <w:sz w:val="22"/>
      <w:lang w:val="da-DK" w:eastAsia="da-DK"/>
    </w:rPr>
  </w:style>
  <w:style w:type="paragraph" w:styleId="Indholdsfortegnelse7">
    <w:name w:val="toc 7"/>
    <w:basedOn w:val="Normal"/>
    <w:next w:val="Normal"/>
    <w:autoRedefine/>
    <w:uiPriority w:val="39"/>
    <w:unhideWhenUsed/>
    <w:rsid w:val="001D1830"/>
    <w:pPr>
      <w:spacing w:after="100"/>
      <w:ind w:left="1320"/>
    </w:pPr>
    <w:rPr>
      <w:rFonts w:asciiTheme="minorHAnsi" w:eastAsiaTheme="minorEastAsia" w:hAnsiTheme="minorHAnsi"/>
      <w:sz w:val="22"/>
      <w:lang w:val="da-DK" w:eastAsia="da-DK"/>
    </w:rPr>
  </w:style>
  <w:style w:type="paragraph" w:styleId="Indholdsfortegnelse8">
    <w:name w:val="toc 8"/>
    <w:basedOn w:val="Normal"/>
    <w:next w:val="Normal"/>
    <w:autoRedefine/>
    <w:uiPriority w:val="39"/>
    <w:unhideWhenUsed/>
    <w:rsid w:val="001D1830"/>
    <w:pPr>
      <w:spacing w:after="100"/>
      <w:ind w:left="1540"/>
    </w:pPr>
    <w:rPr>
      <w:rFonts w:asciiTheme="minorHAnsi" w:eastAsiaTheme="minorEastAsia" w:hAnsiTheme="minorHAnsi"/>
      <w:sz w:val="22"/>
      <w:lang w:val="da-DK" w:eastAsia="da-DK"/>
    </w:rPr>
  </w:style>
  <w:style w:type="paragraph" w:styleId="Indholdsfortegnelse9">
    <w:name w:val="toc 9"/>
    <w:basedOn w:val="Normal"/>
    <w:next w:val="Normal"/>
    <w:autoRedefine/>
    <w:uiPriority w:val="39"/>
    <w:unhideWhenUsed/>
    <w:rsid w:val="001D1830"/>
    <w:pPr>
      <w:spacing w:after="100"/>
      <w:ind w:left="1760"/>
    </w:pPr>
    <w:rPr>
      <w:rFonts w:asciiTheme="minorHAnsi" w:eastAsiaTheme="minorEastAsia" w:hAnsiTheme="minorHAnsi"/>
      <w:sz w:val="22"/>
      <w:lang w:val="da-DK" w:eastAsia="da-DK"/>
    </w:rPr>
  </w:style>
  <w:style w:type="table" w:styleId="Lysliste-farve1">
    <w:name w:val="Light List Accent 1"/>
    <w:basedOn w:val="Tabel-Normal"/>
    <w:uiPriority w:val="61"/>
    <w:rsid w:val="00515566"/>
    <w:pPr>
      <w:spacing w:after="0" w:line="240" w:lineRule="auto"/>
    </w:pPr>
    <w:rPr>
      <w:rFonts w:ascii="Verdana" w:hAnsi="Verdana"/>
      <w:sz w:val="20"/>
      <w:szCs w:val="20"/>
      <w:lang w:val="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60325">
      <w:bodyDiv w:val="1"/>
      <w:marLeft w:val="0"/>
      <w:marRight w:val="0"/>
      <w:marTop w:val="0"/>
      <w:marBottom w:val="0"/>
      <w:divBdr>
        <w:top w:val="none" w:sz="0" w:space="0" w:color="auto"/>
        <w:left w:val="none" w:sz="0" w:space="0" w:color="auto"/>
        <w:bottom w:val="none" w:sz="0" w:space="0" w:color="auto"/>
        <w:right w:val="none" w:sz="0" w:space="0" w:color="auto"/>
      </w:divBdr>
    </w:div>
    <w:div w:id="209807167">
      <w:bodyDiv w:val="1"/>
      <w:marLeft w:val="0"/>
      <w:marRight w:val="0"/>
      <w:marTop w:val="0"/>
      <w:marBottom w:val="0"/>
      <w:divBdr>
        <w:top w:val="none" w:sz="0" w:space="0" w:color="auto"/>
        <w:left w:val="none" w:sz="0" w:space="0" w:color="auto"/>
        <w:bottom w:val="none" w:sz="0" w:space="0" w:color="auto"/>
        <w:right w:val="none" w:sz="0" w:space="0" w:color="auto"/>
      </w:divBdr>
    </w:div>
    <w:div w:id="1099988554">
      <w:bodyDiv w:val="1"/>
      <w:marLeft w:val="0"/>
      <w:marRight w:val="0"/>
      <w:marTop w:val="0"/>
      <w:marBottom w:val="0"/>
      <w:divBdr>
        <w:top w:val="none" w:sz="0" w:space="0" w:color="auto"/>
        <w:left w:val="none" w:sz="0" w:space="0" w:color="auto"/>
        <w:bottom w:val="none" w:sz="0" w:space="0" w:color="auto"/>
        <w:right w:val="none" w:sz="0" w:space="0" w:color="auto"/>
      </w:divBdr>
    </w:div>
    <w:div w:id="1277256618">
      <w:bodyDiv w:val="1"/>
      <w:marLeft w:val="0"/>
      <w:marRight w:val="0"/>
      <w:marTop w:val="0"/>
      <w:marBottom w:val="0"/>
      <w:divBdr>
        <w:top w:val="none" w:sz="0" w:space="0" w:color="auto"/>
        <w:left w:val="none" w:sz="0" w:space="0" w:color="auto"/>
        <w:bottom w:val="none" w:sz="0" w:space="0" w:color="auto"/>
        <w:right w:val="none" w:sz="0" w:space="0" w:color="auto"/>
      </w:divBdr>
    </w:div>
    <w:div w:id="1848710442">
      <w:bodyDiv w:val="1"/>
      <w:marLeft w:val="0"/>
      <w:marRight w:val="0"/>
      <w:marTop w:val="0"/>
      <w:marBottom w:val="0"/>
      <w:divBdr>
        <w:top w:val="none" w:sz="0" w:space="0" w:color="auto"/>
        <w:left w:val="none" w:sz="0" w:space="0" w:color="auto"/>
        <w:bottom w:val="none" w:sz="0" w:space="0" w:color="auto"/>
        <w:right w:val="none" w:sz="0" w:space="0" w:color="auto"/>
      </w:divBdr>
    </w:div>
    <w:div w:id="205522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bdialogue.org/en/" TargetMode="External"/><Relationship Id="rId13" Type="http://schemas.openxmlformats.org/officeDocument/2006/relationships/hyperlink" Target="https://www.gov.uk/government/organisations/stabilisation-unit" TargetMode="External"/><Relationship Id="rId18" Type="http://schemas.openxmlformats.org/officeDocument/2006/relationships/hyperlink" Target="http://www.crisisgroup.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agendaforhumanity.org" TargetMode="External"/><Relationship Id="rId7" Type="http://schemas.openxmlformats.org/officeDocument/2006/relationships/endnotes" Target="endnotes.xml"/><Relationship Id="rId12" Type="http://schemas.openxmlformats.org/officeDocument/2006/relationships/hyperlink" Target="https://www.globalwitness.org/en-gb/" TargetMode="External"/><Relationship Id="rId17" Type="http://schemas.openxmlformats.org/officeDocument/2006/relationships/hyperlink" Target="http://www.fundforpeace.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conomicsandpeace.org" TargetMode="External"/><Relationship Id="rId20" Type="http://schemas.openxmlformats.org/officeDocument/2006/relationships/hyperlink" Target="http://reliefweb.int/countr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lobalinitiative.ne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ec.europa.eu/europeaid/policies/fragility-and-crisis-management_en" TargetMode="External"/><Relationship Id="rId23" Type="http://schemas.openxmlformats.org/officeDocument/2006/relationships/hyperlink" Target="http://tbinternet.ohchr.org/_layouts/TreatyBodyExternal/MasterCalendar.aspx?Type=Session&amp;Lang=En" TargetMode="External"/><Relationship Id="rId10" Type="http://schemas.openxmlformats.org/officeDocument/2006/relationships/hyperlink" Target="http://www.worldbank.org/en/topic/fragilityconflictviolence" TargetMode="External"/><Relationship Id="rId19" Type="http://schemas.openxmlformats.org/officeDocument/2006/relationships/hyperlink" Target="http://data.worldbank.org" TargetMode="External"/><Relationship Id="rId4" Type="http://schemas.openxmlformats.org/officeDocument/2006/relationships/settings" Target="settings.xml"/><Relationship Id="rId9" Type="http://schemas.openxmlformats.org/officeDocument/2006/relationships/hyperlink" Target="http://www.oecd.org/dac/governance-peace/conflictfragilityandresilience/" TargetMode="External"/><Relationship Id="rId14" Type="http://schemas.openxmlformats.org/officeDocument/2006/relationships/hyperlink" Target="http://www.dcaf.ch/" TargetMode="External"/><Relationship Id="rId22" Type="http://schemas.openxmlformats.org/officeDocument/2006/relationships/hyperlink" Target="http://unsdsn.org/wp-content/uploads/2016/05/WHS-background-paper.pdf"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294A1-0022-4756-AB52-3E3F81713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2665</Words>
  <Characters>16262</Characters>
  <Application>Microsoft Office Word</Application>
  <DocSecurity>0</DocSecurity>
  <Lines>135</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Udenrigsministeriet</Company>
  <LinksUpToDate>false</LinksUpToDate>
  <CharactersWithSpaces>18890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Taus Hansen</dc:creator>
  <cp:lastModifiedBy>Frank Rothaus Jensen</cp:lastModifiedBy>
  <cp:revision>2</cp:revision>
  <cp:lastPrinted>2017-12-05T12:19:00Z</cp:lastPrinted>
  <dcterms:created xsi:type="dcterms:W3CDTF">2018-01-17T08:00:00Z</dcterms:created>
  <dcterms:modified xsi:type="dcterms:W3CDTF">2018-01-17T08:00:00Z</dcterms:modified>
</cp:coreProperties>
</file>