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7F6D6A" w14:textId="56F9DFC8" w:rsidR="00F10E88" w:rsidRPr="00F10E88" w:rsidRDefault="00F10E88" w:rsidP="00F10E88">
      <w:pPr>
        <w:rPr>
          <w:b/>
          <w:bCs/>
        </w:rPr>
      </w:pPr>
      <w:bookmarkStart w:id="0" w:name="_GoBack"/>
      <w:bookmarkEnd w:id="0"/>
      <w:r w:rsidRPr="00F10E88">
        <w:rPr>
          <w:b/>
          <w:bCs/>
        </w:rPr>
        <w:t>Mulighed for genoptagelse af visse sager om tabt dansk statsborgerskab</w:t>
      </w:r>
    </w:p>
    <w:p w14:paraId="7B957410" w14:textId="77777777" w:rsidR="00F10E88" w:rsidRDefault="00F10E88" w:rsidP="00F10E88"/>
    <w:p w14:paraId="21B303DB" w14:textId="6CBF2258" w:rsidR="00F10E88" w:rsidRDefault="00F10E88" w:rsidP="00F10E88">
      <w:r>
        <w:t>(UNDERRUBRIK:)</w:t>
      </w:r>
    </w:p>
    <w:p w14:paraId="0EA68315" w14:textId="6BA7A04E" w:rsidR="00F10E88" w:rsidRDefault="00F10E88" w:rsidP="00F10E88">
      <w:r>
        <w:t>Mulighed for genoptagelse af visse sager om fortabelse af dansk statsborgerskab efter den tidligere § 7 i indfødsretsloven på baggrund af en dom fra EU-Domstolen</w:t>
      </w:r>
    </w:p>
    <w:p w14:paraId="24FF6C96" w14:textId="1C73471D" w:rsidR="00F10E88" w:rsidRDefault="00F10E88" w:rsidP="00F10E88"/>
    <w:p w14:paraId="0D7BD1B2" w14:textId="71CD5025" w:rsidR="00F10E88" w:rsidRDefault="00F10E88" w:rsidP="00F10E88">
      <w:r>
        <w:t>(TEKST:)</w:t>
      </w:r>
    </w:p>
    <w:p w14:paraId="75F5738E" w14:textId="77777777" w:rsidR="00F10E88" w:rsidRDefault="00F10E88" w:rsidP="00F10E88">
      <w:r>
        <w:t>På baggrund af en dom afsagt af EU-Domstolen den 25. april 2024 i sagerne C-684/22 til C-686/22, har Udlændinge- og Integrationsministeriet vurderet, at ministeriet ved vurderingen af fortabelse af dansk statsborgerskab som følge af erhvervelse af fremmed statsborgerskab efter den tidligere gældende § 7 i indfødsretsloven vil skulle inddrage en række yderligere momenter med henblik på at foretage en individuel prøvelse af virkningerne i forhold til EU-retten af en fortabelse af dansk statsborgerskab og dermed unionsborgerskabet.</w:t>
      </w:r>
    </w:p>
    <w:p w14:paraId="645F1036" w14:textId="77777777" w:rsidR="00F10E88" w:rsidRDefault="00F10E88" w:rsidP="00F10E88"/>
    <w:p w14:paraId="2DFDCAC0" w14:textId="77777777" w:rsidR="00F10E88" w:rsidRDefault="00F10E88" w:rsidP="00F10E88">
      <w:r>
        <w:t xml:space="preserve">Denne vurdering er ikke tidligere foretaget i sager, hvor der er foretaget en fortabelsesvurdering efter den tidligere gældende § 7 i indfødsretsloven. </w:t>
      </w:r>
    </w:p>
    <w:p w14:paraId="7C57E723" w14:textId="77777777" w:rsidR="00F10E88" w:rsidRDefault="00F10E88" w:rsidP="00F10E88"/>
    <w:p w14:paraId="534B1D2E" w14:textId="77777777" w:rsidR="00F10E88" w:rsidRDefault="00F10E88" w:rsidP="00F10E88">
      <w:r>
        <w:t>Udlændinge- og Integrationsministeriet vil således fremover i alle sager, hvor fortabelsen af det danske statsborgerskab også indebærer en fortabelse af unionsborgerskabet, foretage en vurdering af, om virkningerne i forhold til EU-retten af fortabelsen af unionsborgerskabet er proportionale med fortabelsen.</w:t>
      </w:r>
    </w:p>
    <w:p w14:paraId="03AB441B" w14:textId="77777777" w:rsidR="00F10E88" w:rsidRDefault="00F10E88" w:rsidP="00F10E88"/>
    <w:p w14:paraId="5C6083D8" w14:textId="77777777" w:rsidR="00F10E88" w:rsidRDefault="00F10E88" w:rsidP="00F10E88">
      <w:r>
        <w:t>Det er desuden Udlændinge- og Integrationsministeriets vurdering, at der er behov for at ændre indfødsretsloven for at sikre klarhed over borgernes retsstilling.</w:t>
      </w:r>
    </w:p>
    <w:p w14:paraId="7DAECC9B" w14:textId="77777777" w:rsidR="00F10E88" w:rsidRDefault="00F10E88" w:rsidP="00F10E88"/>
    <w:p w14:paraId="35EC6007" w14:textId="4629D5EF" w:rsidR="00F10E88" w:rsidRDefault="00F10E88" w:rsidP="00F10E88">
      <w:r>
        <w:t xml:space="preserve">Se Udlændinge- og Integrationsministerens orientering af Folketinget om dommen og dens retsvirkninger her </w:t>
      </w:r>
      <w:hyperlink r:id="rId4" w:history="1">
        <w:r>
          <w:rPr>
            <w:rStyle w:val="Hyperlink"/>
          </w:rPr>
          <w:t xml:space="preserve">UUI </w:t>
        </w:r>
        <w:proofErr w:type="spellStart"/>
        <w:r>
          <w:rPr>
            <w:rStyle w:val="Hyperlink"/>
          </w:rPr>
          <w:t>Almdel</w:t>
        </w:r>
        <w:proofErr w:type="spellEnd"/>
        <w:r>
          <w:rPr>
            <w:rStyle w:val="Hyperlink"/>
          </w:rPr>
          <w:t xml:space="preserve"> Bilag 145 Notat om opfølgning på </w:t>
        </w:r>
        <w:proofErr w:type="spellStart"/>
        <w:r>
          <w:rPr>
            <w:rStyle w:val="Hyperlink"/>
          </w:rPr>
          <w:t>EUDomstolens</w:t>
        </w:r>
        <w:proofErr w:type="spellEnd"/>
        <w:r>
          <w:rPr>
            <w:rStyle w:val="Hyperlink"/>
          </w:rPr>
          <w:t xml:space="preserve"> </w:t>
        </w:r>
        <w:proofErr w:type="spellStart"/>
        <w:r>
          <w:rPr>
            <w:rStyle w:val="Hyperlink"/>
          </w:rPr>
          <w:t>dompdf</w:t>
        </w:r>
        <w:proofErr w:type="spellEnd"/>
        <w:r>
          <w:rPr>
            <w:rStyle w:val="Hyperlink"/>
          </w:rPr>
          <w:t xml:space="preserve"> (ft.dk)</w:t>
        </w:r>
      </w:hyperlink>
    </w:p>
    <w:p w14:paraId="482CC0FD" w14:textId="77777777" w:rsidR="00F10E88" w:rsidRDefault="00F10E88" w:rsidP="00F10E88"/>
    <w:p w14:paraId="77F47895" w14:textId="77777777" w:rsidR="00F10E88" w:rsidRPr="00F10E88" w:rsidRDefault="00F10E88" w:rsidP="00F10E88">
      <w:pPr>
        <w:rPr>
          <w:b/>
          <w:bCs/>
        </w:rPr>
      </w:pPr>
      <w:r w:rsidRPr="00F10E88">
        <w:rPr>
          <w:b/>
          <w:bCs/>
        </w:rPr>
        <w:t>Mulighed for genoptagelse</w:t>
      </w:r>
    </w:p>
    <w:p w14:paraId="78C2E1B0" w14:textId="77777777" w:rsidR="00F10E88" w:rsidRDefault="00F10E88" w:rsidP="00F10E88">
      <w:r>
        <w:t xml:space="preserve">Dommen får retsvirkninger fra ikrafttrædelsen af den fortolkede regel, TEUF artikel 20, som trådte i kraft den 1. november 1993. </w:t>
      </w:r>
    </w:p>
    <w:p w14:paraId="67591CFD" w14:textId="77777777" w:rsidR="00F10E88" w:rsidRDefault="00F10E88" w:rsidP="00F10E88"/>
    <w:p w14:paraId="60BA0015" w14:textId="77777777" w:rsidR="00F10E88" w:rsidRDefault="00F10E88" w:rsidP="00F10E88">
      <w:r>
        <w:t xml:space="preserve">Tidligere danske statsborgere, der har erhvervet et fremmed statsborgerskab i perioden mellem den 1. november 1993 og forud for den 1. september 2015, hvor indfødsretslovens § 7 </w:t>
      </w:r>
      <w:r>
        <w:lastRenderedPageBreak/>
        <w:t xml:space="preserve">blev ophævet, og dermed har fortabt deres danske statsborgerskab, og som har modtaget en afgørelse fra Udlændinge- og Integrationsministeriet om fortabelse af statsborgerskab, hvorved de også mistede deres unionsborgerskab, vil kunne anmode ministeriet om at genoptage deres sag. </w:t>
      </w:r>
    </w:p>
    <w:p w14:paraId="5AA20E3A" w14:textId="77777777" w:rsidR="00F10E88" w:rsidRDefault="00F10E88" w:rsidP="00F10E88"/>
    <w:p w14:paraId="1608B6CB" w14:textId="00CEE17D" w:rsidR="00F10E88" w:rsidRDefault="00F10E88" w:rsidP="00F10E88">
      <w:r>
        <w:t xml:space="preserve">Læs EU-Domstolens dom af 25. april 2024 i sagerne C-684/22 til C-686/22 </w:t>
      </w:r>
      <w:hyperlink r:id="rId5" w:history="1">
        <w:r>
          <w:rPr>
            <w:rStyle w:val="Hyperlink"/>
          </w:rPr>
          <w:t>CURIA - Dokumenter (uim.dk)</w:t>
        </w:r>
      </w:hyperlink>
      <w:r>
        <w:t xml:space="preserve"> </w:t>
      </w:r>
    </w:p>
    <w:p w14:paraId="6759368D" w14:textId="77777777" w:rsidR="00F10E88" w:rsidRDefault="00F10E88" w:rsidP="00F10E88"/>
    <w:p w14:paraId="648EB0E3" w14:textId="77777777" w:rsidR="00F10E88" w:rsidRDefault="00F10E88" w:rsidP="00F10E88"/>
    <w:p w14:paraId="4EF6011C" w14:textId="77777777" w:rsidR="007D2987" w:rsidRDefault="007D2987"/>
    <w:sectPr w:rsidR="007D2987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E88"/>
    <w:rsid w:val="00200BCD"/>
    <w:rsid w:val="003D10A7"/>
    <w:rsid w:val="007D2987"/>
    <w:rsid w:val="00F10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D8A802"/>
  <w15:chartTrackingRefBased/>
  <w15:docId w15:val="{CC8303EB-3471-441B-BE40-9A59C3C7E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Theme="minorHAnsi" w:hAnsi="Verdana" w:cstheme="minorBidi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10E8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im.dk/media/12640/dom-c-68422-til-c-68622.pdf" TargetMode="External"/><Relationship Id="rId4" Type="http://schemas.openxmlformats.org/officeDocument/2006/relationships/hyperlink" Target="https://www.ft.dk/samling/20231/almdel/UUI/bilag/145/2900991.pdf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369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Jytte Nielsen</dc:creator>
  <cp:keywords/>
  <dc:description/>
  <cp:lastModifiedBy>Rita Khalil</cp:lastModifiedBy>
  <cp:revision>2</cp:revision>
  <dcterms:created xsi:type="dcterms:W3CDTF">2024-10-02T07:52:00Z</dcterms:created>
  <dcterms:modified xsi:type="dcterms:W3CDTF">2024-10-02T07:52:00Z</dcterms:modified>
</cp:coreProperties>
</file>