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CF6B" w14:textId="77777777" w:rsidR="002C6337" w:rsidRDefault="003F3DA9" w:rsidP="00951DE6">
      <w:pPr>
        <w:jc w:val="both"/>
        <w:rPr>
          <w:rFonts w:ascii="Garamond" w:hAnsi="Garamond"/>
          <w:b/>
          <w:bCs/>
          <w:sz w:val="26"/>
          <w:szCs w:val="26"/>
          <w:lang w:val="en-GB"/>
        </w:rPr>
      </w:pPr>
      <w:r>
        <w:rPr>
          <w:rFonts w:ascii="Garamond" w:hAnsi="Garamond"/>
          <w:b/>
          <w:bCs/>
          <w:sz w:val="26"/>
          <w:szCs w:val="26"/>
          <w:lang w:val="en-GB"/>
        </w:rPr>
        <w:t xml:space="preserve">Annex </w:t>
      </w:r>
      <w:r w:rsidR="002C6337">
        <w:rPr>
          <w:rFonts w:ascii="Garamond" w:hAnsi="Garamond"/>
          <w:b/>
          <w:bCs/>
          <w:sz w:val="26"/>
          <w:szCs w:val="26"/>
          <w:lang w:val="en-GB"/>
        </w:rPr>
        <w:t>G</w:t>
      </w:r>
      <w:r w:rsidR="00951DE6">
        <w:rPr>
          <w:rFonts w:ascii="Garamond" w:hAnsi="Garamond"/>
          <w:b/>
          <w:bCs/>
          <w:sz w:val="26"/>
          <w:szCs w:val="26"/>
          <w:lang w:val="en-GB"/>
        </w:rPr>
        <w:t xml:space="preserve"> </w:t>
      </w:r>
    </w:p>
    <w:p w14:paraId="79F5BDDC" w14:textId="2B3E763F" w:rsidR="00951DE6" w:rsidRDefault="00951DE6" w:rsidP="00951DE6">
      <w:pPr>
        <w:jc w:val="both"/>
        <w:rPr>
          <w:rFonts w:ascii="Garamond" w:hAnsi="Garamond"/>
          <w:b/>
          <w:bCs/>
          <w:sz w:val="26"/>
          <w:szCs w:val="26"/>
          <w:lang w:val="en-GB"/>
        </w:rPr>
      </w:pPr>
      <w:r w:rsidRPr="0091081A">
        <w:rPr>
          <w:rFonts w:ascii="Garamond" w:hAnsi="Garamond"/>
          <w:b/>
          <w:bCs/>
          <w:sz w:val="26"/>
          <w:szCs w:val="26"/>
          <w:lang w:val="en-GB"/>
        </w:rPr>
        <w:t xml:space="preserve">Template for Process Action Plan (PAP) for </w:t>
      </w:r>
      <w:r>
        <w:rPr>
          <w:rFonts w:ascii="Garamond" w:hAnsi="Garamond"/>
          <w:b/>
          <w:bCs/>
          <w:sz w:val="26"/>
          <w:szCs w:val="26"/>
          <w:lang w:val="en-GB"/>
        </w:rPr>
        <w:t>Stand-alone Projects below</w:t>
      </w:r>
      <w:r w:rsidRPr="0091081A">
        <w:rPr>
          <w:rFonts w:ascii="Garamond" w:hAnsi="Garamond"/>
          <w:b/>
          <w:bCs/>
          <w:sz w:val="26"/>
          <w:szCs w:val="26"/>
          <w:lang w:val="en-GB"/>
        </w:rPr>
        <w:t xml:space="preserve"> DKK </w:t>
      </w:r>
      <w:r>
        <w:rPr>
          <w:rFonts w:ascii="Garamond" w:hAnsi="Garamond"/>
          <w:b/>
          <w:bCs/>
          <w:sz w:val="26"/>
          <w:szCs w:val="26"/>
          <w:lang w:val="en-GB"/>
        </w:rPr>
        <w:t>20</w:t>
      </w:r>
      <w:r w:rsidRPr="0091081A">
        <w:rPr>
          <w:rFonts w:ascii="Garamond" w:hAnsi="Garamond"/>
          <w:b/>
          <w:bCs/>
          <w:sz w:val="26"/>
          <w:szCs w:val="26"/>
          <w:lang w:val="en-GB"/>
        </w:rPr>
        <w:t xml:space="preserve"> million</w:t>
      </w:r>
    </w:p>
    <w:p w14:paraId="6381A71E" w14:textId="77777777" w:rsidR="00951DE6" w:rsidRDefault="00951DE6" w:rsidP="00951DE6">
      <w:pPr>
        <w:jc w:val="both"/>
        <w:rPr>
          <w:rFonts w:ascii="Garamond" w:hAnsi="Garamond"/>
          <w:sz w:val="26"/>
          <w:szCs w:val="26"/>
          <w:lang w:val="en-GB"/>
        </w:rPr>
      </w:pPr>
      <w:r w:rsidRPr="0091081A">
        <w:rPr>
          <w:rFonts w:ascii="Garamond" w:hAnsi="Garamond"/>
          <w:sz w:val="26"/>
          <w:szCs w:val="26"/>
          <w:lang w:val="en-GB"/>
        </w:rPr>
        <w:t xml:space="preserve">The table below should be read as an illustrative example of how a process action plan </w:t>
      </w:r>
      <w:r>
        <w:rPr>
          <w:rFonts w:ascii="Garamond" w:hAnsi="Garamond"/>
          <w:sz w:val="26"/>
          <w:szCs w:val="26"/>
          <w:lang w:val="en-GB"/>
        </w:rPr>
        <w:t xml:space="preserve">for the quality assurance and approval process </w:t>
      </w:r>
      <w:r w:rsidRPr="0091081A">
        <w:rPr>
          <w:rFonts w:ascii="Garamond" w:hAnsi="Garamond"/>
          <w:sz w:val="26"/>
          <w:szCs w:val="26"/>
          <w:lang w:val="en-GB"/>
        </w:rPr>
        <w:t xml:space="preserve">may look. It may serve as a template to be amended as needed for the individual process. </w:t>
      </w:r>
    </w:p>
    <w:p w14:paraId="7FF51006" w14:textId="2317D010" w:rsidR="00951DE6" w:rsidRDefault="00951DE6" w:rsidP="00951DE6">
      <w:pPr>
        <w:jc w:val="both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Templates for Process Action Plans are divided in the following thresholds: A) Above DKK 100 million, B) Between DKK 20-100 million, and C) below DKK 20 million. If a grant between DKK 20-100 million is concluded as ‘high risk’ on the kick-off meeting, the template for PAP for programmes and Stand-alone Projects above DKK 100 million should be applied. </w:t>
      </w:r>
    </w:p>
    <w:p w14:paraId="4B61D0AD" w14:textId="668703BF" w:rsidR="00951DE6" w:rsidRDefault="00951DE6" w:rsidP="00951DE6">
      <w:pPr>
        <w:pStyle w:val="Overskrift1"/>
        <w:rPr>
          <w:lang w:val="en-GB"/>
        </w:rPr>
      </w:pPr>
      <w:r>
        <w:rPr>
          <w:lang w:val="en-GB"/>
        </w:rPr>
        <w:t>C) Stand-alone Projects below DKK 20 million</w:t>
      </w:r>
    </w:p>
    <w:p w14:paraId="028F66E0" w14:textId="77777777" w:rsidR="00951DE6" w:rsidRPr="00604939" w:rsidRDefault="00951DE6" w:rsidP="00951DE6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83"/>
        <w:gridCol w:w="2961"/>
        <w:gridCol w:w="2234"/>
        <w:gridCol w:w="2234"/>
        <w:gridCol w:w="1416"/>
      </w:tblGrid>
      <w:tr w:rsidR="00951DE6" w:rsidRPr="0091081A" w14:paraId="79B7CF0B" w14:textId="77777777" w:rsidTr="581EBDBF">
        <w:tc>
          <w:tcPr>
            <w:tcW w:w="783" w:type="dxa"/>
            <w:shd w:val="clear" w:color="auto" w:fill="D6E3BC" w:themeFill="accent3" w:themeFillTint="66"/>
          </w:tcPr>
          <w:p w14:paraId="526A53AD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shd w:val="clear" w:color="auto" w:fill="D6E3BC" w:themeFill="accent3" w:themeFillTint="66"/>
          </w:tcPr>
          <w:p w14:paraId="5418E572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Action</w:t>
            </w:r>
          </w:p>
        </w:tc>
        <w:tc>
          <w:tcPr>
            <w:tcW w:w="2234" w:type="dxa"/>
            <w:shd w:val="clear" w:color="auto" w:fill="D6E3BC" w:themeFill="accent3" w:themeFillTint="66"/>
          </w:tcPr>
          <w:p w14:paraId="5A272FD6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Deadlines</w:t>
            </w:r>
          </w:p>
        </w:tc>
        <w:tc>
          <w:tcPr>
            <w:tcW w:w="2234" w:type="dxa"/>
            <w:shd w:val="clear" w:color="auto" w:fill="D6E3BC" w:themeFill="accent3" w:themeFillTint="66"/>
          </w:tcPr>
          <w:p w14:paraId="2C631463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Responsible / involved parties</w:t>
            </w:r>
          </w:p>
        </w:tc>
        <w:tc>
          <w:tcPr>
            <w:tcW w:w="1416" w:type="dxa"/>
            <w:shd w:val="clear" w:color="auto" w:fill="D6E3BC" w:themeFill="accent3" w:themeFillTint="66"/>
          </w:tcPr>
          <w:p w14:paraId="7011E62A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Approx. duration in weeks</w:t>
            </w:r>
          </w:p>
        </w:tc>
      </w:tr>
      <w:tr w:rsidR="00951DE6" w:rsidRPr="0052189C" w14:paraId="527DFE97" w14:textId="77777777" w:rsidTr="581EBDBF">
        <w:tc>
          <w:tcPr>
            <w:tcW w:w="783" w:type="dxa"/>
            <w:vMerge w:val="restart"/>
            <w:shd w:val="clear" w:color="auto" w:fill="EAF1DD" w:themeFill="accent3" w:themeFillTint="33"/>
          </w:tcPr>
          <w:p w14:paraId="1B8EC785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8845" w:type="dxa"/>
            <w:gridSpan w:val="4"/>
            <w:shd w:val="clear" w:color="auto" w:fill="EAF1DD" w:themeFill="accent3" w:themeFillTint="33"/>
          </w:tcPr>
          <w:p w14:paraId="4F88E9CB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Identification and PAP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  </w:t>
            </w:r>
          </w:p>
        </w:tc>
      </w:tr>
      <w:tr w:rsidR="00951DE6" w:rsidRPr="002C6337" w14:paraId="4F4B3A22" w14:textId="77777777" w:rsidTr="581EBDBF">
        <w:tc>
          <w:tcPr>
            <w:tcW w:w="783" w:type="dxa"/>
            <w:vMerge/>
            <w:shd w:val="clear" w:color="auto" w:fill="EAF1DD" w:themeFill="accent3" w:themeFillTint="33"/>
          </w:tcPr>
          <w:p w14:paraId="469CCBA2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vAlign w:val="center"/>
          </w:tcPr>
          <w:p w14:paraId="083CEB75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Recruit consultants for the identification process if found needed (</w:t>
            </w:r>
            <w:proofErr w:type="spellStart"/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ToR</w:t>
            </w:r>
            <w:proofErr w:type="spellEnd"/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, tender if needed and contracting)</w:t>
            </w:r>
          </w:p>
        </w:tc>
        <w:tc>
          <w:tcPr>
            <w:tcW w:w="2234" w:type="dxa"/>
            <w:vAlign w:val="center"/>
          </w:tcPr>
          <w:p w14:paraId="2421A6AC" w14:textId="77777777" w:rsidR="00951DE6" w:rsidRPr="0091081A" w:rsidRDefault="00951DE6" w:rsidP="007D2C7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234" w:type="dxa"/>
            <w:vAlign w:val="center"/>
          </w:tcPr>
          <w:p w14:paraId="3A03CCAE" w14:textId="77777777" w:rsidR="00951DE6" w:rsidRPr="0091081A" w:rsidRDefault="00951DE6" w:rsidP="007D2C7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416" w:type="dxa"/>
            <w:vAlign w:val="center"/>
          </w:tcPr>
          <w:p w14:paraId="3ED011E4" w14:textId="77777777" w:rsidR="00951DE6" w:rsidRPr="0091081A" w:rsidRDefault="00951DE6" w:rsidP="007D2C7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From 3 to 8 weeks depending on the procurement process</w:t>
            </w:r>
          </w:p>
        </w:tc>
      </w:tr>
      <w:tr w:rsidR="00951DE6" w:rsidRPr="0091081A" w14:paraId="6885A365" w14:textId="77777777" w:rsidTr="581EBDBF">
        <w:tc>
          <w:tcPr>
            <w:tcW w:w="783" w:type="dxa"/>
            <w:vMerge/>
            <w:shd w:val="clear" w:color="auto" w:fill="EAF1DD" w:themeFill="accent3" w:themeFillTint="33"/>
          </w:tcPr>
          <w:p w14:paraId="1402102F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vAlign w:val="center"/>
          </w:tcPr>
          <w:p w14:paraId="2E3388C8" w14:textId="77777777" w:rsidR="00951DE6" w:rsidRPr="0091081A" w:rsidRDefault="00951DE6" w:rsidP="007D2C7B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Identification process to produce/update background analysis/assessments/studies, political economy analysis/context assessment, any other preparatory analyses needed, reflect and document on experience and lessons learned.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34" w:type="dxa"/>
            <w:vAlign w:val="center"/>
          </w:tcPr>
          <w:p w14:paraId="0A1332DB" w14:textId="77777777" w:rsidR="00951DE6" w:rsidRPr="0091081A" w:rsidRDefault="00951DE6" w:rsidP="007D2C7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234" w:type="dxa"/>
            <w:vAlign w:val="center"/>
          </w:tcPr>
          <w:p w14:paraId="1D92B901" w14:textId="77777777" w:rsidR="00951DE6" w:rsidRPr="0091081A" w:rsidRDefault="00951DE6" w:rsidP="007D2C7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Unit with consultants if found necessary</w:t>
            </w:r>
          </w:p>
        </w:tc>
        <w:tc>
          <w:tcPr>
            <w:tcW w:w="1416" w:type="dxa"/>
            <w:vAlign w:val="center"/>
          </w:tcPr>
          <w:p w14:paraId="20D00CBE" w14:textId="77777777" w:rsidR="00951DE6" w:rsidRPr="0091081A" w:rsidRDefault="00951DE6" w:rsidP="007D2C7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2 weeks</w:t>
            </w:r>
          </w:p>
        </w:tc>
      </w:tr>
      <w:tr w:rsidR="00951DE6" w:rsidRPr="002C6337" w14:paraId="54F15EE4" w14:textId="77777777" w:rsidTr="581EBDBF">
        <w:tc>
          <w:tcPr>
            <w:tcW w:w="783" w:type="dxa"/>
            <w:vMerge w:val="restart"/>
            <w:shd w:val="clear" w:color="auto" w:fill="EAF1DD" w:themeFill="accent3" w:themeFillTint="33"/>
          </w:tcPr>
          <w:p w14:paraId="69DA59BE" w14:textId="77777777" w:rsidR="00951DE6" w:rsidRPr="0052189C" w:rsidRDefault="00951DE6" w:rsidP="007D2C7B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8845" w:type="dxa"/>
            <w:gridSpan w:val="4"/>
            <w:shd w:val="clear" w:color="auto" w:fill="EAF1DD" w:themeFill="accent3" w:themeFillTint="33"/>
            <w:vAlign w:val="center"/>
          </w:tcPr>
          <w:p w14:paraId="78B1B81E" w14:textId="6DB69157" w:rsidR="00951DE6" w:rsidRPr="0052189C" w:rsidRDefault="00951DE6" w:rsidP="007D2C7B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Formulation and finalisation of draft project document </w:t>
            </w:r>
          </w:p>
        </w:tc>
      </w:tr>
      <w:tr w:rsidR="00951DE6" w:rsidRPr="0052189C" w14:paraId="3DC666A5" w14:textId="77777777" w:rsidTr="581EBDBF">
        <w:tc>
          <w:tcPr>
            <w:tcW w:w="783" w:type="dxa"/>
            <w:vMerge/>
            <w:shd w:val="clear" w:color="auto" w:fill="EAF1DD" w:themeFill="accent3" w:themeFillTint="33"/>
          </w:tcPr>
          <w:p w14:paraId="4AD244BE" w14:textId="77777777" w:rsidR="00951DE6" w:rsidRPr="0091081A" w:rsidRDefault="00951DE6" w:rsidP="007D2C7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vAlign w:val="center"/>
          </w:tcPr>
          <w:p w14:paraId="7FA406C9" w14:textId="77777777" w:rsidR="00951DE6" w:rsidRPr="0091081A" w:rsidRDefault="00951DE6" w:rsidP="007D2C7B">
            <w:pPr>
              <w:tabs>
                <w:tab w:val="left" w:pos="2342"/>
              </w:tabs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If needed, </w:t>
            </w: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include further analysis, decide on method for selection of projects and partners etc.</w:t>
            </w:r>
          </w:p>
        </w:tc>
        <w:tc>
          <w:tcPr>
            <w:tcW w:w="2234" w:type="dxa"/>
            <w:vAlign w:val="center"/>
          </w:tcPr>
          <w:p w14:paraId="52A53E16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234" w:type="dxa"/>
            <w:vAlign w:val="center"/>
          </w:tcPr>
          <w:p w14:paraId="284BAF94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416" w:type="dxa"/>
            <w:vMerge w:val="restart"/>
            <w:vAlign w:val="center"/>
          </w:tcPr>
          <w:p w14:paraId="7A9B9595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4 weeks</w:t>
            </w:r>
          </w:p>
        </w:tc>
      </w:tr>
      <w:tr w:rsidR="00951DE6" w:rsidRPr="0052189C" w14:paraId="37CE5296" w14:textId="77777777" w:rsidTr="581EBDBF">
        <w:tc>
          <w:tcPr>
            <w:tcW w:w="783" w:type="dxa"/>
            <w:vMerge/>
            <w:shd w:val="clear" w:color="auto" w:fill="EAF1DD" w:themeFill="accent3" w:themeFillTint="33"/>
          </w:tcPr>
          <w:p w14:paraId="7F5CA8F8" w14:textId="77777777" w:rsidR="00951DE6" w:rsidRPr="0091081A" w:rsidRDefault="00951DE6" w:rsidP="007D2C7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vAlign w:val="center"/>
          </w:tcPr>
          <w:p w14:paraId="20CB3AEA" w14:textId="77777777" w:rsidR="00951DE6" w:rsidRDefault="00951DE6" w:rsidP="007D2C7B">
            <w:pPr>
              <w:tabs>
                <w:tab w:val="left" w:pos="2342"/>
              </w:tabs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Finalise the PD for internal (unit) quality assurance</w:t>
            </w:r>
          </w:p>
        </w:tc>
        <w:tc>
          <w:tcPr>
            <w:tcW w:w="2234" w:type="dxa"/>
            <w:vAlign w:val="center"/>
          </w:tcPr>
          <w:p w14:paraId="2F9FF08F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234" w:type="dxa"/>
            <w:vAlign w:val="center"/>
          </w:tcPr>
          <w:p w14:paraId="25DC77B7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416" w:type="dxa"/>
            <w:vMerge/>
            <w:vAlign w:val="center"/>
          </w:tcPr>
          <w:p w14:paraId="15E97230" w14:textId="77777777" w:rsidR="00951DE6" w:rsidRDefault="00951DE6" w:rsidP="007D2C7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951DE6" w:rsidRPr="003F3DA9" w14:paraId="3F54F01C" w14:textId="77777777" w:rsidTr="581EBDBF">
        <w:tc>
          <w:tcPr>
            <w:tcW w:w="783" w:type="dxa"/>
            <w:vMerge w:val="restart"/>
            <w:shd w:val="clear" w:color="auto" w:fill="EAF1DD" w:themeFill="accent3" w:themeFillTint="33"/>
          </w:tcPr>
          <w:p w14:paraId="01431259" w14:textId="77777777" w:rsidR="00951DE6" w:rsidRPr="0052189C" w:rsidRDefault="00951DE6" w:rsidP="007D2C7B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8845" w:type="dxa"/>
            <w:gridSpan w:val="4"/>
            <w:shd w:val="clear" w:color="auto" w:fill="EAF1DD" w:themeFill="accent3" w:themeFillTint="33"/>
            <w:vAlign w:val="center"/>
          </w:tcPr>
          <w:p w14:paraId="0523893F" w14:textId="77777777" w:rsidR="00951DE6" w:rsidRPr="0052189C" w:rsidRDefault="00951DE6" w:rsidP="007D2C7B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Quality assurance: Internal Quality Assurance Checklist </w:t>
            </w:r>
          </w:p>
        </w:tc>
      </w:tr>
      <w:tr w:rsidR="00951DE6" w:rsidRPr="0052189C" w14:paraId="02CDB0BA" w14:textId="77777777" w:rsidTr="581EBDBF">
        <w:tc>
          <w:tcPr>
            <w:tcW w:w="783" w:type="dxa"/>
            <w:vMerge/>
            <w:shd w:val="clear" w:color="auto" w:fill="EAF1DD" w:themeFill="accent3" w:themeFillTint="33"/>
          </w:tcPr>
          <w:p w14:paraId="388C2651" w14:textId="77777777" w:rsidR="00951DE6" w:rsidRPr="0091081A" w:rsidRDefault="00951DE6" w:rsidP="007D2C7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vAlign w:val="center"/>
          </w:tcPr>
          <w:p w14:paraId="73A6B83B" w14:textId="20449CF8" w:rsidR="00951DE6" w:rsidRDefault="00951DE6" w:rsidP="007D2C7B">
            <w:pPr>
              <w:tabs>
                <w:tab w:val="left" w:pos="2342"/>
              </w:tabs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The unit conducts the quality assurance with the template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lastRenderedPageBreak/>
              <w:t>Annex I “Quality Assurance Checklist”</w:t>
            </w:r>
          </w:p>
        </w:tc>
        <w:tc>
          <w:tcPr>
            <w:tcW w:w="2234" w:type="dxa"/>
            <w:vAlign w:val="center"/>
          </w:tcPr>
          <w:p w14:paraId="5DF6A239" w14:textId="77777777" w:rsidR="00951DE6" w:rsidRPr="0091081A" w:rsidRDefault="00951DE6" w:rsidP="007D2C7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234" w:type="dxa"/>
            <w:vAlign w:val="center"/>
          </w:tcPr>
          <w:p w14:paraId="59BA4909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416" w:type="dxa"/>
          </w:tcPr>
          <w:p w14:paraId="5A90C06D" w14:textId="77777777" w:rsidR="00951DE6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  <w:p w14:paraId="7E32ED7C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1 week</w:t>
            </w:r>
          </w:p>
        </w:tc>
      </w:tr>
      <w:tr w:rsidR="00951DE6" w:rsidRPr="00571B13" w14:paraId="1FEA108C" w14:textId="77777777" w:rsidTr="581EBDBF">
        <w:tc>
          <w:tcPr>
            <w:tcW w:w="783" w:type="dxa"/>
            <w:vMerge w:val="restart"/>
            <w:shd w:val="clear" w:color="auto" w:fill="EAF1DD" w:themeFill="accent3" w:themeFillTint="33"/>
          </w:tcPr>
          <w:p w14:paraId="28017AA8" w14:textId="77777777" w:rsidR="00951DE6" w:rsidRPr="0052189C" w:rsidRDefault="00951DE6" w:rsidP="007D2C7B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8845" w:type="dxa"/>
            <w:gridSpan w:val="4"/>
            <w:shd w:val="clear" w:color="auto" w:fill="EAF1DD" w:themeFill="accent3" w:themeFillTint="33"/>
            <w:vAlign w:val="center"/>
          </w:tcPr>
          <w:p w14:paraId="5BCB4384" w14:textId="3DB73CEA" w:rsidR="00951DE6" w:rsidRPr="0052189C" w:rsidRDefault="00951DE6" w:rsidP="007D2C7B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Approval </w:t>
            </w:r>
          </w:p>
        </w:tc>
      </w:tr>
      <w:tr w:rsidR="00951DE6" w:rsidRPr="0052189C" w14:paraId="5892D570" w14:textId="77777777" w:rsidTr="581EBDBF">
        <w:tc>
          <w:tcPr>
            <w:tcW w:w="783" w:type="dxa"/>
            <w:vMerge/>
            <w:shd w:val="clear" w:color="auto" w:fill="EAF1DD" w:themeFill="accent3" w:themeFillTint="33"/>
          </w:tcPr>
          <w:p w14:paraId="71898C6B" w14:textId="77777777" w:rsidR="00951DE6" w:rsidRPr="0091081A" w:rsidRDefault="00951DE6" w:rsidP="007D2C7B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vAlign w:val="center"/>
          </w:tcPr>
          <w:p w14:paraId="44DCE29A" w14:textId="28029E0E" w:rsidR="00951DE6" w:rsidRPr="0091081A" w:rsidRDefault="581EBDBF" w:rsidP="003F3DA9">
            <w:pPr>
              <w:tabs>
                <w:tab w:val="left" w:pos="2342"/>
              </w:tabs>
              <w:rPr>
                <w:rFonts w:ascii="Garamond" w:hAnsi="Garamond"/>
                <w:sz w:val="24"/>
                <w:szCs w:val="24"/>
                <w:lang w:val="en-GB"/>
              </w:rPr>
            </w:pPr>
            <w:r w:rsidRPr="581EBDBF">
              <w:rPr>
                <w:rFonts w:ascii="Garamond" w:hAnsi="Garamond"/>
                <w:sz w:val="24"/>
                <w:szCs w:val="24"/>
                <w:lang w:val="en-GB"/>
              </w:rPr>
              <w:t>Submission for the Head of department’s approval for grants up to DKK 10 million. For grants above DKK 10 million, s</w:t>
            </w:r>
            <w:r w:rsidRPr="581EBDBF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 xml:space="preserve">ubmission </w:t>
            </w:r>
            <w:r w:rsidR="00571B13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>to</w:t>
            </w:r>
            <w:r w:rsidRPr="581EBDBF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 xml:space="preserve"> State Secretary for development policy for approval via the distribution group ‘</w:t>
            </w:r>
            <w:proofErr w:type="spellStart"/>
            <w:r w:rsidRPr="581EBDBF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>Bevillingssekretariatet</w:t>
            </w:r>
            <w:proofErr w:type="spellEnd"/>
            <w:r w:rsidRPr="581EBDBF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 xml:space="preserve">’ as second approver. </w:t>
            </w:r>
            <w:r w:rsidR="00571B13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>Subsequently,</w:t>
            </w:r>
            <w:r w:rsidRPr="581EBDBF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 xml:space="preserve"> LÆRING facilitates the Minister’s </w:t>
            </w:r>
            <w:r w:rsidR="00571B13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 xml:space="preserve">final </w:t>
            </w:r>
            <w:r w:rsidRPr="581EBDBF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>approval.</w:t>
            </w:r>
            <w:r w:rsidRPr="581EBDBF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34" w:type="dxa"/>
            <w:vAlign w:val="center"/>
          </w:tcPr>
          <w:p w14:paraId="68EDFFFD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234" w:type="dxa"/>
            <w:vAlign w:val="center"/>
          </w:tcPr>
          <w:p w14:paraId="0D828925" w14:textId="5B76ADF9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1416" w:type="dxa"/>
            <w:vAlign w:val="center"/>
          </w:tcPr>
          <w:p w14:paraId="63D40A0F" w14:textId="77777777" w:rsidR="00951DE6" w:rsidRPr="0091081A" w:rsidRDefault="00951DE6" w:rsidP="007D2C7B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1 week</w:t>
            </w:r>
          </w:p>
        </w:tc>
      </w:tr>
      <w:tr w:rsidR="00951DE6" w:rsidRPr="00571B13" w14:paraId="08640AD1" w14:textId="77777777" w:rsidTr="581EBDBF">
        <w:tc>
          <w:tcPr>
            <w:tcW w:w="783" w:type="dxa"/>
            <w:vMerge w:val="restart"/>
            <w:shd w:val="clear" w:color="auto" w:fill="EAF1DD" w:themeFill="accent3" w:themeFillTint="33"/>
          </w:tcPr>
          <w:p w14:paraId="14130A6C" w14:textId="77777777" w:rsidR="00951DE6" w:rsidRPr="0052189C" w:rsidRDefault="00951DE6" w:rsidP="007D2C7B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8845" w:type="dxa"/>
            <w:gridSpan w:val="4"/>
            <w:shd w:val="clear" w:color="auto" w:fill="EAF1DD" w:themeFill="accent3" w:themeFillTint="33"/>
            <w:vAlign w:val="center"/>
          </w:tcPr>
          <w:p w14:paraId="398397D1" w14:textId="160BA85A" w:rsidR="00951DE6" w:rsidRPr="0091081A" w:rsidRDefault="00951DE6" w:rsidP="007D2C7B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Initial actions following approval </w:t>
            </w:r>
          </w:p>
        </w:tc>
      </w:tr>
      <w:tr w:rsidR="00951DE6" w:rsidRPr="0052189C" w14:paraId="5560C2FF" w14:textId="77777777" w:rsidTr="581EBDBF">
        <w:tc>
          <w:tcPr>
            <w:tcW w:w="783" w:type="dxa"/>
            <w:vMerge/>
            <w:shd w:val="clear" w:color="auto" w:fill="EAF1DD" w:themeFill="accent3" w:themeFillTint="33"/>
          </w:tcPr>
          <w:p w14:paraId="00FF97E5" w14:textId="77777777" w:rsidR="00951DE6" w:rsidRPr="0091081A" w:rsidRDefault="00951DE6" w:rsidP="00951DE6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vAlign w:val="center"/>
          </w:tcPr>
          <w:p w14:paraId="6872E6DC" w14:textId="550ADF62" w:rsidR="00951DE6" w:rsidRPr="0091081A" w:rsidRDefault="00951DE6" w:rsidP="00951DE6">
            <w:pPr>
              <w:tabs>
                <w:tab w:val="left" w:pos="2342"/>
              </w:tabs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Signing of Government-to-Government agreement(s) and/or other legally binding agreements (commitments) with partner(s)</w:t>
            </w:r>
          </w:p>
        </w:tc>
        <w:tc>
          <w:tcPr>
            <w:tcW w:w="2234" w:type="dxa"/>
            <w:vAlign w:val="center"/>
          </w:tcPr>
          <w:p w14:paraId="1B0F6862" w14:textId="1A3052C9" w:rsidR="00951DE6" w:rsidRPr="0091081A" w:rsidRDefault="00951DE6" w:rsidP="00951D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 xml:space="preserve">After 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>approval</w:t>
            </w:r>
          </w:p>
        </w:tc>
        <w:tc>
          <w:tcPr>
            <w:tcW w:w="2234" w:type="dxa"/>
            <w:vAlign w:val="center"/>
          </w:tcPr>
          <w:p w14:paraId="39242A1B" w14:textId="4F93FC2B" w:rsidR="00951DE6" w:rsidRPr="0091081A" w:rsidRDefault="00951DE6" w:rsidP="00951D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416" w:type="dxa"/>
            <w:vAlign w:val="center"/>
          </w:tcPr>
          <w:p w14:paraId="3B70119F" w14:textId="77777777" w:rsidR="00951DE6" w:rsidRPr="0091081A" w:rsidRDefault="00951DE6" w:rsidP="00951D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951DE6" w:rsidRPr="0052189C" w14:paraId="11F7C80B" w14:textId="77777777" w:rsidTr="581EBDBF">
        <w:tc>
          <w:tcPr>
            <w:tcW w:w="783" w:type="dxa"/>
            <w:vMerge/>
            <w:shd w:val="clear" w:color="auto" w:fill="EAF1DD" w:themeFill="accent3" w:themeFillTint="33"/>
          </w:tcPr>
          <w:p w14:paraId="7C25A05A" w14:textId="77777777" w:rsidR="00951DE6" w:rsidRPr="0091081A" w:rsidRDefault="00951DE6" w:rsidP="00951DE6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961" w:type="dxa"/>
            <w:vAlign w:val="center"/>
          </w:tcPr>
          <w:p w14:paraId="4A85963B" w14:textId="7B3DCBEB" w:rsidR="00951DE6" w:rsidRPr="0091081A" w:rsidRDefault="00951DE6" w:rsidP="00951DE6">
            <w:pPr>
              <w:tabs>
                <w:tab w:val="left" w:pos="2342"/>
              </w:tabs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Register commitment(s) in MFA’s financial systems within the planned quarter</w:t>
            </w:r>
          </w:p>
        </w:tc>
        <w:tc>
          <w:tcPr>
            <w:tcW w:w="2234" w:type="dxa"/>
            <w:vAlign w:val="center"/>
          </w:tcPr>
          <w:p w14:paraId="01E120E4" w14:textId="0CC4EF75" w:rsidR="00951DE6" w:rsidRPr="0091081A" w:rsidRDefault="00951DE6" w:rsidP="00951D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After agreement(s) are signed</w:t>
            </w:r>
          </w:p>
        </w:tc>
        <w:tc>
          <w:tcPr>
            <w:tcW w:w="2234" w:type="dxa"/>
            <w:vAlign w:val="center"/>
          </w:tcPr>
          <w:p w14:paraId="34B77AEF" w14:textId="7A23235B" w:rsidR="00951DE6" w:rsidRPr="0091081A" w:rsidRDefault="00951DE6" w:rsidP="00951D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91081A">
              <w:rPr>
                <w:rFonts w:ascii="Garamond" w:hAnsi="Garamond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416" w:type="dxa"/>
            <w:vAlign w:val="center"/>
          </w:tcPr>
          <w:p w14:paraId="7DF3EDD4" w14:textId="77777777" w:rsidR="00951DE6" w:rsidRPr="0091081A" w:rsidRDefault="00951DE6" w:rsidP="00951D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15CD95EC" w14:textId="77777777" w:rsidR="00951DE6" w:rsidRPr="00604939" w:rsidRDefault="00951DE6" w:rsidP="00951DE6">
      <w:pPr>
        <w:rPr>
          <w:lang w:val="en-GB"/>
        </w:rPr>
      </w:pPr>
    </w:p>
    <w:p w14:paraId="6395B75F" w14:textId="77777777" w:rsidR="00951DE6" w:rsidRDefault="00951DE6" w:rsidP="00951DE6">
      <w:pPr>
        <w:jc w:val="both"/>
        <w:rPr>
          <w:rFonts w:ascii="Garamond" w:hAnsi="Garamond"/>
          <w:sz w:val="26"/>
          <w:szCs w:val="26"/>
          <w:lang w:val="en-GB"/>
        </w:rPr>
      </w:pPr>
    </w:p>
    <w:p w14:paraId="3A50FAE4" w14:textId="77777777" w:rsidR="007D2987" w:rsidRPr="00951DE6" w:rsidRDefault="007D2987">
      <w:pPr>
        <w:rPr>
          <w:lang w:val="en-GB"/>
        </w:rPr>
      </w:pPr>
    </w:p>
    <w:sectPr w:rsidR="007D2987" w:rsidRPr="00951DE6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2ADE" w14:textId="77777777" w:rsidR="006548AE" w:rsidRDefault="006548AE" w:rsidP="006548AE">
      <w:pPr>
        <w:spacing w:after="0" w:line="240" w:lineRule="auto"/>
      </w:pPr>
      <w:r>
        <w:separator/>
      </w:r>
    </w:p>
  </w:endnote>
  <w:endnote w:type="continuationSeparator" w:id="0">
    <w:p w14:paraId="591DF149" w14:textId="77777777" w:rsidR="006548AE" w:rsidRDefault="006548AE" w:rsidP="0065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696052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14:paraId="3DF86A8F" w14:textId="322E13C7" w:rsidR="006548AE" w:rsidRPr="006548AE" w:rsidRDefault="006548AE">
        <w:pPr>
          <w:pStyle w:val="Sidefod"/>
          <w:jc w:val="right"/>
          <w:rPr>
            <w:rFonts w:ascii="Garamond" w:hAnsi="Garamond"/>
            <w:sz w:val="24"/>
            <w:szCs w:val="24"/>
          </w:rPr>
        </w:pPr>
        <w:r w:rsidRPr="006548AE">
          <w:rPr>
            <w:rFonts w:ascii="Garamond" w:hAnsi="Garamond"/>
            <w:sz w:val="24"/>
            <w:szCs w:val="24"/>
          </w:rPr>
          <w:fldChar w:fldCharType="begin"/>
        </w:r>
        <w:r w:rsidRPr="006548AE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6548AE">
          <w:rPr>
            <w:rFonts w:ascii="Garamond" w:hAnsi="Garamond"/>
            <w:sz w:val="24"/>
            <w:szCs w:val="24"/>
          </w:rPr>
          <w:fldChar w:fldCharType="separate"/>
        </w:r>
        <w:r w:rsidRPr="006548AE">
          <w:rPr>
            <w:rFonts w:ascii="Garamond" w:hAnsi="Garamond"/>
            <w:noProof/>
            <w:sz w:val="24"/>
            <w:szCs w:val="24"/>
          </w:rPr>
          <w:t>2</w:t>
        </w:r>
        <w:r w:rsidRPr="006548AE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2BEA2CF9" w14:textId="77777777" w:rsidR="006548AE" w:rsidRDefault="006548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28D9" w14:textId="77777777" w:rsidR="006548AE" w:rsidRDefault="006548AE" w:rsidP="006548AE">
      <w:pPr>
        <w:spacing w:after="0" w:line="240" w:lineRule="auto"/>
      </w:pPr>
      <w:r>
        <w:separator/>
      </w:r>
    </w:p>
  </w:footnote>
  <w:footnote w:type="continuationSeparator" w:id="0">
    <w:p w14:paraId="6799D1F9" w14:textId="77777777" w:rsidR="006548AE" w:rsidRDefault="006548AE" w:rsidP="00654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E6"/>
    <w:rsid w:val="002C6337"/>
    <w:rsid w:val="003B10E0"/>
    <w:rsid w:val="003F3DA9"/>
    <w:rsid w:val="00571B13"/>
    <w:rsid w:val="006548AE"/>
    <w:rsid w:val="007D2987"/>
    <w:rsid w:val="00951DE6"/>
    <w:rsid w:val="009D0775"/>
    <w:rsid w:val="581EB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5825"/>
  <w15:chartTrackingRefBased/>
  <w15:docId w15:val="{8C1D2B7F-C68B-43D4-A851-8A29FA5E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E6"/>
  </w:style>
  <w:style w:type="paragraph" w:styleId="Overskrift1">
    <w:name w:val="heading 1"/>
    <w:basedOn w:val="Normal"/>
    <w:next w:val="Normal"/>
    <w:link w:val="Overskrift1Tegn"/>
    <w:uiPriority w:val="9"/>
    <w:qFormat/>
    <w:rsid w:val="00951DE6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sz w:val="24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1DE6"/>
    <w:rPr>
      <w:rFonts w:ascii="Garamond" w:eastAsiaTheme="majorEastAsia" w:hAnsi="Garamond" w:cstheme="majorBidi"/>
      <w:b/>
      <w:sz w:val="24"/>
      <w:szCs w:val="32"/>
    </w:rPr>
  </w:style>
  <w:style w:type="table" w:styleId="Tabel-Gitter">
    <w:name w:val="Table Grid"/>
    <w:basedOn w:val="Tabel-Normal"/>
    <w:uiPriority w:val="59"/>
    <w:rsid w:val="0095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51D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51DE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51DE6"/>
  </w:style>
  <w:style w:type="paragraph" w:styleId="Sidehoved">
    <w:name w:val="header"/>
    <w:basedOn w:val="Normal"/>
    <w:link w:val="SidehovedTegn"/>
    <w:uiPriority w:val="99"/>
    <w:unhideWhenUsed/>
    <w:rsid w:val="00654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48AE"/>
  </w:style>
  <w:style w:type="paragraph" w:styleId="Sidefod">
    <w:name w:val="footer"/>
    <w:basedOn w:val="Normal"/>
    <w:link w:val="SidefodTegn"/>
    <w:uiPriority w:val="99"/>
    <w:unhideWhenUsed/>
    <w:rsid w:val="00654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0FB06F89B2E4286813DFE718D1436" ma:contentTypeVersion="2" ma:contentTypeDescription="Create a new document." ma:contentTypeScope="" ma:versionID="66b21daccbedd1dbe942763b5db34cd4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1c1b5ad8674e13e349be4eb1545a1680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040AF-1FE4-4302-92A7-E1344E209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F1567-00AB-4738-9A6E-82BB4D2829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F7EA02-4BB7-4B97-852C-90141D054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Blom Salmonsen</dc:creator>
  <cp:keywords/>
  <dc:description/>
  <cp:lastModifiedBy>Hanne Carus</cp:lastModifiedBy>
  <cp:revision>3</cp:revision>
  <dcterms:created xsi:type="dcterms:W3CDTF">2026-03-18T08:55:00Z</dcterms:created>
  <dcterms:modified xsi:type="dcterms:W3CDTF">2026-03-18T09:20:00Z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0x010100C460FB06F89B2E4286813DFE718D1436</vt:lpwstr>
  </property>
</Properties>
</file>