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B1" w:rsidRPr="00B44D63" w:rsidRDefault="00B44D63" w:rsidP="001C52B1">
      <w:pPr>
        <w:spacing w:after="0" w:line="240" w:lineRule="auto"/>
        <w:jc w:val="center"/>
        <w:rPr>
          <w:rFonts w:ascii="Garamond" w:hAnsi="Garamond" w:cs="Calibri"/>
          <w:b/>
          <w:sz w:val="28"/>
          <w:szCs w:val="28"/>
        </w:rPr>
      </w:pPr>
      <w:r w:rsidRPr="00B44D63">
        <w:rPr>
          <w:rFonts w:ascii="Garamond" w:hAnsi="Garamond" w:cs="Calibri"/>
          <w:b/>
          <w:sz w:val="28"/>
          <w:szCs w:val="28"/>
        </w:rPr>
        <w:t>Danida support to</w:t>
      </w:r>
      <w:r w:rsidR="00F67C1C" w:rsidRPr="00B44D63">
        <w:rPr>
          <w:rFonts w:ascii="Garamond" w:hAnsi="Garamond" w:cs="Calibri"/>
          <w:b/>
          <w:sz w:val="28"/>
          <w:szCs w:val="28"/>
        </w:rPr>
        <w:t xml:space="preserve"> General Budget Support</w:t>
      </w:r>
    </w:p>
    <w:p w:rsidR="00193012" w:rsidRPr="003473AF" w:rsidRDefault="00193012" w:rsidP="001C52B1">
      <w:pPr>
        <w:spacing w:after="0" w:line="240" w:lineRule="auto"/>
        <w:rPr>
          <w:rFonts w:ascii="Garamond" w:hAnsi="Garamond"/>
          <w:sz w:val="24"/>
          <w:szCs w:val="24"/>
        </w:rPr>
      </w:pPr>
    </w:p>
    <w:p w:rsidR="00193012" w:rsidRPr="00193012" w:rsidRDefault="00925A6B" w:rsidP="00357B7B">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3848100</wp:posOffset>
                </wp:positionH>
                <wp:positionV relativeFrom="paragraph">
                  <wp:posOffset>118110</wp:posOffset>
                </wp:positionV>
                <wp:extent cx="2132965" cy="63207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6320790"/>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rsidR="00925A6B" w:rsidRPr="00C84101" w:rsidRDefault="00925A6B" w:rsidP="00C84101">
                            <w:pPr>
                              <w:spacing w:after="0" w:line="240" w:lineRule="auto"/>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rsidR="00925A6B" w:rsidRPr="00C84101" w:rsidRDefault="00F67C1C" w:rsidP="006E458D">
                            <w:pPr>
                              <w:spacing w:after="0" w:line="240" w:lineRule="auto"/>
                              <w:jc w:val="both"/>
                              <w:rPr>
                                <w:rFonts w:ascii="Garamond" w:hAnsi="Garamond"/>
                                <w:sz w:val="20"/>
                                <w:szCs w:val="20"/>
                              </w:rPr>
                            </w:pPr>
                            <w:r w:rsidRPr="00076F84">
                              <w:rPr>
                                <w:rFonts w:ascii="Garamond" w:hAnsi="Garamond"/>
                                <w:sz w:val="20"/>
                                <w:szCs w:val="20"/>
                              </w:rPr>
                              <w:t>2006</w:t>
                            </w:r>
                            <w:r w:rsidR="001C52B1" w:rsidRPr="00076F84">
                              <w:rPr>
                                <w:rFonts w:ascii="Garamond" w:hAnsi="Garamond"/>
                                <w:sz w:val="20"/>
                                <w:szCs w:val="20"/>
                              </w:rPr>
                              <w:t xml:space="preserve"> </w:t>
                            </w:r>
                            <w:r w:rsidR="00FC04F3" w:rsidRPr="00076F84">
                              <w:rPr>
                                <w:rFonts w:ascii="Garamond" w:hAnsi="Garamond"/>
                                <w:sz w:val="20"/>
                                <w:szCs w:val="20"/>
                              </w:rPr>
                              <w:t xml:space="preserve">– </w:t>
                            </w:r>
                            <w:r w:rsidR="001C52B1" w:rsidRPr="00076F84">
                              <w:rPr>
                                <w:rFonts w:ascii="Garamond" w:hAnsi="Garamond"/>
                                <w:sz w:val="20"/>
                                <w:szCs w:val="20"/>
                              </w:rPr>
                              <w:t>201</w:t>
                            </w:r>
                            <w:r w:rsidRPr="00076F84">
                              <w:rPr>
                                <w:rFonts w:ascii="Garamond" w:hAnsi="Garamond"/>
                                <w:sz w:val="20"/>
                                <w:szCs w:val="20"/>
                              </w:rPr>
                              <w:t>4</w:t>
                            </w:r>
                            <w:r w:rsidR="00FC04F3" w:rsidRPr="00076F84">
                              <w:rPr>
                                <w:rFonts w:ascii="Garamond" w:hAnsi="Garamond"/>
                                <w:sz w:val="20"/>
                                <w:szCs w:val="20"/>
                              </w:rPr>
                              <w:t xml:space="preserve"> (</w:t>
                            </w:r>
                            <w:r w:rsidRPr="00076F84">
                              <w:rPr>
                                <w:rFonts w:ascii="Garamond" w:hAnsi="Garamond"/>
                                <w:sz w:val="20"/>
                                <w:szCs w:val="20"/>
                              </w:rPr>
                              <w:t>9</w:t>
                            </w:r>
                            <w:r w:rsidR="00FC04F3" w:rsidRPr="00076F84">
                              <w:rPr>
                                <w:rFonts w:ascii="Garamond" w:hAnsi="Garamond"/>
                                <w:sz w:val="20"/>
                                <w:szCs w:val="20"/>
                              </w:rPr>
                              <w:t xml:space="preserve"> years</w:t>
                            </w:r>
                            <w:r w:rsidR="00FC04F3">
                              <w:rPr>
                                <w:rFonts w:ascii="Garamond" w:hAnsi="Garamond"/>
                                <w:sz w:val="20"/>
                                <w:szCs w:val="20"/>
                              </w:rPr>
                              <w:t>)</w:t>
                            </w:r>
                          </w:p>
                          <w:p w:rsidR="00925A6B" w:rsidRPr="00C84101" w:rsidRDefault="00925A6B"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0E1C13">
                              <w:rPr>
                                <w:rFonts w:ascii="Garamond" w:hAnsi="Garamond"/>
                                <w:sz w:val="20"/>
                                <w:szCs w:val="20"/>
                              </w:rPr>
                              <w:t xml:space="preserve"> </w:t>
                            </w:r>
                            <w:r w:rsidR="00E76931">
                              <w:rPr>
                                <w:rFonts w:ascii="Garamond" w:hAnsi="Garamond"/>
                                <w:sz w:val="20"/>
                                <w:szCs w:val="20"/>
                              </w:rPr>
                              <w:t>4</w:t>
                            </w:r>
                            <w:r w:rsidR="001B1169">
                              <w:rPr>
                                <w:rFonts w:ascii="Garamond" w:hAnsi="Garamond"/>
                                <w:sz w:val="20"/>
                                <w:szCs w:val="20"/>
                              </w:rPr>
                              <w:t>27</w:t>
                            </w:r>
                            <w:r w:rsidR="00E76931">
                              <w:rPr>
                                <w:rFonts w:ascii="Garamond" w:hAnsi="Garamond"/>
                                <w:sz w:val="20"/>
                                <w:szCs w:val="20"/>
                              </w:rPr>
                              <w:t xml:space="preserve"> m</w:t>
                            </w:r>
                            <w:r w:rsidRPr="00C84101">
                              <w:rPr>
                                <w:rFonts w:ascii="Garamond" w:hAnsi="Garamond"/>
                                <w:sz w:val="20"/>
                                <w:szCs w:val="20"/>
                              </w:rPr>
                              <w:t>illion</w:t>
                            </w:r>
                          </w:p>
                          <w:p w:rsidR="00925A6B" w:rsidRPr="00C84101" w:rsidRDefault="00925A6B"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rsidR="00CC5556" w:rsidRPr="00C47C42" w:rsidRDefault="00C47C42" w:rsidP="006E458D">
                            <w:pPr>
                              <w:spacing w:after="0" w:line="240" w:lineRule="auto"/>
                              <w:jc w:val="both"/>
                              <w:rPr>
                                <w:rFonts w:ascii="Garamond" w:hAnsi="Garamond"/>
                                <w:sz w:val="20"/>
                                <w:szCs w:val="20"/>
                              </w:rPr>
                            </w:pPr>
                            <w:r w:rsidRPr="00C47C42">
                              <w:rPr>
                                <w:rFonts w:ascii="Garamond" w:hAnsi="Garamond"/>
                                <w:sz w:val="20"/>
                                <w:szCs w:val="20"/>
                              </w:rPr>
                              <w:t xml:space="preserve">Ministry of Finance; Controller and Accountant General’s Department; </w:t>
                            </w:r>
                            <w:r>
                              <w:rPr>
                                <w:rFonts w:ascii="Garamond" w:hAnsi="Garamond"/>
                                <w:sz w:val="20"/>
                                <w:szCs w:val="20"/>
                              </w:rPr>
                              <w:t>Ghana Audit Service</w:t>
                            </w:r>
                            <w:r w:rsidRPr="00C47C42">
                              <w:rPr>
                                <w:rFonts w:ascii="Garamond" w:hAnsi="Garamond"/>
                                <w:sz w:val="20"/>
                                <w:szCs w:val="20"/>
                              </w:rPr>
                              <w:t xml:space="preserve">; National Development Planning Commission; </w:t>
                            </w:r>
                            <w:r w:rsidR="00D10268">
                              <w:rPr>
                                <w:rFonts w:ascii="Garamond" w:hAnsi="Garamond"/>
                                <w:sz w:val="20"/>
                                <w:szCs w:val="20"/>
                              </w:rPr>
                              <w:t>and Danida priority sector ministries</w:t>
                            </w:r>
                            <w:r w:rsidR="00EA124C">
                              <w:rPr>
                                <w:rFonts w:ascii="Garamond" w:hAnsi="Garamond"/>
                                <w:sz w:val="20"/>
                                <w:szCs w:val="20"/>
                              </w:rPr>
                              <w:t>, incl.</w:t>
                            </w:r>
                            <w:r w:rsidR="00D10268">
                              <w:rPr>
                                <w:rFonts w:ascii="Garamond" w:hAnsi="Garamond"/>
                                <w:sz w:val="20"/>
                                <w:szCs w:val="20"/>
                              </w:rPr>
                              <w:t xml:space="preserve"> the Ministry of Local Gov</w:t>
                            </w:r>
                            <w:r w:rsidR="00E663B9">
                              <w:rPr>
                                <w:rFonts w:ascii="Garamond" w:hAnsi="Garamond"/>
                                <w:sz w:val="20"/>
                                <w:szCs w:val="20"/>
                              </w:rPr>
                              <w:t>ernment and Rural Development</w:t>
                            </w:r>
                            <w:r>
                              <w:rPr>
                                <w:rFonts w:ascii="Garamond" w:hAnsi="Garamond"/>
                                <w:sz w:val="20"/>
                                <w:szCs w:val="20"/>
                              </w:rPr>
                              <w:t xml:space="preserve"> </w:t>
                            </w:r>
                          </w:p>
                          <w:p w:rsidR="00C47C42" w:rsidRDefault="00C47C42"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rsidR="00CC5556" w:rsidRDefault="000E1C13" w:rsidP="006E458D">
                            <w:pPr>
                              <w:spacing w:after="0" w:line="240" w:lineRule="auto"/>
                              <w:jc w:val="both"/>
                              <w:rPr>
                                <w:rFonts w:ascii="Garamond" w:hAnsi="Garamond"/>
                                <w:sz w:val="20"/>
                                <w:szCs w:val="20"/>
                              </w:rPr>
                            </w:pPr>
                            <w:r>
                              <w:rPr>
                                <w:rFonts w:ascii="Garamond" w:hAnsi="Garamond"/>
                                <w:sz w:val="20"/>
                                <w:szCs w:val="20"/>
                              </w:rPr>
                              <w:t>All ten regions</w:t>
                            </w:r>
                          </w:p>
                          <w:p w:rsidR="000E1C13" w:rsidRDefault="000E1C13" w:rsidP="00D10268">
                            <w:pPr>
                              <w:spacing w:after="0" w:line="240" w:lineRule="auto"/>
                              <w:jc w:val="both"/>
                              <w:rPr>
                                <w:rFonts w:ascii="Garamond" w:hAnsi="Garamond"/>
                                <w:sz w:val="20"/>
                                <w:szCs w:val="20"/>
                              </w:rPr>
                            </w:pPr>
                          </w:p>
                          <w:p w:rsidR="00925A6B" w:rsidRDefault="00BC31E7" w:rsidP="006E458D">
                            <w:pPr>
                              <w:spacing w:after="0" w:line="240" w:lineRule="auto"/>
                              <w:jc w:val="both"/>
                              <w:rPr>
                                <w:rFonts w:ascii="Garamond" w:hAnsi="Garamond"/>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Pr>
                                <w:rFonts w:ascii="Garamond" w:hAnsi="Garamond" w:cs="Garamond"/>
                                <w:sz w:val="20"/>
                                <w:szCs w:val="20"/>
                              </w:rPr>
                              <w:t>Ba</w:t>
                            </w:r>
                            <w:r w:rsidRPr="00EE27DA">
                              <w:rPr>
                                <w:rFonts w:ascii="Garamond" w:hAnsi="Garamond" w:cs="Garamond"/>
                                <w:sz w:val="20"/>
                                <w:szCs w:val="20"/>
                              </w:rPr>
                              <w:t>lanced and increased policy dialogue with the government regarding t</w:t>
                            </w:r>
                            <w:r w:rsidRPr="00EE27DA">
                              <w:rPr>
                                <w:rFonts w:ascii="Garamond" w:hAnsi="Garamond"/>
                                <w:sz w:val="20"/>
                                <w:szCs w:val="20"/>
                              </w:rPr>
                              <w:t xml:space="preserve">he country’s political and economic priorities, its sector policy, results in poverty reduction and </w:t>
                            </w:r>
                            <w:r>
                              <w:rPr>
                                <w:rFonts w:ascii="Garamond" w:hAnsi="Garamond"/>
                                <w:sz w:val="20"/>
                                <w:szCs w:val="20"/>
                              </w:rPr>
                              <w:t xml:space="preserve">public sector </w:t>
                            </w:r>
                            <w:r w:rsidRPr="00EE27DA">
                              <w:rPr>
                                <w:rFonts w:ascii="Garamond" w:hAnsi="Garamond"/>
                                <w:sz w:val="20"/>
                                <w:szCs w:val="20"/>
                              </w:rPr>
                              <w:t xml:space="preserve">reforms. </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sidRPr="00EE27DA">
                              <w:rPr>
                                <w:rFonts w:ascii="Garamond" w:hAnsi="Garamond"/>
                                <w:sz w:val="20"/>
                                <w:szCs w:val="20"/>
                              </w:rPr>
                              <w:t xml:space="preserve">Strengthened national aid architecture with enhanced collaboration between the Ministry of Finance and sector stakeholders. </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Pr>
                                <w:rFonts w:ascii="Garamond" w:hAnsi="Garamond"/>
                                <w:sz w:val="20"/>
                                <w:szCs w:val="20"/>
                              </w:rPr>
                              <w:t>C</w:t>
                            </w:r>
                            <w:r w:rsidRPr="00EE27DA">
                              <w:rPr>
                                <w:rFonts w:ascii="Garamond" w:hAnsi="Garamond"/>
                                <w:sz w:val="20"/>
                                <w:szCs w:val="20"/>
                              </w:rPr>
                              <w:t xml:space="preserve">ontinual attention on priority spending actions </w:t>
                            </w:r>
                            <w:r>
                              <w:rPr>
                                <w:rFonts w:ascii="Garamond" w:hAnsi="Garamond"/>
                                <w:sz w:val="20"/>
                                <w:szCs w:val="20"/>
                              </w:rPr>
                              <w:t>due to p</w:t>
                            </w:r>
                            <w:r w:rsidRPr="00EE27DA">
                              <w:rPr>
                                <w:rFonts w:ascii="Garamond" w:hAnsi="Garamond"/>
                                <w:sz w:val="20"/>
                                <w:szCs w:val="20"/>
                              </w:rPr>
                              <w:t xml:space="preserve">olicy monitoring </w:t>
                            </w:r>
                            <w:r>
                              <w:rPr>
                                <w:rFonts w:ascii="Garamond" w:hAnsi="Garamond"/>
                                <w:sz w:val="20"/>
                                <w:szCs w:val="20"/>
                              </w:rPr>
                              <w:t xml:space="preserve">by </w:t>
                            </w:r>
                            <w:r w:rsidR="00EA124C">
                              <w:rPr>
                                <w:rFonts w:ascii="Garamond" w:hAnsi="Garamond"/>
                                <w:sz w:val="20"/>
                                <w:szCs w:val="20"/>
                              </w:rPr>
                              <w:t>stakeholders.</w:t>
                            </w:r>
                          </w:p>
                          <w:p w:rsidR="00786531" w:rsidRPr="00EE27DA" w:rsidRDefault="00773CFB" w:rsidP="00773CFB">
                            <w:pPr>
                              <w:pStyle w:val="ListParagraph"/>
                              <w:numPr>
                                <w:ilvl w:val="0"/>
                                <w:numId w:val="4"/>
                              </w:numPr>
                              <w:tabs>
                                <w:tab w:val="left" w:pos="2354"/>
                              </w:tabs>
                              <w:spacing w:after="0" w:line="240" w:lineRule="auto"/>
                              <w:ind w:left="357" w:hanging="357"/>
                              <w:rPr>
                                <w:rFonts w:ascii="Garamond" w:hAnsi="Garamond" w:cs="Garamond"/>
                                <w:sz w:val="20"/>
                                <w:szCs w:val="20"/>
                              </w:rPr>
                            </w:pPr>
                            <w:r>
                              <w:rPr>
                                <w:rFonts w:ascii="Garamond" w:hAnsi="Garamond" w:cs="Garamond"/>
                                <w:sz w:val="20"/>
                                <w:szCs w:val="20"/>
                              </w:rPr>
                              <w:t>Promoted i</w:t>
                            </w:r>
                            <w:r w:rsidR="00786531" w:rsidRPr="00EE27DA">
                              <w:rPr>
                                <w:rFonts w:ascii="Garamond" w:hAnsi="Garamond" w:cs="Garamond"/>
                                <w:sz w:val="20"/>
                                <w:szCs w:val="20"/>
                              </w:rPr>
                              <w:t>ntra-sector collaboration</w:t>
                            </w:r>
                            <w:r>
                              <w:rPr>
                                <w:rFonts w:ascii="Garamond" w:hAnsi="Garamond" w:cs="Garamond"/>
                                <w:sz w:val="20"/>
                                <w:szCs w:val="20"/>
                              </w:rPr>
                              <w:t>; strengthened c</w:t>
                            </w:r>
                            <w:r w:rsidR="00786531" w:rsidRPr="00EE27DA">
                              <w:rPr>
                                <w:rFonts w:ascii="Garamond" w:hAnsi="Garamond" w:cs="Garamond"/>
                                <w:sz w:val="20"/>
                                <w:szCs w:val="20"/>
                              </w:rPr>
                              <w:t>apacity development efforts of key public entities</w:t>
                            </w:r>
                            <w:r>
                              <w:rPr>
                                <w:rFonts w:ascii="Garamond" w:hAnsi="Garamond" w:cs="Garamond"/>
                                <w:sz w:val="20"/>
                                <w:szCs w:val="20"/>
                              </w:rPr>
                              <w:t>;</w:t>
                            </w:r>
                            <w:r w:rsidR="00786531" w:rsidRPr="00EE27DA">
                              <w:rPr>
                                <w:rFonts w:ascii="Garamond" w:hAnsi="Garamond" w:cs="Garamond"/>
                                <w:sz w:val="20"/>
                                <w:szCs w:val="20"/>
                              </w:rPr>
                              <w:t xml:space="preserve"> and </w:t>
                            </w:r>
                            <w:r w:rsidR="00D10268">
                              <w:rPr>
                                <w:rFonts w:ascii="Garamond" w:hAnsi="Garamond" w:cs="Garamond"/>
                                <w:sz w:val="20"/>
                                <w:szCs w:val="20"/>
                              </w:rPr>
                              <w:t xml:space="preserve">ensured </w:t>
                            </w:r>
                            <w:r>
                              <w:rPr>
                                <w:rFonts w:ascii="Garamond" w:hAnsi="Garamond" w:cs="Garamond"/>
                                <w:sz w:val="20"/>
                                <w:szCs w:val="20"/>
                              </w:rPr>
                              <w:t xml:space="preserve">knowledge </w:t>
                            </w:r>
                            <w:r w:rsidR="00786531" w:rsidRPr="00EE27DA">
                              <w:rPr>
                                <w:rFonts w:ascii="Garamond" w:hAnsi="Garamond" w:cs="Garamond"/>
                                <w:sz w:val="20"/>
                                <w:szCs w:val="20"/>
                              </w:rPr>
                              <w:t>generat</w:t>
                            </w:r>
                            <w:r>
                              <w:rPr>
                                <w:rFonts w:ascii="Garamond" w:hAnsi="Garamond" w:cs="Garamond"/>
                                <w:sz w:val="20"/>
                                <w:szCs w:val="20"/>
                              </w:rPr>
                              <w:t>ion</w:t>
                            </w:r>
                            <w:r w:rsidR="00EA124C">
                              <w:rPr>
                                <w:rFonts w:ascii="Garamond" w:hAnsi="Garamond" w:cs="Garamond"/>
                                <w:sz w:val="20"/>
                                <w:szCs w:val="20"/>
                              </w:rPr>
                              <w:t>.</w:t>
                            </w:r>
                          </w:p>
                          <w:p w:rsidR="000E1C13" w:rsidRPr="00786531" w:rsidRDefault="00EA124C" w:rsidP="00786531">
                            <w:pPr>
                              <w:pStyle w:val="ListParagraph"/>
                              <w:numPr>
                                <w:ilvl w:val="0"/>
                                <w:numId w:val="4"/>
                              </w:numPr>
                              <w:spacing w:after="0" w:line="240" w:lineRule="auto"/>
                              <w:jc w:val="both"/>
                              <w:rPr>
                                <w:rFonts w:ascii="Garamond" w:hAnsi="Garamond"/>
                                <w:sz w:val="20"/>
                                <w:szCs w:val="20"/>
                              </w:rPr>
                            </w:pPr>
                            <w:r>
                              <w:rPr>
                                <w:rFonts w:ascii="Garamond" w:hAnsi="Garamond"/>
                                <w:sz w:val="20"/>
                                <w:szCs w:val="20"/>
                              </w:rPr>
                              <w:t>Assisted poverty-</w:t>
                            </w:r>
                            <w:r w:rsidR="00786531" w:rsidRPr="00786531">
                              <w:rPr>
                                <w:rFonts w:ascii="Garamond" w:hAnsi="Garamond"/>
                                <w:sz w:val="20"/>
                                <w:szCs w:val="20"/>
                              </w:rPr>
                              <w:t>reduction</w:t>
                            </w:r>
                            <w:r w:rsidR="00773CFB">
                              <w:rPr>
                                <w:rFonts w:ascii="Garamond" w:hAnsi="Garamond"/>
                                <w:sz w:val="20"/>
                                <w:szCs w:val="20"/>
                              </w:rPr>
                              <w:t xml:space="preserve"> efforts;</w:t>
                            </w:r>
                            <w:r w:rsidR="00786531" w:rsidRPr="00786531">
                              <w:rPr>
                                <w:rFonts w:ascii="Garamond" w:hAnsi="Garamond"/>
                                <w:sz w:val="20"/>
                                <w:szCs w:val="20"/>
                              </w:rPr>
                              <w:t xml:space="preserve"> improved access to basic services</w:t>
                            </w:r>
                            <w:r w:rsidR="00773CFB">
                              <w:rPr>
                                <w:rFonts w:ascii="Garamond" w:hAnsi="Garamond"/>
                                <w:sz w:val="20"/>
                                <w:szCs w:val="20"/>
                              </w:rPr>
                              <w:t>;</w:t>
                            </w:r>
                            <w:r w:rsidR="00786531" w:rsidRPr="00786531">
                              <w:rPr>
                                <w:rFonts w:ascii="Garamond" w:hAnsi="Garamond"/>
                                <w:sz w:val="20"/>
                                <w:szCs w:val="20"/>
                              </w:rPr>
                              <w:t xml:space="preserve"> and maintain</w:t>
                            </w:r>
                            <w:r w:rsidR="00773CFB">
                              <w:rPr>
                                <w:rFonts w:ascii="Garamond" w:hAnsi="Garamond"/>
                                <w:sz w:val="20"/>
                                <w:szCs w:val="20"/>
                              </w:rPr>
                              <w:t>ed</w:t>
                            </w:r>
                            <w:r w:rsidR="00786531" w:rsidRPr="00786531">
                              <w:rPr>
                                <w:rFonts w:ascii="Garamond" w:hAnsi="Garamond"/>
                                <w:sz w:val="20"/>
                                <w:szCs w:val="20"/>
                              </w:rPr>
                              <w:t xml:space="preserve"> </w:t>
                            </w:r>
                            <w:r w:rsidR="00773CFB">
                              <w:rPr>
                                <w:rFonts w:ascii="Garamond" w:hAnsi="Garamond"/>
                                <w:sz w:val="20"/>
                                <w:szCs w:val="20"/>
                              </w:rPr>
                              <w:t>f</w:t>
                            </w:r>
                            <w:r>
                              <w:rPr>
                                <w:rFonts w:ascii="Garamond" w:hAnsi="Garamond"/>
                                <w:sz w:val="20"/>
                                <w:szCs w:val="20"/>
                              </w:rPr>
                              <w:t>ocus on poverty-</w:t>
                            </w:r>
                            <w:r w:rsidR="00786531" w:rsidRPr="00786531">
                              <w:rPr>
                                <w:rFonts w:ascii="Garamond" w:hAnsi="Garamond"/>
                                <w:sz w:val="20"/>
                                <w:szCs w:val="20"/>
                              </w:rPr>
                              <w:t>reducing interventions</w:t>
                            </w:r>
                            <w:r w:rsidR="00773CFB">
                              <w:rPr>
                                <w:rFonts w:ascii="Garamond" w:hAnsi="Garamond"/>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pt;margin-top:9.3pt;width:167.95pt;height:49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" fillcolor="#ffd555 [2167]" strokecolor="red" strokeweight=".5pt">
                <v:fill color2="#ffcc31 [2615]" rotate="t" colors="0 #ffdd9c;.5 #ffd78e;1 #ffd479" focus="100%" type="gradient">
                  <o:fill v:ext="view" type="gradientUnscaled"/>
                </v:fill>
                <v:textbox>
                  <w:txbxContent>
                    <w:p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rsidR="00925A6B" w:rsidRPr="00C84101" w:rsidRDefault="00925A6B" w:rsidP="00C84101">
                      <w:pPr>
                        <w:spacing w:after="0" w:line="240" w:lineRule="auto"/>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rsidR="00925A6B" w:rsidRPr="00C84101" w:rsidRDefault="00F67C1C" w:rsidP="006E458D">
                      <w:pPr>
                        <w:spacing w:after="0" w:line="240" w:lineRule="auto"/>
                        <w:jc w:val="both"/>
                        <w:rPr>
                          <w:rFonts w:ascii="Garamond" w:hAnsi="Garamond"/>
                          <w:sz w:val="20"/>
                          <w:szCs w:val="20"/>
                        </w:rPr>
                      </w:pPr>
                      <w:r w:rsidRPr="00076F84">
                        <w:rPr>
                          <w:rFonts w:ascii="Garamond" w:hAnsi="Garamond"/>
                          <w:sz w:val="20"/>
                          <w:szCs w:val="20"/>
                        </w:rPr>
                        <w:t>2006</w:t>
                      </w:r>
                      <w:r w:rsidR="001C52B1" w:rsidRPr="00076F84">
                        <w:rPr>
                          <w:rFonts w:ascii="Garamond" w:hAnsi="Garamond"/>
                          <w:sz w:val="20"/>
                          <w:szCs w:val="20"/>
                        </w:rPr>
                        <w:t xml:space="preserve"> </w:t>
                      </w:r>
                      <w:r w:rsidR="00FC04F3" w:rsidRPr="00076F84">
                        <w:rPr>
                          <w:rFonts w:ascii="Garamond" w:hAnsi="Garamond"/>
                          <w:sz w:val="20"/>
                          <w:szCs w:val="20"/>
                        </w:rPr>
                        <w:t xml:space="preserve">– </w:t>
                      </w:r>
                      <w:r w:rsidR="001C52B1" w:rsidRPr="00076F84">
                        <w:rPr>
                          <w:rFonts w:ascii="Garamond" w:hAnsi="Garamond"/>
                          <w:sz w:val="20"/>
                          <w:szCs w:val="20"/>
                        </w:rPr>
                        <w:t>201</w:t>
                      </w:r>
                      <w:r w:rsidRPr="00076F84">
                        <w:rPr>
                          <w:rFonts w:ascii="Garamond" w:hAnsi="Garamond"/>
                          <w:sz w:val="20"/>
                          <w:szCs w:val="20"/>
                        </w:rPr>
                        <w:t>4</w:t>
                      </w:r>
                      <w:r w:rsidR="00FC04F3" w:rsidRPr="00076F84">
                        <w:rPr>
                          <w:rFonts w:ascii="Garamond" w:hAnsi="Garamond"/>
                          <w:sz w:val="20"/>
                          <w:szCs w:val="20"/>
                        </w:rPr>
                        <w:t xml:space="preserve"> (</w:t>
                      </w:r>
                      <w:r w:rsidRPr="00076F84">
                        <w:rPr>
                          <w:rFonts w:ascii="Garamond" w:hAnsi="Garamond"/>
                          <w:sz w:val="20"/>
                          <w:szCs w:val="20"/>
                        </w:rPr>
                        <w:t>9</w:t>
                      </w:r>
                      <w:r w:rsidR="00FC04F3" w:rsidRPr="00076F84">
                        <w:rPr>
                          <w:rFonts w:ascii="Garamond" w:hAnsi="Garamond"/>
                          <w:sz w:val="20"/>
                          <w:szCs w:val="20"/>
                        </w:rPr>
                        <w:t xml:space="preserve"> years</w:t>
                      </w:r>
                      <w:r w:rsidR="00FC04F3">
                        <w:rPr>
                          <w:rFonts w:ascii="Garamond" w:hAnsi="Garamond"/>
                          <w:sz w:val="20"/>
                          <w:szCs w:val="20"/>
                        </w:rPr>
                        <w:t>)</w:t>
                      </w:r>
                    </w:p>
                    <w:p w:rsidR="00925A6B" w:rsidRPr="00C84101" w:rsidRDefault="00925A6B"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0E1C13">
                        <w:rPr>
                          <w:rFonts w:ascii="Garamond" w:hAnsi="Garamond"/>
                          <w:sz w:val="20"/>
                          <w:szCs w:val="20"/>
                        </w:rPr>
                        <w:t xml:space="preserve"> </w:t>
                      </w:r>
                      <w:r w:rsidR="00E76931">
                        <w:rPr>
                          <w:rFonts w:ascii="Garamond" w:hAnsi="Garamond"/>
                          <w:sz w:val="20"/>
                          <w:szCs w:val="20"/>
                        </w:rPr>
                        <w:t>4</w:t>
                      </w:r>
                      <w:r w:rsidR="001B1169">
                        <w:rPr>
                          <w:rFonts w:ascii="Garamond" w:hAnsi="Garamond"/>
                          <w:sz w:val="20"/>
                          <w:szCs w:val="20"/>
                        </w:rPr>
                        <w:t>27</w:t>
                      </w:r>
                      <w:r w:rsidR="00E76931">
                        <w:rPr>
                          <w:rFonts w:ascii="Garamond" w:hAnsi="Garamond"/>
                          <w:sz w:val="20"/>
                          <w:szCs w:val="20"/>
                        </w:rPr>
                        <w:t xml:space="preserve"> m</w:t>
                      </w:r>
                      <w:r w:rsidRPr="00C84101">
                        <w:rPr>
                          <w:rFonts w:ascii="Garamond" w:hAnsi="Garamond"/>
                          <w:sz w:val="20"/>
                          <w:szCs w:val="20"/>
                        </w:rPr>
                        <w:t>illion</w:t>
                      </w:r>
                    </w:p>
                    <w:p w:rsidR="00925A6B" w:rsidRPr="00C84101" w:rsidRDefault="00925A6B"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rsidR="00CC5556" w:rsidRPr="00C47C42" w:rsidRDefault="00C47C42" w:rsidP="006E458D">
                      <w:pPr>
                        <w:spacing w:after="0" w:line="240" w:lineRule="auto"/>
                        <w:jc w:val="both"/>
                        <w:rPr>
                          <w:rFonts w:ascii="Garamond" w:hAnsi="Garamond"/>
                          <w:sz w:val="20"/>
                          <w:szCs w:val="20"/>
                        </w:rPr>
                      </w:pPr>
                      <w:r w:rsidRPr="00C47C42">
                        <w:rPr>
                          <w:rFonts w:ascii="Garamond" w:hAnsi="Garamond"/>
                          <w:sz w:val="20"/>
                          <w:szCs w:val="20"/>
                        </w:rPr>
                        <w:t xml:space="preserve">Ministry of Finance; Controller and Accountant General’s Department; </w:t>
                      </w:r>
                      <w:r>
                        <w:rPr>
                          <w:rFonts w:ascii="Garamond" w:hAnsi="Garamond"/>
                          <w:sz w:val="20"/>
                          <w:szCs w:val="20"/>
                        </w:rPr>
                        <w:t>Ghana Audit Service</w:t>
                      </w:r>
                      <w:r w:rsidRPr="00C47C42">
                        <w:rPr>
                          <w:rFonts w:ascii="Garamond" w:hAnsi="Garamond"/>
                          <w:sz w:val="20"/>
                          <w:szCs w:val="20"/>
                        </w:rPr>
                        <w:t xml:space="preserve">; National Development Planning Commission; </w:t>
                      </w:r>
                      <w:r w:rsidR="00D10268">
                        <w:rPr>
                          <w:rFonts w:ascii="Garamond" w:hAnsi="Garamond"/>
                          <w:sz w:val="20"/>
                          <w:szCs w:val="20"/>
                        </w:rPr>
                        <w:t>and Danida priority sector ministries</w:t>
                      </w:r>
                      <w:r w:rsidR="00EA124C">
                        <w:rPr>
                          <w:rFonts w:ascii="Garamond" w:hAnsi="Garamond"/>
                          <w:sz w:val="20"/>
                          <w:szCs w:val="20"/>
                        </w:rPr>
                        <w:t>, incl.</w:t>
                      </w:r>
                      <w:r w:rsidR="00D10268">
                        <w:rPr>
                          <w:rFonts w:ascii="Garamond" w:hAnsi="Garamond"/>
                          <w:sz w:val="20"/>
                          <w:szCs w:val="20"/>
                        </w:rPr>
                        <w:t xml:space="preserve"> the Ministry of Local Gov</w:t>
                      </w:r>
                      <w:r w:rsidR="00E663B9">
                        <w:rPr>
                          <w:rFonts w:ascii="Garamond" w:hAnsi="Garamond"/>
                          <w:sz w:val="20"/>
                          <w:szCs w:val="20"/>
                        </w:rPr>
                        <w:t>ernment and Rural Development</w:t>
                      </w:r>
                      <w:r>
                        <w:rPr>
                          <w:rFonts w:ascii="Garamond" w:hAnsi="Garamond"/>
                          <w:sz w:val="20"/>
                          <w:szCs w:val="20"/>
                        </w:rPr>
                        <w:t xml:space="preserve"> </w:t>
                      </w:r>
                    </w:p>
                    <w:p w:rsidR="00C47C42" w:rsidRDefault="00C47C42" w:rsidP="006E458D">
                      <w:pPr>
                        <w:spacing w:after="0" w:line="240" w:lineRule="auto"/>
                        <w:jc w:val="both"/>
                        <w:rPr>
                          <w:rFonts w:ascii="Garamond" w:hAnsi="Garamond"/>
                          <w:sz w:val="20"/>
                          <w:szCs w:val="20"/>
                        </w:rPr>
                      </w:pPr>
                    </w:p>
                    <w:p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rsidR="00CC5556" w:rsidRDefault="000E1C13" w:rsidP="006E458D">
                      <w:pPr>
                        <w:spacing w:after="0" w:line="240" w:lineRule="auto"/>
                        <w:jc w:val="both"/>
                        <w:rPr>
                          <w:rFonts w:ascii="Garamond" w:hAnsi="Garamond"/>
                          <w:sz w:val="20"/>
                          <w:szCs w:val="20"/>
                        </w:rPr>
                      </w:pPr>
                      <w:r>
                        <w:rPr>
                          <w:rFonts w:ascii="Garamond" w:hAnsi="Garamond"/>
                          <w:sz w:val="20"/>
                          <w:szCs w:val="20"/>
                        </w:rPr>
                        <w:t>All ten regions</w:t>
                      </w:r>
                    </w:p>
                    <w:p w:rsidR="000E1C13" w:rsidRDefault="000E1C13" w:rsidP="00D10268">
                      <w:pPr>
                        <w:spacing w:after="0" w:line="240" w:lineRule="auto"/>
                        <w:jc w:val="both"/>
                        <w:rPr>
                          <w:rFonts w:ascii="Garamond" w:hAnsi="Garamond"/>
                          <w:sz w:val="20"/>
                          <w:szCs w:val="20"/>
                        </w:rPr>
                      </w:pPr>
                    </w:p>
                    <w:p w:rsidR="00925A6B" w:rsidRDefault="00BC31E7" w:rsidP="006E458D">
                      <w:pPr>
                        <w:spacing w:after="0" w:line="240" w:lineRule="auto"/>
                        <w:jc w:val="both"/>
                        <w:rPr>
                          <w:rFonts w:ascii="Garamond" w:hAnsi="Garamond"/>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Pr>
                          <w:rFonts w:ascii="Garamond" w:hAnsi="Garamond" w:cs="Garamond"/>
                          <w:sz w:val="20"/>
                          <w:szCs w:val="20"/>
                        </w:rPr>
                        <w:t>Ba</w:t>
                      </w:r>
                      <w:r w:rsidRPr="00EE27DA">
                        <w:rPr>
                          <w:rFonts w:ascii="Garamond" w:hAnsi="Garamond" w:cs="Garamond"/>
                          <w:sz w:val="20"/>
                          <w:szCs w:val="20"/>
                        </w:rPr>
                        <w:t>lanced and increased policy dialogue with the government regarding t</w:t>
                      </w:r>
                      <w:r w:rsidRPr="00EE27DA">
                        <w:rPr>
                          <w:rFonts w:ascii="Garamond" w:hAnsi="Garamond"/>
                          <w:sz w:val="20"/>
                          <w:szCs w:val="20"/>
                        </w:rPr>
                        <w:t xml:space="preserve">he country’s political and economic priorities, its sector policy, results in poverty reduction and </w:t>
                      </w:r>
                      <w:r>
                        <w:rPr>
                          <w:rFonts w:ascii="Garamond" w:hAnsi="Garamond"/>
                          <w:sz w:val="20"/>
                          <w:szCs w:val="20"/>
                        </w:rPr>
                        <w:t xml:space="preserve">public sector </w:t>
                      </w:r>
                      <w:r w:rsidRPr="00EE27DA">
                        <w:rPr>
                          <w:rFonts w:ascii="Garamond" w:hAnsi="Garamond"/>
                          <w:sz w:val="20"/>
                          <w:szCs w:val="20"/>
                        </w:rPr>
                        <w:t xml:space="preserve">reforms. </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sidRPr="00EE27DA">
                        <w:rPr>
                          <w:rFonts w:ascii="Garamond" w:hAnsi="Garamond"/>
                          <w:sz w:val="20"/>
                          <w:szCs w:val="20"/>
                        </w:rPr>
                        <w:t xml:space="preserve">Strengthened national aid architecture with enhanced collaboration between the Ministry of Finance and sector stakeholders. </w:t>
                      </w:r>
                    </w:p>
                    <w:p w:rsidR="00786531" w:rsidRPr="00EE27DA" w:rsidRDefault="00786531" w:rsidP="00786531">
                      <w:pPr>
                        <w:pStyle w:val="ListParagraph"/>
                        <w:numPr>
                          <w:ilvl w:val="0"/>
                          <w:numId w:val="4"/>
                        </w:numPr>
                        <w:spacing w:after="0" w:line="240" w:lineRule="auto"/>
                        <w:ind w:left="357" w:hanging="357"/>
                        <w:jc w:val="both"/>
                        <w:rPr>
                          <w:rFonts w:ascii="Garamond" w:hAnsi="Garamond"/>
                          <w:sz w:val="20"/>
                          <w:szCs w:val="20"/>
                        </w:rPr>
                      </w:pPr>
                      <w:r>
                        <w:rPr>
                          <w:rFonts w:ascii="Garamond" w:hAnsi="Garamond"/>
                          <w:sz w:val="20"/>
                          <w:szCs w:val="20"/>
                        </w:rPr>
                        <w:t>C</w:t>
                      </w:r>
                      <w:r w:rsidRPr="00EE27DA">
                        <w:rPr>
                          <w:rFonts w:ascii="Garamond" w:hAnsi="Garamond"/>
                          <w:sz w:val="20"/>
                          <w:szCs w:val="20"/>
                        </w:rPr>
                        <w:t xml:space="preserve">ontinual attention on priority spending actions </w:t>
                      </w:r>
                      <w:r>
                        <w:rPr>
                          <w:rFonts w:ascii="Garamond" w:hAnsi="Garamond"/>
                          <w:sz w:val="20"/>
                          <w:szCs w:val="20"/>
                        </w:rPr>
                        <w:t>due to p</w:t>
                      </w:r>
                      <w:r w:rsidRPr="00EE27DA">
                        <w:rPr>
                          <w:rFonts w:ascii="Garamond" w:hAnsi="Garamond"/>
                          <w:sz w:val="20"/>
                          <w:szCs w:val="20"/>
                        </w:rPr>
                        <w:t xml:space="preserve">olicy monitoring </w:t>
                      </w:r>
                      <w:r>
                        <w:rPr>
                          <w:rFonts w:ascii="Garamond" w:hAnsi="Garamond"/>
                          <w:sz w:val="20"/>
                          <w:szCs w:val="20"/>
                        </w:rPr>
                        <w:t xml:space="preserve">by </w:t>
                      </w:r>
                      <w:r w:rsidR="00EA124C">
                        <w:rPr>
                          <w:rFonts w:ascii="Garamond" w:hAnsi="Garamond"/>
                          <w:sz w:val="20"/>
                          <w:szCs w:val="20"/>
                        </w:rPr>
                        <w:t>stakeholders.</w:t>
                      </w:r>
                    </w:p>
                    <w:p w:rsidR="00786531" w:rsidRPr="00EE27DA" w:rsidRDefault="00773CFB" w:rsidP="00773CFB">
                      <w:pPr>
                        <w:pStyle w:val="ListParagraph"/>
                        <w:numPr>
                          <w:ilvl w:val="0"/>
                          <w:numId w:val="4"/>
                        </w:numPr>
                        <w:tabs>
                          <w:tab w:val="left" w:pos="2354"/>
                        </w:tabs>
                        <w:spacing w:after="0" w:line="240" w:lineRule="auto"/>
                        <w:ind w:left="357" w:hanging="357"/>
                        <w:rPr>
                          <w:rFonts w:ascii="Garamond" w:hAnsi="Garamond" w:cs="Garamond"/>
                          <w:sz w:val="20"/>
                          <w:szCs w:val="20"/>
                        </w:rPr>
                      </w:pPr>
                      <w:r>
                        <w:rPr>
                          <w:rFonts w:ascii="Garamond" w:hAnsi="Garamond" w:cs="Garamond"/>
                          <w:sz w:val="20"/>
                          <w:szCs w:val="20"/>
                        </w:rPr>
                        <w:t>Promoted i</w:t>
                      </w:r>
                      <w:r w:rsidR="00786531" w:rsidRPr="00EE27DA">
                        <w:rPr>
                          <w:rFonts w:ascii="Garamond" w:hAnsi="Garamond" w:cs="Garamond"/>
                          <w:sz w:val="20"/>
                          <w:szCs w:val="20"/>
                        </w:rPr>
                        <w:t>ntra-sector collaboration</w:t>
                      </w:r>
                      <w:r>
                        <w:rPr>
                          <w:rFonts w:ascii="Garamond" w:hAnsi="Garamond" w:cs="Garamond"/>
                          <w:sz w:val="20"/>
                          <w:szCs w:val="20"/>
                        </w:rPr>
                        <w:t>; strengthened c</w:t>
                      </w:r>
                      <w:r w:rsidR="00786531" w:rsidRPr="00EE27DA">
                        <w:rPr>
                          <w:rFonts w:ascii="Garamond" w:hAnsi="Garamond" w:cs="Garamond"/>
                          <w:sz w:val="20"/>
                          <w:szCs w:val="20"/>
                        </w:rPr>
                        <w:t>apacity development efforts of key public entities</w:t>
                      </w:r>
                      <w:r>
                        <w:rPr>
                          <w:rFonts w:ascii="Garamond" w:hAnsi="Garamond" w:cs="Garamond"/>
                          <w:sz w:val="20"/>
                          <w:szCs w:val="20"/>
                        </w:rPr>
                        <w:t>;</w:t>
                      </w:r>
                      <w:r w:rsidR="00786531" w:rsidRPr="00EE27DA">
                        <w:rPr>
                          <w:rFonts w:ascii="Garamond" w:hAnsi="Garamond" w:cs="Garamond"/>
                          <w:sz w:val="20"/>
                          <w:szCs w:val="20"/>
                        </w:rPr>
                        <w:t xml:space="preserve"> and </w:t>
                      </w:r>
                      <w:r w:rsidR="00D10268">
                        <w:rPr>
                          <w:rFonts w:ascii="Garamond" w:hAnsi="Garamond" w:cs="Garamond"/>
                          <w:sz w:val="20"/>
                          <w:szCs w:val="20"/>
                        </w:rPr>
                        <w:t xml:space="preserve">ensured </w:t>
                      </w:r>
                      <w:r>
                        <w:rPr>
                          <w:rFonts w:ascii="Garamond" w:hAnsi="Garamond" w:cs="Garamond"/>
                          <w:sz w:val="20"/>
                          <w:szCs w:val="20"/>
                        </w:rPr>
                        <w:t xml:space="preserve">knowledge </w:t>
                      </w:r>
                      <w:r w:rsidR="00786531" w:rsidRPr="00EE27DA">
                        <w:rPr>
                          <w:rFonts w:ascii="Garamond" w:hAnsi="Garamond" w:cs="Garamond"/>
                          <w:sz w:val="20"/>
                          <w:szCs w:val="20"/>
                        </w:rPr>
                        <w:t>generat</w:t>
                      </w:r>
                      <w:r>
                        <w:rPr>
                          <w:rFonts w:ascii="Garamond" w:hAnsi="Garamond" w:cs="Garamond"/>
                          <w:sz w:val="20"/>
                          <w:szCs w:val="20"/>
                        </w:rPr>
                        <w:t>ion</w:t>
                      </w:r>
                      <w:r w:rsidR="00EA124C">
                        <w:rPr>
                          <w:rFonts w:ascii="Garamond" w:hAnsi="Garamond" w:cs="Garamond"/>
                          <w:sz w:val="20"/>
                          <w:szCs w:val="20"/>
                        </w:rPr>
                        <w:t>.</w:t>
                      </w:r>
                    </w:p>
                    <w:p w:rsidR="000E1C13" w:rsidRPr="00786531" w:rsidRDefault="00EA124C" w:rsidP="00786531">
                      <w:pPr>
                        <w:pStyle w:val="ListParagraph"/>
                        <w:numPr>
                          <w:ilvl w:val="0"/>
                          <w:numId w:val="4"/>
                        </w:numPr>
                        <w:spacing w:after="0" w:line="240" w:lineRule="auto"/>
                        <w:jc w:val="both"/>
                        <w:rPr>
                          <w:rFonts w:ascii="Garamond" w:hAnsi="Garamond"/>
                          <w:sz w:val="20"/>
                          <w:szCs w:val="20"/>
                        </w:rPr>
                      </w:pPr>
                      <w:r>
                        <w:rPr>
                          <w:rFonts w:ascii="Garamond" w:hAnsi="Garamond"/>
                          <w:sz w:val="20"/>
                          <w:szCs w:val="20"/>
                        </w:rPr>
                        <w:t>Assisted poverty-</w:t>
                      </w:r>
                      <w:r w:rsidR="00786531" w:rsidRPr="00786531">
                        <w:rPr>
                          <w:rFonts w:ascii="Garamond" w:hAnsi="Garamond"/>
                          <w:sz w:val="20"/>
                          <w:szCs w:val="20"/>
                        </w:rPr>
                        <w:t>reduction</w:t>
                      </w:r>
                      <w:r w:rsidR="00773CFB">
                        <w:rPr>
                          <w:rFonts w:ascii="Garamond" w:hAnsi="Garamond"/>
                          <w:sz w:val="20"/>
                          <w:szCs w:val="20"/>
                        </w:rPr>
                        <w:t xml:space="preserve"> efforts;</w:t>
                      </w:r>
                      <w:r w:rsidR="00786531" w:rsidRPr="00786531">
                        <w:rPr>
                          <w:rFonts w:ascii="Garamond" w:hAnsi="Garamond"/>
                          <w:sz w:val="20"/>
                          <w:szCs w:val="20"/>
                        </w:rPr>
                        <w:t xml:space="preserve"> improved access to basic services</w:t>
                      </w:r>
                      <w:r w:rsidR="00773CFB">
                        <w:rPr>
                          <w:rFonts w:ascii="Garamond" w:hAnsi="Garamond"/>
                          <w:sz w:val="20"/>
                          <w:szCs w:val="20"/>
                        </w:rPr>
                        <w:t>;</w:t>
                      </w:r>
                      <w:r w:rsidR="00786531" w:rsidRPr="00786531">
                        <w:rPr>
                          <w:rFonts w:ascii="Garamond" w:hAnsi="Garamond"/>
                          <w:sz w:val="20"/>
                          <w:szCs w:val="20"/>
                        </w:rPr>
                        <w:t xml:space="preserve"> and maintain</w:t>
                      </w:r>
                      <w:r w:rsidR="00773CFB">
                        <w:rPr>
                          <w:rFonts w:ascii="Garamond" w:hAnsi="Garamond"/>
                          <w:sz w:val="20"/>
                          <w:szCs w:val="20"/>
                        </w:rPr>
                        <w:t>ed</w:t>
                      </w:r>
                      <w:r w:rsidR="00786531" w:rsidRPr="00786531">
                        <w:rPr>
                          <w:rFonts w:ascii="Garamond" w:hAnsi="Garamond"/>
                          <w:sz w:val="20"/>
                          <w:szCs w:val="20"/>
                        </w:rPr>
                        <w:t xml:space="preserve"> </w:t>
                      </w:r>
                      <w:r w:rsidR="00773CFB">
                        <w:rPr>
                          <w:rFonts w:ascii="Garamond" w:hAnsi="Garamond"/>
                          <w:sz w:val="20"/>
                          <w:szCs w:val="20"/>
                        </w:rPr>
                        <w:t>f</w:t>
                      </w:r>
                      <w:r>
                        <w:rPr>
                          <w:rFonts w:ascii="Garamond" w:hAnsi="Garamond"/>
                          <w:sz w:val="20"/>
                          <w:szCs w:val="20"/>
                        </w:rPr>
                        <w:t>ocus on poverty-</w:t>
                      </w:r>
                      <w:r w:rsidR="00786531" w:rsidRPr="00786531">
                        <w:rPr>
                          <w:rFonts w:ascii="Garamond" w:hAnsi="Garamond"/>
                          <w:sz w:val="20"/>
                          <w:szCs w:val="20"/>
                        </w:rPr>
                        <w:t>reducing interventions</w:t>
                      </w:r>
                      <w:r w:rsidR="00773CFB">
                        <w:rPr>
                          <w:rFonts w:ascii="Garamond" w:hAnsi="Garamond"/>
                          <w:sz w:val="20"/>
                          <w:szCs w:val="20"/>
                        </w:rPr>
                        <w:t>.</w:t>
                      </w:r>
                    </w:p>
                  </w:txbxContent>
                </v:textbox>
                <w10:wrap type="square"/>
              </v:shape>
            </w:pict>
          </mc:Fallback>
        </mc:AlternateContent>
      </w:r>
      <w:r w:rsidR="003473AF">
        <w:rPr>
          <w:rFonts w:ascii="Garamond" w:hAnsi="Garamond"/>
          <w:b/>
          <w:sz w:val="24"/>
          <w:szCs w:val="24"/>
        </w:rPr>
        <w:t>Basic Information</w:t>
      </w:r>
    </w:p>
    <w:p w:rsidR="000E2324" w:rsidRDefault="00F67C1C" w:rsidP="000E2324">
      <w:pPr>
        <w:spacing w:after="0" w:line="240" w:lineRule="auto"/>
        <w:jc w:val="both"/>
        <w:rPr>
          <w:rFonts w:ascii="Garamond" w:hAnsi="Garamond" w:cs="Garamond"/>
          <w:sz w:val="24"/>
          <w:szCs w:val="24"/>
        </w:rPr>
      </w:pPr>
      <w:r w:rsidRPr="006F50B5">
        <w:rPr>
          <w:rFonts w:ascii="Garamond" w:hAnsi="Garamond" w:cs="Garamond"/>
          <w:sz w:val="24"/>
          <w:szCs w:val="24"/>
        </w:rPr>
        <w:t>Denmark provided general budget support to Ghana through the Multi Donor Budget Support (MDBS) programme</w:t>
      </w:r>
      <w:r w:rsidR="006F50B5">
        <w:rPr>
          <w:rFonts w:ascii="Garamond" w:hAnsi="Garamond" w:cs="Garamond"/>
          <w:sz w:val="24"/>
          <w:szCs w:val="24"/>
        </w:rPr>
        <w:t>s</w:t>
      </w:r>
      <w:r w:rsidR="000E2324">
        <w:rPr>
          <w:rFonts w:ascii="Garamond" w:hAnsi="Garamond" w:cs="Garamond"/>
          <w:sz w:val="24"/>
          <w:szCs w:val="24"/>
        </w:rPr>
        <w:t xml:space="preserve">, which were </w:t>
      </w:r>
      <w:r w:rsidR="004C49B7">
        <w:rPr>
          <w:rFonts w:ascii="Garamond" w:hAnsi="Garamond" w:cs="Garamond"/>
          <w:sz w:val="24"/>
          <w:szCs w:val="24"/>
        </w:rPr>
        <w:t xml:space="preserve">formulated to address </w:t>
      </w:r>
      <w:r w:rsidR="000E2324">
        <w:rPr>
          <w:rFonts w:ascii="Garamond" w:hAnsi="Garamond" w:cs="Garamond"/>
          <w:sz w:val="24"/>
          <w:szCs w:val="24"/>
        </w:rPr>
        <w:t xml:space="preserve">the </w:t>
      </w:r>
      <w:r w:rsidR="004C49B7" w:rsidRPr="00F67C1C">
        <w:rPr>
          <w:rFonts w:ascii="Garamond" w:hAnsi="Garamond" w:cs="Garamond"/>
          <w:sz w:val="24"/>
          <w:szCs w:val="24"/>
        </w:rPr>
        <w:t xml:space="preserve">Government of Ghana’s </w:t>
      </w:r>
      <w:r w:rsidR="000E2324">
        <w:rPr>
          <w:rFonts w:ascii="Garamond" w:hAnsi="Garamond" w:cs="Garamond"/>
          <w:sz w:val="24"/>
          <w:szCs w:val="24"/>
        </w:rPr>
        <w:t xml:space="preserve">(GoG) </w:t>
      </w:r>
      <w:r w:rsidR="004C49B7" w:rsidRPr="00F67C1C">
        <w:rPr>
          <w:rFonts w:ascii="Garamond" w:hAnsi="Garamond" w:cs="Garamond"/>
          <w:sz w:val="24"/>
          <w:szCs w:val="24"/>
        </w:rPr>
        <w:t xml:space="preserve">medium-term development agenda, the Ghana Poverty Reduction Strategy </w:t>
      </w:r>
      <w:r w:rsidR="000E2324">
        <w:rPr>
          <w:rFonts w:ascii="Garamond" w:hAnsi="Garamond" w:cs="Garamond"/>
          <w:sz w:val="24"/>
          <w:szCs w:val="24"/>
        </w:rPr>
        <w:t>(GPRS</w:t>
      </w:r>
      <w:r w:rsidR="00F86E52">
        <w:rPr>
          <w:rFonts w:ascii="Garamond" w:hAnsi="Garamond" w:cs="Garamond"/>
          <w:sz w:val="24"/>
          <w:szCs w:val="24"/>
        </w:rPr>
        <w:t xml:space="preserve"> </w:t>
      </w:r>
      <w:r w:rsidR="001B1169">
        <w:rPr>
          <w:rFonts w:ascii="Garamond" w:hAnsi="Garamond" w:cs="Garamond"/>
          <w:sz w:val="24"/>
          <w:szCs w:val="24"/>
        </w:rPr>
        <w:t>I</w:t>
      </w:r>
      <w:r w:rsidR="000E2324">
        <w:rPr>
          <w:rFonts w:ascii="Garamond" w:hAnsi="Garamond" w:cs="Garamond"/>
          <w:sz w:val="24"/>
          <w:szCs w:val="24"/>
        </w:rPr>
        <w:t xml:space="preserve">) </w:t>
      </w:r>
      <w:r w:rsidR="00F86E52">
        <w:rPr>
          <w:rFonts w:ascii="Garamond" w:hAnsi="Garamond" w:cs="Garamond"/>
          <w:sz w:val="24"/>
          <w:szCs w:val="24"/>
        </w:rPr>
        <w:t xml:space="preserve">and the Growth and Poverty Reduction Strategy (GPRS II) </w:t>
      </w:r>
      <w:r w:rsidR="004C49B7" w:rsidRPr="00F67C1C">
        <w:rPr>
          <w:rFonts w:ascii="Garamond" w:hAnsi="Garamond" w:cs="Garamond"/>
          <w:sz w:val="24"/>
          <w:szCs w:val="24"/>
        </w:rPr>
        <w:t>with financial and technical resources</w:t>
      </w:r>
      <w:r w:rsidRPr="006F50B5">
        <w:rPr>
          <w:rFonts w:ascii="Garamond" w:hAnsi="Garamond" w:cs="Garamond"/>
          <w:sz w:val="24"/>
          <w:szCs w:val="24"/>
        </w:rPr>
        <w:t>.</w:t>
      </w:r>
      <w:r w:rsidR="006F50B5" w:rsidRPr="006F50B5">
        <w:rPr>
          <w:rFonts w:ascii="Garamond" w:hAnsi="Garamond" w:cs="Garamond"/>
          <w:sz w:val="24"/>
          <w:szCs w:val="24"/>
        </w:rPr>
        <w:t xml:space="preserve"> </w:t>
      </w:r>
      <w:r w:rsidR="006F50B5" w:rsidRPr="006F50B5">
        <w:rPr>
          <w:rFonts w:ascii="Garamond" w:hAnsi="Garamond"/>
          <w:color w:val="000000"/>
          <w:sz w:val="24"/>
          <w:szCs w:val="24"/>
        </w:rPr>
        <w:t xml:space="preserve">The first phase of </w:t>
      </w:r>
      <w:r w:rsidR="006F50B5">
        <w:rPr>
          <w:rFonts w:ascii="Garamond" w:hAnsi="Garamond"/>
          <w:color w:val="000000"/>
          <w:sz w:val="24"/>
          <w:szCs w:val="24"/>
        </w:rPr>
        <w:t>the MDBS</w:t>
      </w:r>
      <w:r w:rsidR="004C49B7">
        <w:rPr>
          <w:rFonts w:ascii="Garamond" w:hAnsi="Garamond"/>
          <w:color w:val="000000"/>
          <w:sz w:val="24"/>
          <w:szCs w:val="24"/>
        </w:rPr>
        <w:t xml:space="preserve"> </w:t>
      </w:r>
      <w:r w:rsidR="004C49B7" w:rsidRPr="00076F84">
        <w:rPr>
          <w:rFonts w:ascii="Garamond" w:hAnsi="Garamond"/>
          <w:sz w:val="24"/>
          <w:szCs w:val="24"/>
        </w:rPr>
        <w:t>(</w:t>
      </w:r>
      <w:r w:rsidR="001B1169">
        <w:rPr>
          <w:rFonts w:ascii="Garamond" w:hAnsi="Garamond"/>
          <w:sz w:val="24"/>
          <w:szCs w:val="24"/>
        </w:rPr>
        <w:t xml:space="preserve">MDBS I: </w:t>
      </w:r>
      <w:r w:rsidR="000E2324" w:rsidRPr="00076F84">
        <w:rPr>
          <w:rFonts w:ascii="Garamond" w:hAnsi="Garamond"/>
          <w:sz w:val="24"/>
          <w:szCs w:val="24"/>
        </w:rPr>
        <w:t>2006-2010</w:t>
      </w:r>
      <w:r w:rsidR="004C49B7" w:rsidRPr="00076F84">
        <w:rPr>
          <w:rFonts w:ascii="Garamond" w:hAnsi="Garamond"/>
          <w:sz w:val="24"/>
          <w:szCs w:val="24"/>
        </w:rPr>
        <w:t>)</w:t>
      </w:r>
      <w:r w:rsidR="006F50B5" w:rsidRPr="00076F84">
        <w:rPr>
          <w:rFonts w:ascii="Garamond" w:hAnsi="Garamond"/>
          <w:sz w:val="24"/>
          <w:szCs w:val="24"/>
        </w:rPr>
        <w:t xml:space="preserve"> involved </w:t>
      </w:r>
      <w:r w:rsidR="006F50B5" w:rsidRPr="006F50B5">
        <w:rPr>
          <w:rFonts w:ascii="Garamond" w:hAnsi="Garamond"/>
          <w:color w:val="000000"/>
          <w:sz w:val="24"/>
          <w:szCs w:val="24"/>
        </w:rPr>
        <w:t>nine development partners (DPs) including Denmark, World Bank, African Development Bank, Canada, EU, Germany, Netherlands, Switzerland</w:t>
      </w:r>
      <w:r w:rsidR="00EA124C">
        <w:rPr>
          <w:rFonts w:ascii="Garamond" w:hAnsi="Garamond"/>
          <w:color w:val="000000"/>
          <w:sz w:val="24"/>
          <w:szCs w:val="24"/>
        </w:rPr>
        <w:t>,</w:t>
      </w:r>
      <w:r w:rsidR="006F50B5" w:rsidRPr="006F50B5">
        <w:rPr>
          <w:rFonts w:ascii="Garamond" w:hAnsi="Garamond"/>
          <w:color w:val="000000"/>
          <w:sz w:val="24"/>
          <w:szCs w:val="24"/>
        </w:rPr>
        <w:t xml:space="preserve"> and UK. </w:t>
      </w:r>
      <w:r w:rsidR="00E663B9">
        <w:rPr>
          <w:rFonts w:ascii="Garamond" w:hAnsi="Garamond"/>
          <w:color w:val="000000"/>
          <w:sz w:val="24"/>
          <w:szCs w:val="24"/>
        </w:rPr>
        <w:t xml:space="preserve">MDBS I </w:t>
      </w:r>
      <w:r w:rsidR="006F50B5" w:rsidRPr="006F50B5">
        <w:rPr>
          <w:rFonts w:ascii="Garamond" w:hAnsi="Garamond"/>
          <w:color w:val="000000"/>
          <w:sz w:val="24"/>
          <w:szCs w:val="24"/>
        </w:rPr>
        <w:t xml:space="preserve">sought to </w:t>
      </w:r>
      <w:r w:rsidR="006F50B5" w:rsidRPr="00A852A6">
        <w:rPr>
          <w:rFonts w:ascii="Garamond" w:hAnsi="Garamond"/>
          <w:color w:val="000000"/>
          <w:sz w:val="24"/>
          <w:szCs w:val="24"/>
        </w:rPr>
        <w:t xml:space="preserve">harmonize DPs’ policies and procedures in order to minimize transaction costs for the </w:t>
      </w:r>
      <w:r w:rsidR="006F50B5" w:rsidRPr="006F50B5">
        <w:rPr>
          <w:rFonts w:ascii="Garamond" w:hAnsi="Garamond"/>
          <w:color w:val="000000"/>
          <w:sz w:val="24"/>
          <w:szCs w:val="24"/>
        </w:rPr>
        <w:t>government of Ghana</w:t>
      </w:r>
      <w:r w:rsidR="00E663B9">
        <w:rPr>
          <w:rFonts w:ascii="Garamond" w:hAnsi="Garamond"/>
          <w:color w:val="000000"/>
          <w:sz w:val="24"/>
          <w:szCs w:val="24"/>
        </w:rPr>
        <w:t>. The objectives i</w:t>
      </w:r>
      <w:r w:rsidR="006F50B5" w:rsidRPr="006F50B5">
        <w:rPr>
          <w:rFonts w:ascii="Garamond" w:hAnsi="Garamond"/>
          <w:color w:val="000000"/>
          <w:sz w:val="24"/>
          <w:szCs w:val="24"/>
        </w:rPr>
        <w:t xml:space="preserve">ncluded </w:t>
      </w:r>
      <w:r w:rsidR="006F50B5" w:rsidRPr="00A852A6">
        <w:rPr>
          <w:rFonts w:ascii="Garamond" w:hAnsi="Garamond"/>
          <w:color w:val="000000"/>
          <w:sz w:val="24"/>
          <w:szCs w:val="24"/>
        </w:rPr>
        <w:t>agreeing to common benchmarks (triggers and target</w:t>
      </w:r>
      <w:r w:rsidR="006F50B5" w:rsidRPr="006F50B5">
        <w:rPr>
          <w:rFonts w:ascii="Garamond" w:hAnsi="Garamond"/>
          <w:color w:val="000000"/>
          <w:sz w:val="24"/>
          <w:szCs w:val="24"/>
        </w:rPr>
        <w:t xml:space="preserve">s) against which performance would be </w:t>
      </w:r>
      <w:r w:rsidR="006F50B5" w:rsidRPr="00A852A6">
        <w:rPr>
          <w:rFonts w:ascii="Garamond" w:hAnsi="Garamond"/>
          <w:color w:val="000000"/>
          <w:sz w:val="24"/>
          <w:szCs w:val="24"/>
        </w:rPr>
        <w:t>assessed;</w:t>
      </w:r>
      <w:r w:rsidR="006F50B5" w:rsidRPr="006F50B5">
        <w:rPr>
          <w:rFonts w:ascii="Garamond" w:hAnsi="Garamond"/>
          <w:color w:val="000000"/>
          <w:sz w:val="24"/>
          <w:szCs w:val="24"/>
        </w:rPr>
        <w:t xml:space="preserve"> </w:t>
      </w:r>
      <w:r w:rsidR="006F50B5" w:rsidRPr="00A852A6">
        <w:rPr>
          <w:rFonts w:ascii="Garamond" w:hAnsi="Garamond"/>
          <w:color w:val="000000"/>
          <w:sz w:val="24"/>
          <w:szCs w:val="24"/>
        </w:rPr>
        <w:t xml:space="preserve">improving dialogue between DPs and GoG; </w:t>
      </w:r>
      <w:r w:rsidR="006F50B5" w:rsidRPr="006F50B5">
        <w:rPr>
          <w:rFonts w:ascii="Garamond" w:hAnsi="Garamond"/>
          <w:color w:val="000000"/>
          <w:sz w:val="24"/>
          <w:szCs w:val="24"/>
        </w:rPr>
        <w:t xml:space="preserve">and </w:t>
      </w:r>
      <w:r w:rsidR="006F50B5" w:rsidRPr="00A852A6">
        <w:rPr>
          <w:rFonts w:ascii="Garamond" w:hAnsi="Garamond"/>
          <w:color w:val="000000"/>
          <w:sz w:val="24"/>
          <w:szCs w:val="24"/>
        </w:rPr>
        <w:t>basing funding commitments and disbursements on the achievement of agreed targets.</w:t>
      </w:r>
      <w:r w:rsidR="006F50B5" w:rsidRPr="006F50B5">
        <w:rPr>
          <w:rFonts w:ascii="Garamond" w:hAnsi="Garamond"/>
          <w:color w:val="000000"/>
          <w:sz w:val="24"/>
          <w:szCs w:val="24"/>
        </w:rPr>
        <w:t xml:space="preserve"> Expected outputs </w:t>
      </w:r>
      <w:proofErr w:type="gramStart"/>
      <w:r w:rsidR="006F50B5" w:rsidRPr="006F50B5">
        <w:rPr>
          <w:rFonts w:ascii="Garamond" w:hAnsi="Garamond"/>
          <w:color w:val="000000"/>
          <w:sz w:val="24"/>
          <w:szCs w:val="24"/>
        </w:rPr>
        <w:t>included</w:t>
      </w:r>
      <w:r w:rsidR="004C49B7">
        <w:rPr>
          <w:rFonts w:ascii="Garamond" w:hAnsi="Garamond"/>
          <w:color w:val="000000"/>
          <w:sz w:val="24"/>
          <w:szCs w:val="24"/>
        </w:rPr>
        <w:t>:</w:t>
      </w:r>
      <w:proofErr w:type="gramEnd"/>
      <w:r w:rsidR="006F50B5" w:rsidRPr="006F50B5">
        <w:rPr>
          <w:rFonts w:ascii="Garamond" w:hAnsi="Garamond"/>
          <w:color w:val="000000"/>
          <w:sz w:val="24"/>
          <w:szCs w:val="24"/>
        </w:rPr>
        <w:t xml:space="preserve"> </w:t>
      </w:r>
      <w:r w:rsidR="006F50B5" w:rsidRPr="006F50B5">
        <w:rPr>
          <w:rFonts w:ascii="Garamond" w:eastAsia="Times New Roman" w:hAnsi="Garamond"/>
          <w:color w:val="000000"/>
          <w:sz w:val="24"/>
          <w:szCs w:val="24"/>
          <w:lang w:eastAsia="en-GB"/>
        </w:rPr>
        <w:t>improved public financial management</w:t>
      </w:r>
      <w:r w:rsidR="006F50B5" w:rsidRPr="006F50B5">
        <w:rPr>
          <w:rFonts w:ascii="Garamond" w:hAnsi="Garamond"/>
          <w:color w:val="000000"/>
          <w:sz w:val="24"/>
          <w:szCs w:val="24"/>
        </w:rPr>
        <w:t xml:space="preserve">; </w:t>
      </w:r>
      <w:r w:rsidR="006F50B5" w:rsidRPr="006F50B5">
        <w:rPr>
          <w:rFonts w:ascii="Garamond" w:eastAsia="Times New Roman" w:hAnsi="Garamond"/>
          <w:color w:val="000000"/>
          <w:sz w:val="24"/>
          <w:szCs w:val="24"/>
          <w:lang w:eastAsia="en-GB"/>
        </w:rPr>
        <w:t>improved allocation of resources according to the priorities of the GPRS, including th</w:t>
      </w:r>
      <w:r w:rsidR="006F50B5" w:rsidRPr="006F50B5">
        <w:rPr>
          <w:rFonts w:ascii="Garamond" w:hAnsi="Garamond"/>
          <w:color w:val="000000"/>
          <w:sz w:val="24"/>
          <w:szCs w:val="24"/>
        </w:rPr>
        <w:t xml:space="preserve">e promotion of good governance; and </w:t>
      </w:r>
      <w:r w:rsidR="00EA124C">
        <w:rPr>
          <w:rFonts w:ascii="Garamond" w:eastAsia="Times New Roman" w:hAnsi="Garamond"/>
          <w:color w:val="000000"/>
          <w:sz w:val="24"/>
          <w:szCs w:val="24"/>
          <w:lang w:eastAsia="en-GB"/>
        </w:rPr>
        <w:t>improved macro-</w:t>
      </w:r>
      <w:r w:rsidR="006F50B5" w:rsidRPr="006F50B5">
        <w:rPr>
          <w:rFonts w:ascii="Garamond" w:eastAsia="Times New Roman" w:hAnsi="Garamond"/>
          <w:color w:val="000000"/>
          <w:sz w:val="24"/>
          <w:szCs w:val="24"/>
          <w:lang w:eastAsia="en-GB"/>
        </w:rPr>
        <w:t>financial stability</w:t>
      </w:r>
      <w:r w:rsidR="006F50B5" w:rsidRPr="006F50B5">
        <w:rPr>
          <w:rFonts w:ascii="Garamond" w:hAnsi="Garamond"/>
          <w:color w:val="000000"/>
          <w:sz w:val="24"/>
          <w:szCs w:val="24"/>
        </w:rPr>
        <w:t xml:space="preserve">. Danida’s inputs </w:t>
      </w:r>
      <w:r w:rsidR="006F50B5" w:rsidRPr="006F50B5">
        <w:rPr>
          <w:rFonts w:ascii="Garamond" w:hAnsi="Garamond" w:cs="Times New Roman"/>
          <w:color w:val="000000"/>
          <w:sz w:val="24"/>
          <w:szCs w:val="24"/>
        </w:rPr>
        <w:t xml:space="preserve">to the </w:t>
      </w:r>
      <w:r w:rsidR="006F50B5" w:rsidRPr="006F50B5">
        <w:rPr>
          <w:rFonts w:ascii="Garamond" w:hAnsi="Garamond"/>
          <w:color w:val="000000"/>
          <w:sz w:val="24"/>
          <w:szCs w:val="24"/>
        </w:rPr>
        <w:t xml:space="preserve">MDBS comprised </w:t>
      </w:r>
      <w:r w:rsidR="006F50B5" w:rsidRPr="006F50B5">
        <w:rPr>
          <w:rFonts w:ascii="Garamond" w:hAnsi="Garamond" w:cs="Times New Roman"/>
          <w:color w:val="000000"/>
          <w:sz w:val="24"/>
          <w:szCs w:val="24"/>
        </w:rPr>
        <w:t>bi-annual contributions</w:t>
      </w:r>
      <w:r w:rsidR="006F50B5" w:rsidRPr="006F50B5">
        <w:rPr>
          <w:rFonts w:ascii="Garamond" w:hAnsi="Garamond"/>
          <w:color w:val="000000"/>
          <w:sz w:val="24"/>
          <w:szCs w:val="24"/>
        </w:rPr>
        <w:t xml:space="preserve">, a fixed/base </w:t>
      </w:r>
      <w:r w:rsidR="006F50B5" w:rsidRPr="006F50B5">
        <w:rPr>
          <w:rFonts w:ascii="Garamond" w:hAnsi="Garamond" w:cs="Times New Roman"/>
          <w:color w:val="000000"/>
          <w:sz w:val="24"/>
          <w:szCs w:val="24"/>
        </w:rPr>
        <w:t>tranche</w:t>
      </w:r>
      <w:r w:rsidR="006F50B5" w:rsidRPr="006F50B5">
        <w:rPr>
          <w:rFonts w:ascii="Garamond" w:hAnsi="Garamond"/>
          <w:color w:val="000000"/>
          <w:sz w:val="24"/>
          <w:szCs w:val="24"/>
        </w:rPr>
        <w:t xml:space="preserve"> </w:t>
      </w:r>
      <w:r w:rsidR="006F50B5" w:rsidRPr="006F50B5">
        <w:rPr>
          <w:rFonts w:ascii="Garamond" w:hAnsi="Garamond" w:cs="Times New Roman"/>
          <w:color w:val="000000"/>
          <w:sz w:val="24"/>
          <w:szCs w:val="24"/>
        </w:rPr>
        <w:t>released in the first half of each year</w:t>
      </w:r>
      <w:r w:rsidR="006F50B5" w:rsidRPr="006F50B5">
        <w:rPr>
          <w:rFonts w:ascii="Garamond" w:hAnsi="Garamond"/>
          <w:color w:val="000000"/>
          <w:sz w:val="24"/>
          <w:szCs w:val="24"/>
        </w:rPr>
        <w:t xml:space="preserve"> </w:t>
      </w:r>
      <w:r w:rsidR="006F50B5" w:rsidRPr="006F50B5">
        <w:rPr>
          <w:rFonts w:ascii="Garamond" w:hAnsi="Garamond" w:cs="Times New Roman"/>
          <w:color w:val="000000"/>
          <w:sz w:val="24"/>
          <w:szCs w:val="24"/>
        </w:rPr>
        <w:t xml:space="preserve">conditioned on </w:t>
      </w:r>
      <w:r w:rsidR="006F50B5" w:rsidRPr="006F50B5">
        <w:rPr>
          <w:rFonts w:ascii="Garamond" w:hAnsi="Garamond"/>
          <w:color w:val="000000"/>
          <w:sz w:val="24"/>
          <w:szCs w:val="24"/>
        </w:rPr>
        <w:t xml:space="preserve">GoG </w:t>
      </w:r>
      <w:r w:rsidR="006F50B5" w:rsidRPr="006F50B5">
        <w:rPr>
          <w:rFonts w:ascii="Garamond" w:hAnsi="Garamond" w:cs="Times New Roman"/>
          <w:color w:val="000000"/>
          <w:sz w:val="24"/>
          <w:szCs w:val="24"/>
        </w:rPr>
        <w:t>being on track with the I</w:t>
      </w:r>
      <w:r w:rsidR="006C1D9B">
        <w:rPr>
          <w:rFonts w:ascii="Garamond" w:hAnsi="Garamond" w:cs="Times New Roman"/>
          <w:color w:val="000000"/>
          <w:sz w:val="24"/>
          <w:szCs w:val="24"/>
        </w:rPr>
        <w:t>nternational Monetary Fund’s (I</w:t>
      </w:r>
      <w:r w:rsidR="006F50B5" w:rsidRPr="006F50B5">
        <w:rPr>
          <w:rFonts w:ascii="Garamond" w:hAnsi="Garamond" w:cs="Times New Roman"/>
          <w:color w:val="000000"/>
          <w:sz w:val="24"/>
          <w:szCs w:val="24"/>
        </w:rPr>
        <w:t>MF</w:t>
      </w:r>
      <w:r w:rsidR="006C1D9B">
        <w:rPr>
          <w:rFonts w:ascii="Garamond" w:hAnsi="Garamond" w:cs="Times New Roman"/>
          <w:color w:val="000000"/>
          <w:sz w:val="24"/>
          <w:szCs w:val="24"/>
        </w:rPr>
        <w:t>)</w:t>
      </w:r>
      <w:r w:rsidR="006F50B5" w:rsidRPr="006F50B5">
        <w:rPr>
          <w:rFonts w:ascii="Garamond" w:hAnsi="Garamond"/>
          <w:color w:val="000000"/>
          <w:sz w:val="24"/>
          <w:szCs w:val="24"/>
        </w:rPr>
        <w:t xml:space="preserve"> </w:t>
      </w:r>
      <w:r w:rsidR="006F50B5" w:rsidRPr="006F50B5">
        <w:rPr>
          <w:rFonts w:ascii="Garamond" w:hAnsi="Garamond" w:cs="Times New Roman"/>
          <w:color w:val="000000"/>
          <w:sz w:val="24"/>
          <w:szCs w:val="24"/>
        </w:rPr>
        <w:t>Poverty Reduction and Growth Facility programme, and a performance tranche released in the second half of each year</w:t>
      </w:r>
      <w:r w:rsidR="006F50B5" w:rsidRPr="006F50B5">
        <w:rPr>
          <w:rFonts w:ascii="Garamond" w:hAnsi="Garamond"/>
          <w:color w:val="000000"/>
          <w:sz w:val="24"/>
          <w:szCs w:val="24"/>
        </w:rPr>
        <w:t xml:space="preserve"> </w:t>
      </w:r>
      <w:r w:rsidR="006F50B5" w:rsidRPr="006F50B5">
        <w:rPr>
          <w:rFonts w:ascii="Garamond" w:hAnsi="Garamond" w:cs="Times New Roman"/>
          <w:color w:val="000000"/>
          <w:sz w:val="24"/>
          <w:szCs w:val="24"/>
        </w:rPr>
        <w:t xml:space="preserve">depending on the government’s fulfilment of </w:t>
      </w:r>
      <w:r w:rsidR="006F50B5" w:rsidRPr="006F50B5">
        <w:rPr>
          <w:rFonts w:ascii="Garamond" w:hAnsi="Garamond"/>
          <w:color w:val="000000"/>
          <w:sz w:val="24"/>
          <w:szCs w:val="24"/>
        </w:rPr>
        <w:t xml:space="preserve">annual </w:t>
      </w:r>
      <w:r w:rsidR="006F50B5" w:rsidRPr="006F50B5">
        <w:rPr>
          <w:rFonts w:ascii="Garamond" w:hAnsi="Garamond" w:cs="Times New Roman"/>
          <w:color w:val="000000"/>
          <w:sz w:val="24"/>
          <w:szCs w:val="24"/>
        </w:rPr>
        <w:t>triggers</w:t>
      </w:r>
      <w:r w:rsidR="006F50B5" w:rsidRPr="006F50B5">
        <w:rPr>
          <w:rFonts w:ascii="Garamond" w:hAnsi="Garamond"/>
          <w:color w:val="000000"/>
          <w:sz w:val="24"/>
          <w:szCs w:val="24"/>
        </w:rPr>
        <w:t xml:space="preserve"> </w:t>
      </w:r>
      <w:r w:rsidR="006F50B5" w:rsidRPr="006F50B5">
        <w:rPr>
          <w:rFonts w:ascii="Garamond" w:hAnsi="Garamond" w:cs="Times New Roman"/>
          <w:color w:val="000000"/>
          <w:sz w:val="24"/>
          <w:szCs w:val="24"/>
        </w:rPr>
        <w:t>agreed between GoG and DPs for the subsequent year</w:t>
      </w:r>
      <w:r w:rsidR="004C49B7">
        <w:rPr>
          <w:rFonts w:ascii="Garamond" w:hAnsi="Garamond" w:cs="Times New Roman"/>
          <w:color w:val="000000"/>
          <w:sz w:val="24"/>
          <w:szCs w:val="24"/>
        </w:rPr>
        <w:t>.</w:t>
      </w:r>
      <w:r w:rsidRPr="006F50B5">
        <w:rPr>
          <w:rFonts w:ascii="Garamond" w:hAnsi="Garamond" w:cs="Garamond"/>
          <w:sz w:val="24"/>
          <w:szCs w:val="24"/>
        </w:rPr>
        <w:t xml:space="preserve"> </w:t>
      </w:r>
    </w:p>
    <w:p w:rsidR="006F50B5" w:rsidRPr="006F50B5" w:rsidRDefault="00F67C1C" w:rsidP="000E2324">
      <w:pPr>
        <w:spacing w:after="0" w:line="240" w:lineRule="auto"/>
        <w:jc w:val="both"/>
        <w:rPr>
          <w:rFonts w:ascii="Garamond" w:hAnsi="Garamond" w:cs="Garamond"/>
          <w:sz w:val="24"/>
          <w:szCs w:val="24"/>
        </w:rPr>
      </w:pPr>
      <w:r w:rsidRPr="006F50B5">
        <w:rPr>
          <w:rFonts w:ascii="Garamond" w:hAnsi="Garamond" w:cs="Garamond"/>
          <w:sz w:val="24"/>
          <w:szCs w:val="24"/>
        </w:rPr>
        <w:t xml:space="preserve"> </w:t>
      </w:r>
    </w:p>
    <w:p w:rsidR="00364183" w:rsidRDefault="001B1169" w:rsidP="00F67C1C">
      <w:pPr>
        <w:spacing w:after="0" w:line="240" w:lineRule="auto"/>
        <w:jc w:val="both"/>
        <w:rPr>
          <w:rFonts w:ascii="Garamond" w:hAnsi="Garamond"/>
          <w:sz w:val="24"/>
          <w:szCs w:val="24"/>
        </w:rPr>
      </w:pPr>
      <w:r>
        <w:rPr>
          <w:rFonts w:ascii="Garamond" w:hAnsi="Garamond" w:cs="Garamond"/>
          <w:sz w:val="24"/>
          <w:szCs w:val="24"/>
        </w:rPr>
        <w:t>Danida continued its g</w:t>
      </w:r>
      <w:r w:rsidR="00F67C1C" w:rsidRPr="00F67C1C">
        <w:rPr>
          <w:rFonts w:ascii="Garamond" w:hAnsi="Garamond" w:cs="Garamond"/>
          <w:sz w:val="24"/>
          <w:szCs w:val="24"/>
        </w:rPr>
        <w:t xml:space="preserve">eneral budget support to Ghana </w:t>
      </w:r>
      <w:r w:rsidR="000E2324">
        <w:rPr>
          <w:rFonts w:ascii="Garamond" w:hAnsi="Garamond" w:cs="Garamond"/>
          <w:sz w:val="24"/>
          <w:szCs w:val="24"/>
        </w:rPr>
        <w:t xml:space="preserve">through </w:t>
      </w:r>
      <w:r w:rsidR="00F67C1C" w:rsidRPr="00F67C1C">
        <w:rPr>
          <w:rFonts w:ascii="Garamond" w:hAnsi="Garamond" w:cs="Garamond"/>
          <w:sz w:val="24"/>
          <w:szCs w:val="24"/>
        </w:rPr>
        <w:t>MDBS</w:t>
      </w:r>
      <w:r w:rsidR="000E2324">
        <w:rPr>
          <w:rFonts w:ascii="Garamond" w:hAnsi="Garamond" w:cs="Garamond"/>
          <w:sz w:val="24"/>
          <w:szCs w:val="24"/>
        </w:rPr>
        <w:t xml:space="preserve"> </w:t>
      </w:r>
      <w:r w:rsidR="00267EF2">
        <w:rPr>
          <w:rFonts w:ascii="Garamond" w:hAnsi="Garamond" w:cs="Garamond"/>
          <w:sz w:val="24"/>
          <w:szCs w:val="24"/>
        </w:rPr>
        <w:t xml:space="preserve">Phase 2 </w:t>
      </w:r>
      <w:r w:rsidR="000E2324">
        <w:rPr>
          <w:rFonts w:ascii="Garamond" w:hAnsi="Garamond" w:cs="Garamond"/>
          <w:sz w:val="24"/>
          <w:szCs w:val="24"/>
        </w:rPr>
        <w:t>(</w:t>
      </w:r>
      <w:r>
        <w:rPr>
          <w:rFonts w:ascii="Garamond" w:hAnsi="Garamond" w:cs="Garamond"/>
          <w:sz w:val="24"/>
          <w:szCs w:val="24"/>
        </w:rPr>
        <w:t xml:space="preserve">MDBS II: </w:t>
      </w:r>
      <w:r w:rsidR="000E2324">
        <w:rPr>
          <w:rFonts w:ascii="Garamond" w:hAnsi="Garamond" w:cs="Garamond"/>
          <w:sz w:val="24"/>
          <w:szCs w:val="24"/>
        </w:rPr>
        <w:t>2010-2014)</w:t>
      </w:r>
      <w:r w:rsidR="004401E8">
        <w:rPr>
          <w:rFonts w:ascii="Garamond" w:hAnsi="Garamond" w:cs="Garamond"/>
          <w:sz w:val="24"/>
          <w:szCs w:val="24"/>
        </w:rPr>
        <w:t xml:space="preserve"> </w:t>
      </w:r>
      <w:r>
        <w:rPr>
          <w:rFonts w:ascii="Garamond" w:hAnsi="Garamond" w:cs="Garamond"/>
          <w:sz w:val="24"/>
          <w:szCs w:val="24"/>
        </w:rPr>
        <w:t xml:space="preserve">which </w:t>
      </w:r>
      <w:r w:rsidR="00F67C1C" w:rsidRPr="00F67C1C">
        <w:rPr>
          <w:rFonts w:ascii="Garamond" w:hAnsi="Garamond" w:cs="Garamond"/>
          <w:sz w:val="24"/>
          <w:szCs w:val="24"/>
        </w:rPr>
        <w:t>comprised two components. The first component provided general budget support through the government treasury for the implementation of Ghana's medium-term development plan</w:t>
      </w:r>
      <w:r w:rsidR="001968DA">
        <w:rPr>
          <w:rFonts w:ascii="Garamond" w:hAnsi="Garamond" w:cs="Garamond"/>
          <w:sz w:val="24"/>
          <w:szCs w:val="24"/>
        </w:rPr>
        <w:t xml:space="preserve"> while the second component </w:t>
      </w:r>
      <w:r w:rsidR="001968DA" w:rsidRPr="00F67C1C">
        <w:rPr>
          <w:rFonts w:ascii="Garamond" w:hAnsi="Garamond" w:cs="Garamond"/>
          <w:sz w:val="24"/>
          <w:szCs w:val="24"/>
        </w:rPr>
        <w:t xml:space="preserve">supported Ghana's </w:t>
      </w:r>
      <w:r w:rsidR="00267EF2">
        <w:rPr>
          <w:rFonts w:ascii="Garamond" w:hAnsi="Garamond" w:cs="Garamond"/>
          <w:sz w:val="24"/>
          <w:szCs w:val="24"/>
        </w:rPr>
        <w:t xml:space="preserve">strengthening </w:t>
      </w:r>
      <w:r w:rsidR="001968DA" w:rsidRPr="00F67C1C">
        <w:rPr>
          <w:rFonts w:ascii="Garamond" w:hAnsi="Garamond" w:cs="Garamond"/>
          <w:sz w:val="24"/>
          <w:szCs w:val="24"/>
        </w:rPr>
        <w:t xml:space="preserve">financial management systems </w:t>
      </w:r>
      <w:r w:rsidR="001968DA">
        <w:rPr>
          <w:rFonts w:ascii="Garamond" w:hAnsi="Garamond" w:cs="Garamond"/>
          <w:sz w:val="24"/>
          <w:szCs w:val="24"/>
        </w:rPr>
        <w:t xml:space="preserve">(a </w:t>
      </w:r>
      <w:r w:rsidR="001968DA" w:rsidRPr="00F67C1C">
        <w:rPr>
          <w:rFonts w:ascii="Garamond" w:hAnsi="Garamond" w:cs="Garamond"/>
          <w:sz w:val="24"/>
          <w:szCs w:val="24"/>
        </w:rPr>
        <w:t>key pre-requisite</w:t>
      </w:r>
      <w:r w:rsidR="001968DA">
        <w:rPr>
          <w:rFonts w:ascii="Garamond" w:hAnsi="Garamond" w:cs="Garamond"/>
          <w:sz w:val="24"/>
          <w:szCs w:val="24"/>
        </w:rPr>
        <w:t xml:space="preserve"> f</w:t>
      </w:r>
      <w:r w:rsidR="001968DA" w:rsidRPr="00F67C1C">
        <w:rPr>
          <w:rFonts w:ascii="Garamond" w:hAnsi="Garamond" w:cs="Garamond"/>
          <w:sz w:val="24"/>
          <w:szCs w:val="24"/>
        </w:rPr>
        <w:t>or budget support</w:t>
      </w:r>
      <w:r w:rsidR="001968DA">
        <w:rPr>
          <w:rFonts w:ascii="Garamond" w:hAnsi="Garamond" w:cs="Garamond"/>
          <w:sz w:val="24"/>
          <w:szCs w:val="24"/>
        </w:rPr>
        <w:t xml:space="preserve">) </w:t>
      </w:r>
      <w:r w:rsidR="001968DA" w:rsidRPr="00F67C1C">
        <w:rPr>
          <w:rFonts w:ascii="Garamond" w:hAnsi="Garamond" w:cs="Garamond"/>
          <w:sz w:val="24"/>
          <w:szCs w:val="24"/>
        </w:rPr>
        <w:t xml:space="preserve">through the implementation of an integrated </w:t>
      </w:r>
      <w:r w:rsidR="00267EF2">
        <w:rPr>
          <w:rFonts w:ascii="Garamond" w:hAnsi="Garamond" w:cs="Garamond"/>
          <w:sz w:val="24"/>
          <w:szCs w:val="24"/>
        </w:rPr>
        <w:t xml:space="preserve">financial </w:t>
      </w:r>
      <w:r w:rsidR="001968DA" w:rsidRPr="00F67C1C">
        <w:rPr>
          <w:rFonts w:ascii="Garamond" w:hAnsi="Garamond" w:cs="Garamond"/>
          <w:sz w:val="24"/>
          <w:szCs w:val="24"/>
        </w:rPr>
        <w:t>management information system</w:t>
      </w:r>
      <w:r w:rsidR="001968DA">
        <w:rPr>
          <w:rFonts w:ascii="Garamond" w:hAnsi="Garamond" w:cs="Garamond"/>
          <w:sz w:val="24"/>
          <w:szCs w:val="24"/>
        </w:rPr>
        <w:t>. Activities included</w:t>
      </w:r>
      <w:r w:rsidR="005A0A48">
        <w:rPr>
          <w:rFonts w:ascii="Garamond" w:hAnsi="Garamond" w:cs="Garamond"/>
          <w:sz w:val="24"/>
          <w:szCs w:val="24"/>
        </w:rPr>
        <w:t xml:space="preserve"> </w:t>
      </w:r>
      <w:r w:rsidR="001968DA">
        <w:rPr>
          <w:rFonts w:ascii="Garamond" w:hAnsi="Garamond" w:cs="Garamond"/>
          <w:sz w:val="24"/>
          <w:szCs w:val="24"/>
        </w:rPr>
        <w:t xml:space="preserve">participation in </w:t>
      </w:r>
      <w:r w:rsidR="00F67C1C" w:rsidRPr="00F67C1C">
        <w:rPr>
          <w:rFonts w:ascii="Garamond" w:hAnsi="Garamond" w:cs="Garamond"/>
          <w:sz w:val="24"/>
          <w:szCs w:val="24"/>
        </w:rPr>
        <w:t>political dialogue on reforms</w:t>
      </w:r>
      <w:r w:rsidR="005A0A48">
        <w:rPr>
          <w:rFonts w:ascii="Garamond" w:hAnsi="Garamond" w:cs="Garamond"/>
          <w:sz w:val="24"/>
          <w:szCs w:val="24"/>
        </w:rPr>
        <w:t xml:space="preserve"> in public financial management</w:t>
      </w:r>
      <w:r>
        <w:rPr>
          <w:rFonts w:ascii="Garamond" w:hAnsi="Garamond" w:cs="Garamond"/>
          <w:sz w:val="24"/>
          <w:szCs w:val="24"/>
        </w:rPr>
        <w:t xml:space="preserve"> </w:t>
      </w:r>
      <w:r w:rsidR="00B14B66">
        <w:rPr>
          <w:rFonts w:ascii="Garamond" w:hAnsi="Garamond" w:cs="Garamond"/>
          <w:sz w:val="24"/>
          <w:szCs w:val="24"/>
        </w:rPr>
        <w:t xml:space="preserve">and </w:t>
      </w:r>
      <w:r w:rsidR="006C1D9B">
        <w:rPr>
          <w:rFonts w:ascii="Garamond" w:hAnsi="Garamond" w:cs="Garamond"/>
          <w:sz w:val="24"/>
          <w:szCs w:val="24"/>
        </w:rPr>
        <w:t xml:space="preserve">undertaking </w:t>
      </w:r>
      <w:r w:rsidR="005A0A48">
        <w:rPr>
          <w:rFonts w:ascii="Garamond" w:hAnsi="Garamond" w:cs="Garamond"/>
          <w:sz w:val="24"/>
          <w:szCs w:val="24"/>
        </w:rPr>
        <w:t>annual joint GoG-DP assessments of progress</w:t>
      </w:r>
      <w:r w:rsidR="006C1D9B">
        <w:rPr>
          <w:rFonts w:ascii="Garamond" w:hAnsi="Garamond" w:cs="Garamond"/>
          <w:sz w:val="24"/>
          <w:szCs w:val="24"/>
        </w:rPr>
        <w:t xml:space="preserve"> to determine </w:t>
      </w:r>
      <w:r w:rsidR="006C1D9B" w:rsidRPr="00F67C1C">
        <w:rPr>
          <w:rFonts w:ascii="Garamond" w:hAnsi="Garamond" w:cs="Garamond"/>
          <w:sz w:val="24"/>
          <w:szCs w:val="24"/>
        </w:rPr>
        <w:t xml:space="preserve">annual transfers </w:t>
      </w:r>
      <w:r w:rsidR="006C1D9B">
        <w:rPr>
          <w:rFonts w:ascii="Garamond" w:hAnsi="Garamond" w:cs="Garamond"/>
          <w:sz w:val="24"/>
          <w:szCs w:val="24"/>
        </w:rPr>
        <w:t>t</w:t>
      </w:r>
      <w:r w:rsidR="006C1D9B" w:rsidRPr="00F67C1C">
        <w:rPr>
          <w:rFonts w:ascii="Garamond" w:hAnsi="Garamond" w:cs="Garamond"/>
          <w:sz w:val="24"/>
          <w:szCs w:val="24"/>
        </w:rPr>
        <w:t>o the government treasury</w:t>
      </w:r>
      <w:r w:rsidR="006C1D9B">
        <w:rPr>
          <w:rFonts w:ascii="Garamond" w:hAnsi="Garamond" w:cs="Garamond"/>
          <w:sz w:val="24"/>
          <w:szCs w:val="24"/>
        </w:rPr>
        <w:t xml:space="preserve">. </w:t>
      </w:r>
      <w:r w:rsidR="00E663B9" w:rsidRPr="00F079B7">
        <w:rPr>
          <w:rFonts w:ascii="Garamond" w:hAnsi="Garamond" w:cs="Garamond"/>
          <w:sz w:val="24"/>
          <w:szCs w:val="24"/>
        </w:rPr>
        <w:t>Denmark’s focus on domestic accountability in the MDBS programme was to increase the effectiveness of development assistance and transparency in the use of both domestic and external resources</w:t>
      </w:r>
      <w:r w:rsidR="00E663B9">
        <w:rPr>
          <w:rFonts w:ascii="Garamond" w:hAnsi="Garamond" w:cs="Garamond"/>
          <w:sz w:val="24"/>
          <w:szCs w:val="24"/>
        </w:rPr>
        <w:t xml:space="preserve">. </w:t>
      </w:r>
      <w:r w:rsidR="00E663B9" w:rsidRPr="00632990">
        <w:rPr>
          <w:rFonts w:ascii="Garamond" w:hAnsi="Garamond"/>
          <w:bCs/>
          <w:sz w:val="24"/>
          <w:szCs w:val="24"/>
        </w:rPr>
        <w:t>Together with other DPs</w:t>
      </w:r>
      <w:r w:rsidR="00267EF2">
        <w:rPr>
          <w:rFonts w:ascii="Garamond" w:hAnsi="Garamond"/>
          <w:bCs/>
          <w:sz w:val="24"/>
          <w:szCs w:val="24"/>
        </w:rPr>
        <w:t xml:space="preserve"> (</w:t>
      </w:r>
      <w:proofErr w:type="spellStart"/>
      <w:r w:rsidR="00267EF2">
        <w:rPr>
          <w:rFonts w:ascii="Garamond" w:hAnsi="Garamond"/>
          <w:bCs/>
          <w:sz w:val="24"/>
          <w:szCs w:val="24"/>
        </w:rPr>
        <w:t>DfID</w:t>
      </w:r>
      <w:proofErr w:type="spellEnd"/>
      <w:r w:rsidR="00267EF2">
        <w:rPr>
          <w:rFonts w:ascii="Garamond" w:hAnsi="Garamond"/>
          <w:bCs/>
          <w:sz w:val="24"/>
          <w:szCs w:val="24"/>
        </w:rPr>
        <w:t>, EU</w:t>
      </w:r>
      <w:r w:rsidR="00364183">
        <w:rPr>
          <w:rFonts w:ascii="Garamond" w:hAnsi="Garamond"/>
          <w:bCs/>
          <w:sz w:val="24"/>
          <w:szCs w:val="24"/>
        </w:rPr>
        <w:t>, and the World Bank)</w:t>
      </w:r>
      <w:r w:rsidR="00E663B9" w:rsidRPr="00632990">
        <w:rPr>
          <w:rFonts w:ascii="Garamond" w:hAnsi="Garamond"/>
          <w:bCs/>
          <w:sz w:val="24"/>
          <w:szCs w:val="24"/>
        </w:rPr>
        <w:t xml:space="preserve">, Danida supported the Ghana Integrated </w:t>
      </w:r>
      <w:r w:rsidR="00267EF2">
        <w:rPr>
          <w:rFonts w:ascii="Garamond" w:hAnsi="Garamond"/>
          <w:bCs/>
          <w:sz w:val="24"/>
          <w:szCs w:val="24"/>
        </w:rPr>
        <w:t>Financial</w:t>
      </w:r>
      <w:r w:rsidR="00267EF2" w:rsidRPr="00632990">
        <w:rPr>
          <w:rFonts w:ascii="Garamond" w:hAnsi="Garamond"/>
          <w:bCs/>
          <w:sz w:val="24"/>
          <w:szCs w:val="24"/>
        </w:rPr>
        <w:t xml:space="preserve"> </w:t>
      </w:r>
      <w:r w:rsidR="00E663B9" w:rsidRPr="00632990">
        <w:rPr>
          <w:rFonts w:ascii="Garamond" w:hAnsi="Garamond"/>
          <w:bCs/>
          <w:sz w:val="24"/>
          <w:szCs w:val="24"/>
        </w:rPr>
        <w:t>Management Information System (GIFMIS) project during the period 2010 – 2014</w:t>
      </w:r>
      <w:r w:rsidR="00364183">
        <w:rPr>
          <w:rFonts w:ascii="Garamond" w:hAnsi="Garamond"/>
          <w:bCs/>
          <w:sz w:val="24"/>
          <w:szCs w:val="24"/>
        </w:rPr>
        <w:t xml:space="preserve">. The </w:t>
      </w:r>
      <w:r w:rsidR="00526A3C">
        <w:rPr>
          <w:rFonts w:ascii="Garamond" w:hAnsi="Garamond"/>
          <w:bCs/>
          <w:sz w:val="24"/>
          <w:szCs w:val="24"/>
        </w:rPr>
        <w:t>p</w:t>
      </w:r>
      <w:r w:rsidR="00E76931">
        <w:rPr>
          <w:rFonts w:ascii="Garamond" w:hAnsi="Garamond"/>
          <w:bCs/>
          <w:sz w:val="24"/>
          <w:szCs w:val="24"/>
        </w:rPr>
        <w:t>rogram</w:t>
      </w:r>
      <w:r w:rsidR="000A2E68">
        <w:rPr>
          <w:rFonts w:ascii="Garamond" w:hAnsi="Garamond"/>
          <w:bCs/>
          <w:sz w:val="24"/>
          <w:szCs w:val="24"/>
        </w:rPr>
        <w:t>me</w:t>
      </w:r>
      <w:r w:rsidR="00E76931">
        <w:rPr>
          <w:rFonts w:ascii="Garamond" w:hAnsi="Garamond"/>
          <w:bCs/>
          <w:sz w:val="24"/>
          <w:szCs w:val="24"/>
        </w:rPr>
        <w:t xml:space="preserve"> had</w:t>
      </w:r>
      <w:r w:rsidR="00364183">
        <w:rPr>
          <w:rFonts w:ascii="Garamond" w:hAnsi="Garamond"/>
          <w:bCs/>
          <w:sz w:val="24"/>
          <w:szCs w:val="24"/>
        </w:rPr>
        <w:t xml:space="preserve"> the</w:t>
      </w:r>
      <w:r w:rsidR="00E663B9" w:rsidRPr="00632990">
        <w:rPr>
          <w:rFonts w:ascii="Garamond" w:hAnsi="Garamond"/>
          <w:bCs/>
          <w:sz w:val="24"/>
          <w:szCs w:val="24"/>
        </w:rPr>
        <w:t xml:space="preserve"> o</w:t>
      </w:r>
      <w:r w:rsidR="00E663B9" w:rsidRPr="00632990">
        <w:rPr>
          <w:rFonts w:ascii="Garamond" w:hAnsi="Garamond"/>
          <w:sz w:val="24"/>
          <w:szCs w:val="24"/>
        </w:rPr>
        <w:t>bjective of renovating core budgeting, accounting and financial reporting systems.</w:t>
      </w:r>
      <w:r w:rsidR="00E663B9">
        <w:rPr>
          <w:rFonts w:ascii="Garamond" w:hAnsi="Garamond"/>
          <w:sz w:val="24"/>
          <w:szCs w:val="24"/>
        </w:rPr>
        <w:t xml:space="preserve"> </w:t>
      </w:r>
    </w:p>
    <w:p w:rsidR="00364183" w:rsidRDefault="00364183" w:rsidP="00F67C1C">
      <w:pPr>
        <w:spacing w:after="0" w:line="240" w:lineRule="auto"/>
        <w:jc w:val="both"/>
        <w:rPr>
          <w:rFonts w:ascii="Garamond" w:hAnsi="Garamond"/>
          <w:sz w:val="24"/>
          <w:szCs w:val="24"/>
        </w:rPr>
      </w:pPr>
    </w:p>
    <w:p w:rsidR="00F67C1C" w:rsidRDefault="006C1D9B" w:rsidP="00F67C1C">
      <w:pPr>
        <w:spacing w:after="0" w:line="240" w:lineRule="auto"/>
        <w:jc w:val="both"/>
        <w:rPr>
          <w:rFonts w:ascii="Garamond" w:hAnsi="Garamond" w:cs="Garamond"/>
          <w:sz w:val="24"/>
          <w:szCs w:val="24"/>
        </w:rPr>
      </w:pPr>
      <w:r>
        <w:rPr>
          <w:rFonts w:ascii="Garamond" w:hAnsi="Garamond" w:cs="Garamond"/>
          <w:sz w:val="24"/>
          <w:szCs w:val="24"/>
        </w:rPr>
        <w:lastRenderedPageBreak/>
        <w:t xml:space="preserve">In 2014, </w:t>
      </w:r>
      <w:r w:rsidRPr="00F67C1C">
        <w:rPr>
          <w:rFonts w:ascii="Garamond" w:hAnsi="Garamond" w:cs="Garamond"/>
          <w:sz w:val="24"/>
          <w:szCs w:val="24"/>
        </w:rPr>
        <w:t>the worsening macro</w:t>
      </w:r>
      <w:r w:rsidR="00EA124C">
        <w:rPr>
          <w:rFonts w:ascii="Garamond" w:hAnsi="Garamond" w:cs="Garamond"/>
          <w:sz w:val="24"/>
          <w:szCs w:val="24"/>
        </w:rPr>
        <w:t>-</w:t>
      </w:r>
      <w:r w:rsidRPr="00F67C1C">
        <w:rPr>
          <w:rFonts w:ascii="Garamond" w:hAnsi="Garamond" w:cs="Garamond"/>
          <w:sz w:val="24"/>
          <w:szCs w:val="24"/>
        </w:rPr>
        <w:t xml:space="preserve">economic situation </w:t>
      </w:r>
      <w:r>
        <w:rPr>
          <w:rFonts w:ascii="Garamond" w:hAnsi="Garamond" w:cs="Garamond"/>
          <w:sz w:val="24"/>
          <w:szCs w:val="24"/>
        </w:rPr>
        <w:t xml:space="preserve">coupled with </w:t>
      </w:r>
      <w:r w:rsidRPr="00F67C1C">
        <w:rPr>
          <w:rFonts w:ascii="Garamond" w:hAnsi="Garamond" w:cs="Garamond"/>
          <w:sz w:val="24"/>
          <w:szCs w:val="24"/>
        </w:rPr>
        <w:t xml:space="preserve">weaknesses in public financial management </w:t>
      </w:r>
      <w:r>
        <w:rPr>
          <w:rFonts w:ascii="Garamond" w:hAnsi="Garamond" w:cs="Garamond"/>
          <w:sz w:val="24"/>
          <w:szCs w:val="24"/>
        </w:rPr>
        <w:t xml:space="preserve">resulted in </w:t>
      </w:r>
      <w:r w:rsidRPr="00F67C1C">
        <w:rPr>
          <w:rFonts w:ascii="Garamond" w:hAnsi="Garamond" w:cs="Garamond"/>
          <w:sz w:val="24"/>
          <w:szCs w:val="24"/>
        </w:rPr>
        <w:t>several DPs decid</w:t>
      </w:r>
      <w:r>
        <w:rPr>
          <w:rFonts w:ascii="Garamond" w:hAnsi="Garamond" w:cs="Garamond"/>
          <w:sz w:val="24"/>
          <w:szCs w:val="24"/>
        </w:rPr>
        <w:t xml:space="preserve">ing to </w:t>
      </w:r>
      <w:r w:rsidRPr="00F67C1C">
        <w:rPr>
          <w:rFonts w:ascii="Garamond" w:hAnsi="Garamond" w:cs="Garamond"/>
          <w:sz w:val="24"/>
          <w:szCs w:val="24"/>
        </w:rPr>
        <w:t xml:space="preserve">suspend </w:t>
      </w:r>
      <w:r>
        <w:rPr>
          <w:rFonts w:ascii="Garamond" w:hAnsi="Garamond" w:cs="Garamond"/>
          <w:sz w:val="24"/>
          <w:szCs w:val="24"/>
        </w:rPr>
        <w:t xml:space="preserve">their </w:t>
      </w:r>
      <w:r w:rsidRPr="00F67C1C">
        <w:rPr>
          <w:rFonts w:ascii="Garamond" w:hAnsi="Garamond" w:cs="Garamond"/>
          <w:sz w:val="24"/>
          <w:szCs w:val="24"/>
        </w:rPr>
        <w:t>budget support</w:t>
      </w:r>
      <w:r w:rsidR="00E663B9">
        <w:rPr>
          <w:rFonts w:ascii="Garamond" w:hAnsi="Garamond" w:cs="Garamond"/>
          <w:sz w:val="24"/>
          <w:szCs w:val="24"/>
        </w:rPr>
        <w:t xml:space="preserve">, which </w:t>
      </w:r>
      <w:r>
        <w:rPr>
          <w:rFonts w:ascii="Garamond" w:hAnsi="Garamond" w:cs="Garamond"/>
          <w:sz w:val="24"/>
          <w:szCs w:val="24"/>
        </w:rPr>
        <w:t xml:space="preserve">eventually led to the breakdown of the </w:t>
      </w:r>
      <w:r w:rsidR="00F67C1C" w:rsidRPr="00F67C1C">
        <w:rPr>
          <w:rFonts w:ascii="Garamond" w:hAnsi="Garamond" w:cs="Garamond"/>
          <w:sz w:val="24"/>
          <w:szCs w:val="24"/>
        </w:rPr>
        <w:t>MDBS partnership</w:t>
      </w:r>
      <w:r>
        <w:rPr>
          <w:rFonts w:ascii="Garamond" w:hAnsi="Garamond" w:cs="Garamond"/>
          <w:sz w:val="24"/>
          <w:szCs w:val="24"/>
        </w:rPr>
        <w:t xml:space="preserve">. DPs </w:t>
      </w:r>
      <w:r w:rsidR="00F67C1C" w:rsidRPr="00F67C1C">
        <w:rPr>
          <w:rFonts w:ascii="Garamond" w:hAnsi="Garamond" w:cs="Garamond"/>
          <w:sz w:val="24"/>
          <w:szCs w:val="24"/>
        </w:rPr>
        <w:t xml:space="preserve">released their final tranches under the MDBS programme in </w:t>
      </w:r>
      <w:r w:rsidR="00EA124C">
        <w:rPr>
          <w:rFonts w:ascii="Garamond" w:hAnsi="Garamond" w:cs="Garamond"/>
          <w:sz w:val="24"/>
          <w:szCs w:val="24"/>
        </w:rPr>
        <w:t xml:space="preserve">April </w:t>
      </w:r>
      <w:r w:rsidR="00F67C1C" w:rsidRPr="00F67C1C">
        <w:rPr>
          <w:rFonts w:ascii="Garamond" w:hAnsi="Garamond" w:cs="Garamond"/>
          <w:sz w:val="24"/>
          <w:szCs w:val="24"/>
        </w:rPr>
        <w:t xml:space="preserve">2015 after </w:t>
      </w:r>
      <w:proofErr w:type="spellStart"/>
      <w:r w:rsidR="00F67C1C" w:rsidRPr="00F67C1C">
        <w:rPr>
          <w:rFonts w:ascii="Garamond" w:hAnsi="Garamond" w:cs="Garamond"/>
          <w:sz w:val="24"/>
          <w:szCs w:val="24"/>
        </w:rPr>
        <w:t>GoG</w:t>
      </w:r>
      <w:proofErr w:type="spellEnd"/>
      <w:r>
        <w:rPr>
          <w:rFonts w:ascii="Garamond" w:hAnsi="Garamond" w:cs="Garamond"/>
          <w:sz w:val="24"/>
          <w:szCs w:val="24"/>
        </w:rPr>
        <w:t xml:space="preserve"> </w:t>
      </w:r>
      <w:r w:rsidR="00F67C1C" w:rsidRPr="00F67C1C">
        <w:rPr>
          <w:rFonts w:ascii="Garamond" w:hAnsi="Garamond" w:cs="Garamond"/>
          <w:sz w:val="24"/>
          <w:szCs w:val="24"/>
        </w:rPr>
        <w:t xml:space="preserve">signed on to a </w:t>
      </w:r>
      <w:proofErr w:type="gramStart"/>
      <w:r w:rsidR="00F67C1C" w:rsidRPr="00F67C1C">
        <w:rPr>
          <w:rFonts w:ascii="Garamond" w:hAnsi="Garamond" w:cs="Garamond"/>
          <w:sz w:val="24"/>
          <w:szCs w:val="24"/>
        </w:rPr>
        <w:t>three-year</w:t>
      </w:r>
      <w:r w:rsidR="00EA124C">
        <w:rPr>
          <w:rFonts w:ascii="Garamond" w:hAnsi="Garamond" w:cs="Garamond"/>
          <w:sz w:val="24"/>
          <w:szCs w:val="24"/>
        </w:rPr>
        <w:t>s</w:t>
      </w:r>
      <w:proofErr w:type="gramEnd"/>
      <w:r w:rsidR="00F67C1C" w:rsidRPr="00F67C1C">
        <w:rPr>
          <w:rFonts w:ascii="Garamond" w:hAnsi="Garamond" w:cs="Garamond"/>
          <w:sz w:val="24"/>
          <w:szCs w:val="24"/>
        </w:rPr>
        <w:t xml:space="preserve"> economic reform programme</w:t>
      </w:r>
      <w:r>
        <w:rPr>
          <w:rFonts w:ascii="Garamond" w:hAnsi="Garamond" w:cs="Garamond"/>
          <w:sz w:val="24"/>
          <w:szCs w:val="24"/>
        </w:rPr>
        <w:t xml:space="preserve"> – </w:t>
      </w:r>
      <w:r w:rsidR="00F67C1C" w:rsidRPr="00F67C1C">
        <w:rPr>
          <w:rFonts w:ascii="Garamond" w:hAnsi="Garamond" w:cs="Garamond"/>
          <w:sz w:val="24"/>
          <w:szCs w:val="24"/>
        </w:rPr>
        <w:t xml:space="preserve">an </w:t>
      </w:r>
      <w:r>
        <w:rPr>
          <w:rFonts w:ascii="Garamond" w:hAnsi="Garamond" w:cs="Garamond"/>
          <w:sz w:val="24"/>
          <w:szCs w:val="24"/>
        </w:rPr>
        <w:t>e</w:t>
      </w:r>
      <w:r w:rsidR="00F67C1C" w:rsidRPr="00F67C1C">
        <w:rPr>
          <w:rFonts w:ascii="Garamond" w:hAnsi="Garamond" w:cs="Garamond"/>
          <w:sz w:val="24"/>
          <w:szCs w:val="24"/>
        </w:rPr>
        <w:t xml:space="preserve">xtended </w:t>
      </w:r>
      <w:r>
        <w:rPr>
          <w:rFonts w:ascii="Garamond" w:hAnsi="Garamond" w:cs="Garamond"/>
          <w:sz w:val="24"/>
          <w:szCs w:val="24"/>
        </w:rPr>
        <w:t>c</w:t>
      </w:r>
      <w:r w:rsidR="00F67C1C" w:rsidRPr="00F67C1C">
        <w:rPr>
          <w:rFonts w:ascii="Garamond" w:hAnsi="Garamond" w:cs="Garamond"/>
          <w:sz w:val="24"/>
          <w:szCs w:val="24"/>
        </w:rPr>
        <w:t xml:space="preserve">redit </w:t>
      </w:r>
      <w:r>
        <w:rPr>
          <w:rFonts w:ascii="Garamond" w:hAnsi="Garamond" w:cs="Garamond"/>
          <w:sz w:val="24"/>
          <w:szCs w:val="24"/>
        </w:rPr>
        <w:t>f</w:t>
      </w:r>
      <w:r w:rsidR="00F67C1C" w:rsidRPr="00F67C1C">
        <w:rPr>
          <w:rFonts w:ascii="Garamond" w:hAnsi="Garamond" w:cs="Garamond"/>
          <w:sz w:val="24"/>
          <w:szCs w:val="24"/>
        </w:rPr>
        <w:t>acility</w:t>
      </w:r>
      <w:r>
        <w:rPr>
          <w:rFonts w:ascii="Garamond" w:hAnsi="Garamond" w:cs="Garamond"/>
          <w:sz w:val="24"/>
          <w:szCs w:val="24"/>
        </w:rPr>
        <w:t xml:space="preserve"> – </w:t>
      </w:r>
      <w:r w:rsidR="00F67C1C" w:rsidRPr="00F67C1C">
        <w:rPr>
          <w:rFonts w:ascii="Garamond" w:hAnsi="Garamond" w:cs="Garamond"/>
          <w:sz w:val="24"/>
          <w:szCs w:val="24"/>
        </w:rPr>
        <w:t>with the IMF.</w:t>
      </w:r>
      <w:r w:rsidR="00F079B7">
        <w:rPr>
          <w:rFonts w:ascii="Garamond" w:hAnsi="Garamond" w:cs="Garamond"/>
          <w:sz w:val="24"/>
          <w:szCs w:val="24"/>
        </w:rPr>
        <w:t xml:space="preserve"> </w:t>
      </w:r>
    </w:p>
    <w:p w:rsidR="00E663B9" w:rsidRPr="00632990" w:rsidRDefault="00E663B9" w:rsidP="00F67C1C">
      <w:pPr>
        <w:spacing w:after="0" w:line="240" w:lineRule="auto"/>
        <w:jc w:val="both"/>
        <w:rPr>
          <w:rFonts w:ascii="Garamond" w:hAnsi="Garamond" w:cs="Garamond"/>
          <w:sz w:val="24"/>
          <w:szCs w:val="24"/>
        </w:rPr>
      </w:pPr>
    </w:p>
    <w:p w:rsidR="00925A6B" w:rsidRPr="00925A6B" w:rsidRDefault="00925A6B" w:rsidP="00B71EBC">
      <w:pPr>
        <w:spacing w:after="0" w:line="240" w:lineRule="auto"/>
        <w:jc w:val="both"/>
        <w:rPr>
          <w:rFonts w:ascii="Garamond" w:hAnsi="Garamond"/>
          <w:b/>
          <w:sz w:val="24"/>
          <w:szCs w:val="24"/>
        </w:rPr>
      </w:pPr>
      <w:r w:rsidRPr="0001117B">
        <w:rPr>
          <w:rFonts w:ascii="Garamond" w:hAnsi="Garamond"/>
          <w:b/>
          <w:sz w:val="24"/>
          <w:szCs w:val="24"/>
        </w:rPr>
        <w:t>Results</w:t>
      </w:r>
      <w:r w:rsidR="00E76931">
        <w:rPr>
          <w:rFonts w:ascii="Garamond" w:hAnsi="Garamond"/>
          <w:b/>
          <w:sz w:val="24"/>
          <w:szCs w:val="24"/>
        </w:rPr>
        <w:t xml:space="preserve"> and K</w:t>
      </w:r>
      <w:r w:rsidRPr="0001117B">
        <w:rPr>
          <w:rFonts w:ascii="Garamond" w:hAnsi="Garamond"/>
          <w:b/>
          <w:sz w:val="24"/>
          <w:szCs w:val="24"/>
        </w:rPr>
        <w:t>ey Achievements</w:t>
      </w:r>
    </w:p>
    <w:p w:rsidR="00F67C1C" w:rsidRDefault="00F67C1C" w:rsidP="000906DA">
      <w:pPr>
        <w:spacing w:after="0" w:line="240" w:lineRule="auto"/>
        <w:jc w:val="both"/>
        <w:rPr>
          <w:rFonts w:ascii="Garamond" w:hAnsi="Garamond"/>
          <w:sz w:val="24"/>
          <w:szCs w:val="24"/>
        </w:rPr>
      </w:pPr>
      <w:r w:rsidRPr="000906DA">
        <w:rPr>
          <w:rFonts w:ascii="Garamond" w:hAnsi="Garamond" w:cs="Garamond"/>
          <w:sz w:val="24"/>
          <w:szCs w:val="24"/>
        </w:rPr>
        <w:t xml:space="preserve">The MDBS had a number of achievements, mainly within the policy arena. According to the Joint Evaluation of Budget Support </w:t>
      </w:r>
      <w:r w:rsidR="00203256">
        <w:rPr>
          <w:rFonts w:ascii="Garamond" w:hAnsi="Garamond" w:cs="Garamond"/>
          <w:sz w:val="24"/>
          <w:szCs w:val="24"/>
        </w:rPr>
        <w:t>(</w:t>
      </w:r>
      <w:r w:rsidRPr="000906DA">
        <w:rPr>
          <w:rFonts w:ascii="Garamond" w:hAnsi="Garamond" w:cs="Garamond"/>
          <w:sz w:val="24"/>
          <w:szCs w:val="24"/>
        </w:rPr>
        <w:t>2005-2015</w:t>
      </w:r>
      <w:r w:rsidR="00203256">
        <w:rPr>
          <w:rFonts w:ascii="Garamond" w:hAnsi="Garamond" w:cs="Garamond"/>
          <w:sz w:val="24"/>
          <w:szCs w:val="24"/>
        </w:rPr>
        <w:t>)</w:t>
      </w:r>
      <w:r w:rsidRPr="000906DA">
        <w:rPr>
          <w:rFonts w:ascii="Garamond" w:hAnsi="Garamond" w:cs="Garamond"/>
          <w:sz w:val="24"/>
          <w:szCs w:val="24"/>
        </w:rPr>
        <w:t xml:space="preserve">, undertaken by the OECD and the World Bank, “the contribution of MDBS towards the harmonisation and alignment of the aid process has been the most significant benefit as it has allowed for development partners to have a more balanced and increased policy dialogue with the government. </w:t>
      </w:r>
      <w:r w:rsidRPr="000906DA">
        <w:rPr>
          <w:rFonts w:ascii="Garamond" w:hAnsi="Garamond"/>
          <w:sz w:val="24"/>
          <w:szCs w:val="24"/>
        </w:rPr>
        <w:t xml:space="preserve">The budget support dialogue provided an arena for dialogue concerning the country’s political and economic priorities, its sector policy, results in poverty reduction and reforms within the public sector”. </w:t>
      </w:r>
      <w:r w:rsidR="00514C04">
        <w:rPr>
          <w:rFonts w:ascii="Garamond" w:hAnsi="Garamond"/>
          <w:sz w:val="24"/>
          <w:szCs w:val="24"/>
        </w:rPr>
        <w:t>The Evaluation further noted that</w:t>
      </w:r>
      <w:r w:rsidRPr="000906DA">
        <w:rPr>
          <w:rFonts w:ascii="Garamond" w:hAnsi="Garamond"/>
          <w:sz w:val="24"/>
          <w:szCs w:val="24"/>
        </w:rPr>
        <w:t xml:space="preserve">, “the MDBS framework played a key role in enhancing sector dialogue, strengthening the national aid architecture, and consolidating the link between the Ministry of Finance and sector stakeholders. Policy monitoring, which was an integral part of the budget support dialogue and accompanying support, also helped partners (GoG and </w:t>
      </w:r>
      <w:r w:rsidR="00E36BE6">
        <w:rPr>
          <w:rFonts w:ascii="Garamond" w:hAnsi="Garamond"/>
          <w:sz w:val="24"/>
          <w:szCs w:val="24"/>
        </w:rPr>
        <w:t>DPs</w:t>
      </w:r>
      <w:r w:rsidRPr="000906DA">
        <w:rPr>
          <w:rFonts w:ascii="Garamond" w:hAnsi="Garamond"/>
          <w:sz w:val="24"/>
          <w:szCs w:val="24"/>
        </w:rPr>
        <w:t>) to maintain some attention on priority spending actions”.</w:t>
      </w:r>
      <w:r w:rsidR="007B71F0">
        <w:rPr>
          <w:rFonts w:ascii="Garamond" w:hAnsi="Garamond"/>
          <w:sz w:val="24"/>
          <w:szCs w:val="24"/>
        </w:rPr>
        <w:t xml:space="preserve"> </w:t>
      </w:r>
      <w:r w:rsidR="007B71F0" w:rsidRPr="007B71F0">
        <w:rPr>
          <w:rFonts w:ascii="Garamond" w:hAnsi="Garamond" w:cs="Garamond"/>
          <w:sz w:val="24"/>
          <w:szCs w:val="24"/>
        </w:rPr>
        <w:t>In addition, policy dialogue, substantial technical support and extensive analytical work which accompanied the budget support fostered intra-sector collaboration, consolidated capacity development efforts of key public entities and generated a wealth of knowledge which contributed to enhancing policy formulation.</w:t>
      </w:r>
      <w:r w:rsidR="007B71F0">
        <w:rPr>
          <w:rFonts w:ascii="Garamond" w:hAnsi="Garamond" w:cs="Garamond"/>
          <w:sz w:val="24"/>
          <w:szCs w:val="24"/>
        </w:rPr>
        <w:t xml:space="preserve"> </w:t>
      </w:r>
      <w:r w:rsidRPr="000906DA">
        <w:rPr>
          <w:rFonts w:ascii="Garamond" w:hAnsi="Garamond"/>
          <w:sz w:val="24"/>
          <w:szCs w:val="24"/>
        </w:rPr>
        <w:t>Budget support also played a moderate role in poverty reduction, improved access to basic services and also helped maintain a focus on poverty reducing interventions.</w:t>
      </w:r>
      <w:r w:rsidR="00820F23">
        <w:rPr>
          <w:rFonts w:ascii="Garamond" w:hAnsi="Garamond"/>
          <w:sz w:val="24"/>
          <w:szCs w:val="24"/>
        </w:rPr>
        <w:t xml:space="preserve"> It is </w:t>
      </w:r>
      <w:r w:rsidR="007B71F0">
        <w:rPr>
          <w:rFonts w:ascii="Garamond" w:hAnsi="Garamond"/>
          <w:sz w:val="24"/>
          <w:szCs w:val="24"/>
        </w:rPr>
        <w:t xml:space="preserve">also </w:t>
      </w:r>
      <w:r w:rsidR="00820F23">
        <w:rPr>
          <w:rFonts w:ascii="Garamond" w:hAnsi="Garamond"/>
          <w:sz w:val="24"/>
          <w:szCs w:val="24"/>
        </w:rPr>
        <w:t xml:space="preserve">worth noting that </w:t>
      </w:r>
      <w:r w:rsidRPr="00820F23">
        <w:rPr>
          <w:rFonts w:ascii="Garamond" w:hAnsi="Garamond"/>
          <w:sz w:val="24"/>
          <w:szCs w:val="24"/>
        </w:rPr>
        <w:t>Danish funding together with other DPs through the M</w:t>
      </w:r>
      <w:r w:rsidR="007B71F0">
        <w:rPr>
          <w:rFonts w:ascii="Garamond" w:hAnsi="Garamond"/>
          <w:sz w:val="24"/>
          <w:szCs w:val="24"/>
        </w:rPr>
        <w:t>DBS</w:t>
      </w:r>
      <w:r w:rsidRPr="00820F23">
        <w:rPr>
          <w:rFonts w:ascii="Garamond" w:hAnsi="Garamond"/>
          <w:sz w:val="24"/>
          <w:szCs w:val="24"/>
        </w:rPr>
        <w:t xml:space="preserve"> </w:t>
      </w:r>
      <w:r w:rsidR="007B71F0">
        <w:rPr>
          <w:rFonts w:ascii="Garamond" w:hAnsi="Garamond"/>
          <w:sz w:val="24"/>
          <w:szCs w:val="24"/>
        </w:rPr>
        <w:t xml:space="preserve">facilitated civil society’s engagement in </w:t>
      </w:r>
      <w:r w:rsidRPr="00820F23">
        <w:rPr>
          <w:rFonts w:ascii="Garamond" w:hAnsi="Garamond"/>
          <w:sz w:val="24"/>
          <w:szCs w:val="24"/>
        </w:rPr>
        <w:t>policy dialogue and MDBS performance reviews.</w:t>
      </w:r>
      <w:r w:rsidR="00632990">
        <w:rPr>
          <w:rFonts w:ascii="Garamond" w:hAnsi="Garamond"/>
          <w:sz w:val="24"/>
          <w:szCs w:val="24"/>
        </w:rPr>
        <w:t xml:space="preserve"> </w:t>
      </w:r>
      <w:r w:rsidR="00632990" w:rsidRPr="008D1BDE">
        <w:rPr>
          <w:rFonts w:ascii="Garamond" w:hAnsi="Garamond"/>
          <w:bCs/>
          <w:sz w:val="24"/>
          <w:szCs w:val="24"/>
        </w:rPr>
        <w:t xml:space="preserve">Through the GIFMIS project, GoG made significant strides in respect of financial accounting and reporting and commenced the process of integrating and/or interfacing all significant </w:t>
      </w:r>
      <w:r w:rsidR="00632990">
        <w:rPr>
          <w:rFonts w:ascii="Garamond" w:hAnsi="Garamond"/>
          <w:bCs/>
          <w:sz w:val="24"/>
          <w:szCs w:val="24"/>
        </w:rPr>
        <w:t xml:space="preserve">public financial management </w:t>
      </w:r>
      <w:r w:rsidR="00632990" w:rsidRPr="008D1BDE">
        <w:rPr>
          <w:rFonts w:ascii="Garamond" w:hAnsi="Garamond"/>
          <w:bCs/>
          <w:sz w:val="24"/>
          <w:szCs w:val="24"/>
        </w:rPr>
        <w:t xml:space="preserve">systems on </w:t>
      </w:r>
      <w:r w:rsidR="00632990">
        <w:rPr>
          <w:rFonts w:ascii="Garamond" w:hAnsi="Garamond"/>
          <w:bCs/>
          <w:sz w:val="24"/>
          <w:szCs w:val="24"/>
        </w:rPr>
        <w:t xml:space="preserve">its </w:t>
      </w:r>
      <w:r w:rsidR="00632990" w:rsidRPr="008D1BDE">
        <w:rPr>
          <w:rFonts w:ascii="Garamond" w:hAnsi="Garamond"/>
          <w:bCs/>
          <w:sz w:val="24"/>
          <w:szCs w:val="24"/>
        </w:rPr>
        <w:t>platform.</w:t>
      </w:r>
      <w:r w:rsidR="00632990">
        <w:rPr>
          <w:rFonts w:ascii="Garamond" w:hAnsi="Garamond"/>
          <w:bCs/>
          <w:sz w:val="24"/>
          <w:szCs w:val="24"/>
        </w:rPr>
        <w:t xml:space="preserve"> </w:t>
      </w:r>
    </w:p>
    <w:p w:rsidR="00076F84" w:rsidRDefault="00076F84">
      <w:pPr>
        <w:spacing w:after="0" w:line="240" w:lineRule="auto"/>
        <w:jc w:val="both"/>
        <w:rPr>
          <w:rFonts w:ascii="Garamond" w:hAnsi="Garamond" w:cs="Garamond"/>
          <w:sz w:val="24"/>
          <w:szCs w:val="24"/>
        </w:rPr>
      </w:pPr>
    </w:p>
    <w:p w:rsidR="00E76931" w:rsidRPr="00925A6B" w:rsidRDefault="00E76931" w:rsidP="00E76931">
      <w:pPr>
        <w:spacing w:after="0" w:line="240" w:lineRule="auto"/>
        <w:jc w:val="both"/>
        <w:rPr>
          <w:rFonts w:ascii="Garamond" w:hAnsi="Garamond"/>
          <w:b/>
          <w:sz w:val="24"/>
          <w:szCs w:val="24"/>
        </w:rPr>
      </w:pPr>
      <w:r>
        <w:rPr>
          <w:rFonts w:ascii="Garamond" w:hAnsi="Garamond"/>
          <w:b/>
          <w:sz w:val="24"/>
          <w:szCs w:val="24"/>
        </w:rPr>
        <w:t>Lessons Learned</w:t>
      </w:r>
    </w:p>
    <w:p w:rsidR="00812686" w:rsidRDefault="00514C04" w:rsidP="002317AD">
      <w:pPr>
        <w:spacing w:after="0" w:line="240" w:lineRule="auto"/>
        <w:jc w:val="both"/>
        <w:rPr>
          <w:rFonts w:ascii="Garamond" w:hAnsi="Garamond"/>
          <w:bCs/>
          <w:sz w:val="24"/>
          <w:szCs w:val="24"/>
        </w:rPr>
      </w:pPr>
      <w:r w:rsidRPr="007B71F0">
        <w:rPr>
          <w:rFonts w:ascii="Garamond" w:hAnsi="Garamond" w:cs="Garamond"/>
          <w:sz w:val="24"/>
          <w:szCs w:val="24"/>
        </w:rPr>
        <w:t>T</w:t>
      </w:r>
      <w:r w:rsidRPr="000906DA">
        <w:rPr>
          <w:rFonts w:ascii="Garamond" w:hAnsi="Garamond" w:cs="Garamond"/>
          <w:sz w:val="24"/>
          <w:szCs w:val="24"/>
        </w:rPr>
        <w:t xml:space="preserve">he Joint Evaluation of Budget Support </w:t>
      </w:r>
      <w:r>
        <w:rPr>
          <w:rFonts w:ascii="Garamond" w:hAnsi="Garamond" w:cs="Garamond"/>
          <w:sz w:val="24"/>
          <w:szCs w:val="24"/>
        </w:rPr>
        <w:t>(</w:t>
      </w:r>
      <w:r w:rsidRPr="000906DA">
        <w:rPr>
          <w:rFonts w:ascii="Garamond" w:hAnsi="Garamond" w:cs="Garamond"/>
          <w:sz w:val="24"/>
          <w:szCs w:val="24"/>
        </w:rPr>
        <w:t>2005-2015</w:t>
      </w:r>
      <w:r>
        <w:rPr>
          <w:rFonts w:ascii="Garamond" w:hAnsi="Garamond" w:cs="Garamond"/>
          <w:sz w:val="24"/>
          <w:szCs w:val="24"/>
        </w:rPr>
        <w:t xml:space="preserve">) </w:t>
      </w:r>
      <w:r w:rsidRPr="007B71F0">
        <w:rPr>
          <w:rFonts w:ascii="Garamond" w:hAnsi="Garamond" w:cs="Garamond"/>
          <w:sz w:val="24"/>
          <w:szCs w:val="24"/>
        </w:rPr>
        <w:t xml:space="preserve">noted that budget support provided important opportunities which helped </w:t>
      </w:r>
      <w:proofErr w:type="spellStart"/>
      <w:r w:rsidRPr="007B71F0">
        <w:rPr>
          <w:rFonts w:ascii="Garamond" w:hAnsi="Garamond" w:cs="Garamond"/>
          <w:sz w:val="24"/>
          <w:szCs w:val="24"/>
        </w:rPr>
        <w:t>GoG</w:t>
      </w:r>
      <w:proofErr w:type="spellEnd"/>
      <w:r w:rsidRPr="007B71F0">
        <w:rPr>
          <w:rFonts w:ascii="Garamond" w:hAnsi="Garamond" w:cs="Garamond"/>
          <w:sz w:val="24"/>
          <w:szCs w:val="24"/>
        </w:rPr>
        <w:t xml:space="preserve"> </w:t>
      </w:r>
      <w:r>
        <w:rPr>
          <w:rFonts w:ascii="Garamond" w:hAnsi="Garamond" w:cs="Garamond"/>
          <w:sz w:val="24"/>
          <w:szCs w:val="24"/>
        </w:rPr>
        <w:t xml:space="preserve">to </w:t>
      </w:r>
      <w:r w:rsidRPr="007B71F0">
        <w:rPr>
          <w:rFonts w:ascii="Garamond" w:hAnsi="Garamond" w:cs="Garamond"/>
          <w:sz w:val="24"/>
          <w:szCs w:val="24"/>
        </w:rPr>
        <w:t>accelerate the national reform agenda, while stren</w:t>
      </w:r>
      <w:bookmarkStart w:id="0" w:name="_GoBack"/>
      <w:bookmarkEnd w:id="0"/>
      <w:r w:rsidRPr="007B71F0">
        <w:rPr>
          <w:rFonts w:ascii="Garamond" w:hAnsi="Garamond" w:cs="Garamond"/>
          <w:sz w:val="24"/>
          <w:szCs w:val="24"/>
        </w:rPr>
        <w:t>gthening its ownership over it.</w:t>
      </w:r>
      <w:r>
        <w:rPr>
          <w:rFonts w:ascii="Garamond" w:hAnsi="Garamond" w:cs="Garamond"/>
          <w:sz w:val="24"/>
          <w:szCs w:val="24"/>
        </w:rPr>
        <w:t xml:space="preserve"> Secondly, the </w:t>
      </w:r>
      <w:r w:rsidR="00AA5CC6" w:rsidRPr="002317AD">
        <w:rPr>
          <w:rFonts w:ascii="Garamond" w:hAnsi="Garamond"/>
          <w:bCs/>
          <w:sz w:val="24"/>
          <w:szCs w:val="24"/>
        </w:rPr>
        <w:t xml:space="preserve">growth and progress of the </w:t>
      </w:r>
      <w:r w:rsidR="0070739C" w:rsidRPr="002317AD">
        <w:rPr>
          <w:rFonts w:ascii="Garamond" w:hAnsi="Garamond"/>
          <w:bCs/>
          <w:sz w:val="24"/>
          <w:szCs w:val="24"/>
        </w:rPr>
        <w:t xml:space="preserve">Ghanaian economy towards a </w:t>
      </w:r>
      <w:r w:rsidR="00AA5CC6" w:rsidRPr="002317AD">
        <w:rPr>
          <w:rFonts w:ascii="Garamond" w:hAnsi="Garamond"/>
          <w:bCs/>
          <w:sz w:val="24"/>
          <w:szCs w:val="24"/>
        </w:rPr>
        <w:t>l</w:t>
      </w:r>
      <w:r w:rsidR="0070739C" w:rsidRPr="002317AD">
        <w:rPr>
          <w:rFonts w:ascii="Garamond" w:hAnsi="Garamond"/>
          <w:bCs/>
          <w:sz w:val="24"/>
          <w:szCs w:val="24"/>
        </w:rPr>
        <w:t xml:space="preserve">ower </w:t>
      </w:r>
      <w:r w:rsidR="00AA5CC6" w:rsidRPr="002317AD">
        <w:rPr>
          <w:rFonts w:ascii="Garamond" w:hAnsi="Garamond"/>
          <w:bCs/>
          <w:sz w:val="24"/>
          <w:szCs w:val="24"/>
        </w:rPr>
        <w:t>m</w:t>
      </w:r>
      <w:r w:rsidR="0070739C" w:rsidRPr="002317AD">
        <w:rPr>
          <w:rFonts w:ascii="Garamond" w:hAnsi="Garamond"/>
          <w:bCs/>
          <w:sz w:val="24"/>
          <w:szCs w:val="24"/>
        </w:rPr>
        <w:t xml:space="preserve">iddle </w:t>
      </w:r>
      <w:r w:rsidR="00AA5CC6" w:rsidRPr="002317AD">
        <w:rPr>
          <w:rFonts w:ascii="Garamond" w:hAnsi="Garamond"/>
          <w:bCs/>
          <w:sz w:val="24"/>
          <w:szCs w:val="24"/>
        </w:rPr>
        <w:t>i</w:t>
      </w:r>
      <w:r w:rsidR="0070739C" w:rsidRPr="002317AD">
        <w:rPr>
          <w:rFonts w:ascii="Garamond" w:hAnsi="Garamond"/>
          <w:bCs/>
          <w:sz w:val="24"/>
          <w:szCs w:val="24"/>
        </w:rPr>
        <w:t>ncome</w:t>
      </w:r>
      <w:r w:rsidR="00AA5CC6" w:rsidRPr="002317AD">
        <w:rPr>
          <w:rFonts w:ascii="Garamond" w:hAnsi="Garamond"/>
          <w:bCs/>
          <w:sz w:val="24"/>
          <w:szCs w:val="24"/>
        </w:rPr>
        <w:t xml:space="preserve"> c</w:t>
      </w:r>
      <w:r w:rsidR="0070739C" w:rsidRPr="002317AD">
        <w:rPr>
          <w:rFonts w:ascii="Garamond" w:hAnsi="Garamond"/>
          <w:bCs/>
          <w:sz w:val="24"/>
          <w:szCs w:val="24"/>
        </w:rPr>
        <w:t>ountry</w:t>
      </w:r>
      <w:r w:rsidR="00AA5CC6" w:rsidRPr="002317AD">
        <w:rPr>
          <w:rFonts w:ascii="Garamond" w:hAnsi="Garamond"/>
          <w:bCs/>
          <w:sz w:val="24"/>
          <w:szCs w:val="24"/>
        </w:rPr>
        <w:t xml:space="preserve"> resulted in a loss of relevance of the primary </w:t>
      </w:r>
      <w:r w:rsidR="0070739C" w:rsidRPr="002317AD">
        <w:rPr>
          <w:rFonts w:ascii="Garamond" w:hAnsi="Garamond"/>
          <w:bCs/>
          <w:sz w:val="24"/>
          <w:szCs w:val="24"/>
        </w:rPr>
        <w:t>purpose</w:t>
      </w:r>
      <w:r w:rsidR="00FC5EFC">
        <w:rPr>
          <w:rFonts w:ascii="Garamond" w:hAnsi="Garamond"/>
          <w:bCs/>
          <w:sz w:val="24"/>
          <w:szCs w:val="24"/>
        </w:rPr>
        <w:t xml:space="preserve"> of providing more resources through the </w:t>
      </w:r>
      <w:r w:rsidR="00AA5CC6" w:rsidRPr="002317AD">
        <w:rPr>
          <w:rFonts w:ascii="Garamond" w:hAnsi="Garamond"/>
          <w:bCs/>
          <w:sz w:val="24"/>
          <w:szCs w:val="24"/>
        </w:rPr>
        <w:t xml:space="preserve">budget support modality </w:t>
      </w:r>
      <w:r w:rsidR="00FC5EFC">
        <w:rPr>
          <w:rFonts w:ascii="Garamond" w:hAnsi="Garamond"/>
          <w:bCs/>
          <w:sz w:val="24"/>
          <w:szCs w:val="24"/>
        </w:rPr>
        <w:t xml:space="preserve">since </w:t>
      </w:r>
      <w:r w:rsidR="002317AD">
        <w:rPr>
          <w:rFonts w:ascii="Garamond" w:hAnsi="Garamond"/>
          <w:bCs/>
          <w:sz w:val="24"/>
          <w:szCs w:val="24"/>
        </w:rPr>
        <w:t>the budget</w:t>
      </w:r>
      <w:r w:rsidR="002317AD" w:rsidRPr="002317AD">
        <w:rPr>
          <w:rFonts w:ascii="Garamond" w:hAnsi="Garamond" w:cs="Garamond"/>
          <w:sz w:val="24"/>
          <w:szCs w:val="24"/>
        </w:rPr>
        <w:t xml:space="preserve"> support’s share of</w:t>
      </w:r>
      <w:r w:rsidR="002317AD">
        <w:rPr>
          <w:rFonts w:ascii="Garamond" w:hAnsi="Garamond" w:cs="Garamond"/>
          <w:sz w:val="24"/>
          <w:szCs w:val="24"/>
        </w:rPr>
        <w:t xml:space="preserve"> </w:t>
      </w:r>
      <w:r w:rsidR="002317AD" w:rsidRPr="002317AD">
        <w:rPr>
          <w:rFonts w:ascii="Garamond" w:hAnsi="Garamond" w:cs="Garamond"/>
          <w:sz w:val="24"/>
          <w:szCs w:val="24"/>
        </w:rPr>
        <w:t xml:space="preserve">the national budget </w:t>
      </w:r>
      <w:r w:rsidR="00FC5EFC">
        <w:rPr>
          <w:rFonts w:ascii="Garamond" w:hAnsi="Garamond" w:cs="Garamond"/>
          <w:sz w:val="24"/>
          <w:szCs w:val="24"/>
        </w:rPr>
        <w:t xml:space="preserve">had </w:t>
      </w:r>
      <w:r w:rsidR="002317AD" w:rsidRPr="002317AD">
        <w:rPr>
          <w:rFonts w:ascii="Garamond" w:hAnsi="Garamond" w:cs="Garamond"/>
          <w:sz w:val="24"/>
          <w:szCs w:val="24"/>
        </w:rPr>
        <w:t>greatly reduced</w:t>
      </w:r>
      <w:r w:rsidR="002317AD">
        <w:rPr>
          <w:rFonts w:ascii="Garamond" w:hAnsi="Garamond" w:cs="Garamond"/>
          <w:sz w:val="24"/>
          <w:szCs w:val="24"/>
        </w:rPr>
        <w:t xml:space="preserve">. The </w:t>
      </w:r>
      <w:r w:rsidR="002317AD" w:rsidRPr="002317AD">
        <w:rPr>
          <w:rFonts w:ascii="Garamond" w:hAnsi="Garamond"/>
          <w:bCs/>
          <w:sz w:val="24"/>
          <w:szCs w:val="24"/>
        </w:rPr>
        <w:t xml:space="preserve">perception of </w:t>
      </w:r>
      <w:r w:rsidR="00FC5EFC">
        <w:rPr>
          <w:rFonts w:ascii="Garamond" w:hAnsi="Garamond"/>
          <w:bCs/>
          <w:sz w:val="24"/>
          <w:szCs w:val="24"/>
        </w:rPr>
        <w:t xml:space="preserve">this </w:t>
      </w:r>
      <w:r w:rsidR="002317AD" w:rsidRPr="002317AD">
        <w:rPr>
          <w:rFonts w:ascii="Garamond" w:hAnsi="Garamond"/>
          <w:bCs/>
          <w:sz w:val="24"/>
          <w:szCs w:val="24"/>
        </w:rPr>
        <w:t>declining relevance of budget support as a tool for development finance</w:t>
      </w:r>
      <w:r w:rsidR="002317AD">
        <w:rPr>
          <w:rFonts w:ascii="Garamond" w:hAnsi="Garamond"/>
          <w:bCs/>
          <w:sz w:val="24"/>
          <w:szCs w:val="24"/>
        </w:rPr>
        <w:t xml:space="preserve"> coupled with </w:t>
      </w:r>
      <w:proofErr w:type="spellStart"/>
      <w:r w:rsidR="00075D40">
        <w:rPr>
          <w:rFonts w:ascii="Garamond" w:hAnsi="Garamond"/>
          <w:bCs/>
          <w:sz w:val="24"/>
          <w:szCs w:val="24"/>
        </w:rPr>
        <w:t>GoG’s</w:t>
      </w:r>
      <w:proofErr w:type="spellEnd"/>
      <w:r w:rsidR="00075D40">
        <w:rPr>
          <w:rFonts w:ascii="Garamond" w:hAnsi="Garamond"/>
          <w:bCs/>
          <w:sz w:val="24"/>
          <w:szCs w:val="24"/>
        </w:rPr>
        <w:t xml:space="preserve"> </w:t>
      </w:r>
      <w:r w:rsidR="002317AD" w:rsidRPr="002317AD">
        <w:rPr>
          <w:rFonts w:ascii="Garamond" w:hAnsi="Garamond"/>
          <w:bCs/>
          <w:sz w:val="24"/>
          <w:szCs w:val="24"/>
        </w:rPr>
        <w:t>increased assertiveness due to its access to new sources of finance (including oil revenues and access to international capital markets</w:t>
      </w:r>
      <w:r w:rsidR="002317AD">
        <w:rPr>
          <w:rFonts w:ascii="Garamond" w:hAnsi="Garamond"/>
          <w:bCs/>
          <w:sz w:val="24"/>
          <w:szCs w:val="24"/>
        </w:rPr>
        <w:t>)</w:t>
      </w:r>
      <w:r w:rsidR="00075D40">
        <w:rPr>
          <w:rFonts w:ascii="Garamond" w:hAnsi="Garamond"/>
          <w:bCs/>
          <w:sz w:val="24"/>
          <w:szCs w:val="24"/>
        </w:rPr>
        <w:t xml:space="preserve"> narrowed </w:t>
      </w:r>
      <w:r w:rsidR="002317AD">
        <w:rPr>
          <w:rFonts w:ascii="Garamond" w:hAnsi="Garamond" w:cs="Garamond"/>
          <w:sz w:val="24"/>
          <w:szCs w:val="24"/>
        </w:rPr>
        <w:t>DPs l</w:t>
      </w:r>
      <w:r w:rsidR="002317AD" w:rsidRPr="002317AD">
        <w:rPr>
          <w:rFonts w:ascii="Garamond" w:hAnsi="Garamond"/>
          <w:bCs/>
          <w:sz w:val="24"/>
          <w:szCs w:val="24"/>
        </w:rPr>
        <w:t>everage in policy discussions</w:t>
      </w:r>
      <w:r w:rsidR="00075D40">
        <w:rPr>
          <w:rFonts w:ascii="Garamond" w:hAnsi="Garamond"/>
          <w:bCs/>
          <w:sz w:val="24"/>
          <w:szCs w:val="24"/>
        </w:rPr>
        <w:t xml:space="preserve">. </w:t>
      </w:r>
      <w:r w:rsidR="006B03CC">
        <w:rPr>
          <w:rFonts w:ascii="Garamond" w:hAnsi="Garamond"/>
          <w:bCs/>
          <w:sz w:val="24"/>
          <w:szCs w:val="24"/>
        </w:rPr>
        <w:t>Another lesson learned is that w</w:t>
      </w:r>
      <w:r w:rsidR="006B03CC" w:rsidRPr="002317AD">
        <w:rPr>
          <w:rFonts w:ascii="Garamond" w:hAnsi="Garamond"/>
          <w:bCs/>
          <w:sz w:val="24"/>
          <w:szCs w:val="24"/>
        </w:rPr>
        <w:t>orking in collaboration with national CSOs in ensuring transparency and accountability pays dividends in</w:t>
      </w:r>
      <w:r w:rsidR="006B03CC">
        <w:rPr>
          <w:rFonts w:ascii="Garamond" w:hAnsi="Garamond"/>
          <w:bCs/>
          <w:sz w:val="24"/>
          <w:szCs w:val="24"/>
        </w:rPr>
        <w:t xml:space="preserve"> an</w:t>
      </w:r>
      <w:r w:rsidR="006B03CC" w:rsidRPr="002317AD">
        <w:rPr>
          <w:rFonts w:ascii="Garamond" w:hAnsi="Garamond"/>
          <w:bCs/>
          <w:sz w:val="24"/>
          <w:szCs w:val="24"/>
        </w:rPr>
        <w:t xml:space="preserve"> increased and strengthened local ownership and ensures sustainability even after programme completion</w:t>
      </w:r>
      <w:r w:rsidR="006B03CC">
        <w:rPr>
          <w:rFonts w:ascii="Garamond" w:hAnsi="Garamond"/>
          <w:bCs/>
          <w:sz w:val="24"/>
          <w:szCs w:val="24"/>
        </w:rPr>
        <w:t xml:space="preserve">. </w:t>
      </w:r>
    </w:p>
    <w:p w:rsidR="006735D2" w:rsidRDefault="006735D2" w:rsidP="002317AD">
      <w:pPr>
        <w:spacing w:after="0" w:line="240" w:lineRule="auto"/>
        <w:jc w:val="both"/>
        <w:rPr>
          <w:rFonts w:ascii="Garamond" w:hAnsi="Garamond"/>
          <w:bCs/>
          <w:sz w:val="24"/>
          <w:szCs w:val="24"/>
        </w:rPr>
      </w:pPr>
    </w:p>
    <w:p w:rsidR="006735D2" w:rsidRPr="00F63567" w:rsidRDefault="006735D2" w:rsidP="002317AD">
      <w:pPr>
        <w:spacing w:after="0" w:line="240" w:lineRule="auto"/>
        <w:jc w:val="both"/>
        <w:rPr>
          <w:rFonts w:ascii="Garamond" w:hAnsi="Garamond"/>
          <w:b/>
          <w:bCs/>
          <w:sz w:val="24"/>
          <w:szCs w:val="24"/>
        </w:rPr>
      </w:pPr>
      <w:r w:rsidRPr="00F63567">
        <w:rPr>
          <w:rFonts w:ascii="Garamond" w:hAnsi="Garamond"/>
          <w:b/>
          <w:bCs/>
          <w:sz w:val="24"/>
          <w:szCs w:val="24"/>
        </w:rPr>
        <w:t>Links</w:t>
      </w:r>
    </w:p>
    <w:p w:rsidR="00C307A3" w:rsidRPr="00F97F66" w:rsidRDefault="00C307A3" w:rsidP="005A4509">
      <w:pPr>
        <w:pStyle w:val="ListParagraph"/>
        <w:numPr>
          <w:ilvl w:val="0"/>
          <w:numId w:val="5"/>
        </w:numPr>
        <w:spacing w:after="0" w:line="240" w:lineRule="auto"/>
        <w:rPr>
          <w:rFonts w:ascii="Garamond" w:hAnsi="Garamond"/>
          <w:bCs/>
          <w:color w:val="000000" w:themeColor="text1"/>
          <w:sz w:val="24"/>
          <w:szCs w:val="24"/>
          <w:highlight w:val="yellow"/>
        </w:rPr>
      </w:pPr>
      <w:r w:rsidRPr="00F97F66">
        <w:rPr>
          <w:rFonts w:ascii="Garamond" w:hAnsi="Garamond"/>
          <w:color w:val="000000" w:themeColor="text1"/>
          <w:sz w:val="24"/>
          <w:szCs w:val="24"/>
          <w:highlight w:val="yellow"/>
        </w:rPr>
        <w:t>Joint Evaluation of Budget Support to Ghana 2005-2015………………</w:t>
      </w:r>
    </w:p>
    <w:p w:rsidR="006735D2" w:rsidRDefault="005A4509" w:rsidP="005A4509">
      <w:pPr>
        <w:pStyle w:val="ListParagraph"/>
        <w:numPr>
          <w:ilvl w:val="0"/>
          <w:numId w:val="5"/>
        </w:numPr>
        <w:spacing w:after="0" w:line="240" w:lineRule="auto"/>
        <w:rPr>
          <w:rFonts w:ascii="Garamond" w:hAnsi="Garamond"/>
          <w:bCs/>
          <w:sz w:val="24"/>
          <w:szCs w:val="24"/>
        </w:rPr>
      </w:pPr>
      <w:r>
        <w:rPr>
          <w:rFonts w:ascii="Garamond" w:hAnsi="Garamond"/>
          <w:bCs/>
          <w:sz w:val="24"/>
          <w:szCs w:val="24"/>
        </w:rPr>
        <w:t xml:space="preserve">Joint evaluation of Public Financial Management Reform Burkina Faso, Ghana and Malawi 2001-2010, (2012) </w:t>
      </w:r>
      <w:hyperlink r:id="rId7" w:history="1">
        <w:r w:rsidRPr="0094538E">
          <w:rPr>
            <w:rStyle w:val="Hyperlink"/>
            <w:rFonts w:ascii="Garamond" w:hAnsi="Garamond"/>
            <w:bCs/>
            <w:sz w:val="24"/>
            <w:szCs w:val="24"/>
          </w:rPr>
          <w:t>https://um.dk/en/danida-en/results/eval/Eval_reports/publicationdisplaypage/?publicationID=2F4A8A00-8E9D-44BE-8747-B836E1BC5578</w:t>
        </w:r>
      </w:hyperlink>
    </w:p>
    <w:p w:rsidR="00F63567" w:rsidRPr="005A4509" w:rsidRDefault="00F63567" w:rsidP="005A4509">
      <w:pPr>
        <w:pStyle w:val="ListParagraph"/>
        <w:numPr>
          <w:ilvl w:val="0"/>
          <w:numId w:val="5"/>
        </w:numPr>
        <w:spacing w:after="0" w:line="240" w:lineRule="auto"/>
        <w:rPr>
          <w:rFonts w:ascii="Garamond" w:hAnsi="Garamond"/>
          <w:bCs/>
          <w:sz w:val="24"/>
          <w:szCs w:val="24"/>
        </w:rPr>
      </w:pPr>
      <w:r w:rsidRPr="005A4509">
        <w:rPr>
          <w:rFonts w:ascii="Garamond" w:hAnsi="Garamond"/>
          <w:sz w:val="24"/>
          <w:szCs w:val="24"/>
        </w:rPr>
        <w:lastRenderedPageBreak/>
        <w:t>Evaluation of the Ghana-</w:t>
      </w:r>
      <w:r w:rsidR="00FA2423">
        <w:rPr>
          <w:rFonts w:ascii="Garamond" w:hAnsi="Garamond"/>
          <w:sz w:val="24"/>
          <w:szCs w:val="24"/>
        </w:rPr>
        <w:t xml:space="preserve">Denmark Partnership </w:t>
      </w:r>
      <w:r w:rsidRPr="005A4509">
        <w:rPr>
          <w:rFonts w:ascii="Garamond" w:hAnsi="Garamond"/>
          <w:sz w:val="24"/>
          <w:szCs w:val="24"/>
        </w:rPr>
        <w:t>2007-2017</w:t>
      </w:r>
      <w:r w:rsidR="00FA2423">
        <w:rPr>
          <w:rFonts w:ascii="Garamond" w:hAnsi="Garamond"/>
          <w:sz w:val="24"/>
          <w:szCs w:val="24"/>
        </w:rPr>
        <w:t xml:space="preserve"> (2018</w:t>
      </w:r>
      <w:r w:rsidRPr="005A4509">
        <w:rPr>
          <w:rFonts w:ascii="Garamond" w:hAnsi="Garamond"/>
          <w:sz w:val="24"/>
          <w:szCs w:val="24"/>
        </w:rPr>
        <w:t xml:space="preserve">): </w:t>
      </w:r>
      <w:hyperlink r:id="rId8" w:history="1">
        <w:r w:rsidRPr="005A4509">
          <w:rPr>
            <w:rStyle w:val="Hyperlink"/>
            <w:rFonts w:ascii="Garamond" w:hAnsi="Garamond"/>
            <w:sz w:val="24"/>
            <w:szCs w:val="24"/>
          </w:rPr>
          <w:t>http://danida-publikationer.dk/publikationer/publikationsdetaljer.aspx?PId=8c80db97-19aa-4f83-858a-ee1189f4033d</w:t>
        </w:r>
      </w:hyperlink>
    </w:p>
    <w:p w:rsidR="00076F84" w:rsidRPr="00076F84" w:rsidRDefault="00076F84" w:rsidP="00076F84">
      <w:pPr>
        <w:rPr>
          <w:rFonts w:ascii="Garamond" w:hAnsi="Garamond" w:cs="Garamond"/>
          <w:sz w:val="24"/>
          <w:szCs w:val="24"/>
        </w:rPr>
      </w:pPr>
    </w:p>
    <w:sectPr w:rsidR="00076F84" w:rsidRPr="00076F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E5" w:rsidRDefault="006842E5" w:rsidP="00AB1E72">
      <w:pPr>
        <w:spacing w:after="0" w:line="240" w:lineRule="auto"/>
      </w:pPr>
      <w:r>
        <w:separator/>
      </w:r>
    </w:p>
  </w:endnote>
  <w:endnote w:type="continuationSeparator" w:id="0">
    <w:p w:rsidR="006842E5" w:rsidRDefault="006842E5"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07278"/>
      <w:docPartObj>
        <w:docPartGallery w:val="Page Numbers (Bottom of Page)"/>
        <w:docPartUnique/>
      </w:docPartObj>
    </w:sdtPr>
    <w:sdtEndPr>
      <w:rPr>
        <w:noProof/>
      </w:rPr>
    </w:sdtEndPr>
    <w:sdtContent>
      <w:p w:rsidR="00ED2696" w:rsidRPr="001538FC" w:rsidRDefault="00ED2696" w:rsidP="00ED2696">
        <w:pPr>
          <w:tabs>
            <w:tab w:val="center" w:pos="4513"/>
            <w:tab w:val="right" w:pos="9026"/>
          </w:tabs>
          <w:spacing w:after="0" w:line="240" w:lineRule="auto"/>
          <w:rPr>
            <w:rFonts w:ascii="Garamond" w:hAnsi="Garamond"/>
            <w:sz w:val="18"/>
            <w:szCs w:val="18"/>
          </w:rPr>
        </w:pPr>
        <w:r w:rsidRPr="001538FC">
          <w:rPr>
            <w:rFonts w:ascii="Garamond" w:hAnsi="Garamond"/>
            <w:sz w:val="18"/>
            <w:szCs w:val="18"/>
          </w:rPr>
          <w:t>Prepared by Mawuena Hayibor (Danida short-term consultant), edited by Ambassador Tove Degnbol, July 2020.</w:t>
        </w:r>
      </w:p>
      <w:p w:rsidR="00EA124C" w:rsidRDefault="00EA124C">
        <w:pPr>
          <w:pStyle w:val="Footer"/>
          <w:jc w:val="right"/>
        </w:pPr>
        <w:r>
          <w:fldChar w:fldCharType="begin"/>
        </w:r>
        <w:r>
          <w:instrText xml:space="preserve"> PAGE   \* MERGEFORMAT </w:instrText>
        </w:r>
        <w:r>
          <w:fldChar w:fldCharType="separate"/>
        </w:r>
        <w:r w:rsidR="00F97F66">
          <w:rPr>
            <w:noProof/>
          </w:rPr>
          <w:t>1</w:t>
        </w:r>
        <w:r>
          <w:rPr>
            <w:noProof/>
          </w:rPr>
          <w:fldChar w:fldCharType="end"/>
        </w:r>
      </w:p>
    </w:sdtContent>
  </w:sdt>
  <w:p w:rsidR="00B44D63" w:rsidRPr="00AB1E72" w:rsidRDefault="00B44D63" w:rsidP="00B44D63">
    <w:pPr>
      <w:pStyle w:val="Foo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E5" w:rsidRDefault="006842E5" w:rsidP="00AB1E72">
      <w:pPr>
        <w:spacing w:after="0" w:line="240" w:lineRule="auto"/>
      </w:pPr>
      <w:r>
        <w:separator/>
      </w:r>
    </w:p>
  </w:footnote>
  <w:footnote w:type="continuationSeparator" w:id="0">
    <w:p w:rsidR="006842E5" w:rsidRDefault="006842E5"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FB6"/>
    <w:multiLevelType w:val="hybridMultilevel"/>
    <w:tmpl w:val="4FDC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75C89"/>
    <w:multiLevelType w:val="hybridMultilevel"/>
    <w:tmpl w:val="9B7EA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4E59"/>
    <w:rsid w:val="0001117B"/>
    <w:rsid w:val="00025DB5"/>
    <w:rsid w:val="00030032"/>
    <w:rsid w:val="000738E3"/>
    <w:rsid w:val="00075D40"/>
    <w:rsid w:val="00076F84"/>
    <w:rsid w:val="000906DA"/>
    <w:rsid w:val="000A2E68"/>
    <w:rsid w:val="000B0CCA"/>
    <w:rsid w:val="000B5F0D"/>
    <w:rsid w:val="000C0989"/>
    <w:rsid w:val="000C6486"/>
    <w:rsid w:val="000E07A2"/>
    <w:rsid w:val="000E1C13"/>
    <w:rsid w:val="000E2324"/>
    <w:rsid w:val="00156D91"/>
    <w:rsid w:val="00180358"/>
    <w:rsid w:val="001857EE"/>
    <w:rsid w:val="00193012"/>
    <w:rsid w:val="00193C60"/>
    <w:rsid w:val="001968DA"/>
    <w:rsid w:val="001A5F72"/>
    <w:rsid w:val="001B1169"/>
    <w:rsid w:val="001B7BC4"/>
    <w:rsid w:val="001C52B1"/>
    <w:rsid w:val="001D3912"/>
    <w:rsid w:val="001E41D9"/>
    <w:rsid w:val="00203256"/>
    <w:rsid w:val="00203995"/>
    <w:rsid w:val="00211F41"/>
    <w:rsid w:val="00220936"/>
    <w:rsid w:val="00222174"/>
    <w:rsid w:val="002317AD"/>
    <w:rsid w:val="00241C21"/>
    <w:rsid w:val="00267EF2"/>
    <w:rsid w:val="002A32E5"/>
    <w:rsid w:val="002B76AD"/>
    <w:rsid w:val="002C14A8"/>
    <w:rsid w:val="002F6414"/>
    <w:rsid w:val="003473AF"/>
    <w:rsid w:val="0035134A"/>
    <w:rsid w:val="00357B7B"/>
    <w:rsid w:val="00364183"/>
    <w:rsid w:val="003746D4"/>
    <w:rsid w:val="003A3CD7"/>
    <w:rsid w:val="003B7681"/>
    <w:rsid w:val="003C6978"/>
    <w:rsid w:val="003D19F2"/>
    <w:rsid w:val="003D2316"/>
    <w:rsid w:val="003F324B"/>
    <w:rsid w:val="004121B6"/>
    <w:rsid w:val="0042262A"/>
    <w:rsid w:val="004401E8"/>
    <w:rsid w:val="00455F60"/>
    <w:rsid w:val="004571D7"/>
    <w:rsid w:val="0046579B"/>
    <w:rsid w:val="004C1D1B"/>
    <w:rsid w:val="004C49B7"/>
    <w:rsid w:val="004D2FB1"/>
    <w:rsid w:val="004F229B"/>
    <w:rsid w:val="00514C04"/>
    <w:rsid w:val="00526A3C"/>
    <w:rsid w:val="00566633"/>
    <w:rsid w:val="0058057E"/>
    <w:rsid w:val="00587B49"/>
    <w:rsid w:val="005A027D"/>
    <w:rsid w:val="005A0A48"/>
    <w:rsid w:val="005A4509"/>
    <w:rsid w:val="005B4BC3"/>
    <w:rsid w:val="005C074F"/>
    <w:rsid w:val="005E00F3"/>
    <w:rsid w:val="005F5CE6"/>
    <w:rsid w:val="005F5EDA"/>
    <w:rsid w:val="00632990"/>
    <w:rsid w:val="006472F9"/>
    <w:rsid w:val="006735D2"/>
    <w:rsid w:val="006842E5"/>
    <w:rsid w:val="006B03CC"/>
    <w:rsid w:val="006B3957"/>
    <w:rsid w:val="006B65EB"/>
    <w:rsid w:val="006C1D9B"/>
    <w:rsid w:val="006C5D09"/>
    <w:rsid w:val="006C6DF1"/>
    <w:rsid w:val="006C792C"/>
    <w:rsid w:val="006D22DE"/>
    <w:rsid w:val="006E458D"/>
    <w:rsid w:val="006F39F2"/>
    <w:rsid w:val="006F50B5"/>
    <w:rsid w:val="006F6F4B"/>
    <w:rsid w:val="0070739C"/>
    <w:rsid w:val="00761D75"/>
    <w:rsid w:val="00773CFB"/>
    <w:rsid w:val="00786531"/>
    <w:rsid w:val="007B2BBE"/>
    <w:rsid w:val="007B71F0"/>
    <w:rsid w:val="007C09BB"/>
    <w:rsid w:val="007C1E81"/>
    <w:rsid w:val="008058DC"/>
    <w:rsid w:val="00812686"/>
    <w:rsid w:val="00817FB5"/>
    <w:rsid w:val="00820F23"/>
    <w:rsid w:val="0084149A"/>
    <w:rsid w:val="00886C19"/>
    <w:rsid w:val="008871DA"/>
    <w:rsid w:val="008D3258"/>
    <w:rsid w:val="0090594E"/>
    <w:rsid w:val="009206DB"/>
    <w:rsid w:val="00924427"/>
    <w:rsid w:val="00925A6B"/>
    <w:rsid w:val="009276EE"/>
    <w:rsid w:val="0096706B"/>
    <w:rsid w:val="00994EF2"/>
    <w:rsid w:val="009F7DEF"/>
    <w:rsid w:val="00A1291C"/>
    <w:rsid w:val="00A53CF3"/>
    <w:rsid w:val="00A54E4B"/>
    <w:rsid w:val="00AA36DA"/>
    <w:rsid w:val="00AA5CC6"/>
    <w:rsid w:val="00AA66DE"/>
    <w:rsid w:val="00AB1E72"/>
    <w:rsid w:val="00AC479B"/>
    <w:rsid w:val="00AE6289"/>
    <w:rsid w:val="00AF1030"/>
    <w:rsid w:val="00AF221C"/>
    <w:rsid w:val="00AF51BB"/>
    <w:rsid w:val="00B0492C"/>
    <w:rsid w:val="00B14B66"/>
    <w:rsid w:val="00B2224A"/>
    <w:rsid w:val="00B378A1"/>
    <w:rsid w:val="00B425BF"/>
    <w:rsid w:val="00B44D63"/>
    <w:rsid w:val="00B612CF"/>
    <w:rsid w:val="00B6563D"/>
    <w:rsid w:val="00B71EBC"/>
    <w:rsid w:val="00B9424D"/>
    <w:rsid w:val="00BA1A02"/>
    <w:rsid w:val="00BC31E7"/>
    <w:rsid w:val="00BC37C0"/>
    <w:rsid w:val="00BC3D60"/>
    <w:rsid w:val="00BC64B8"/>
    <w:rsid w:val="00BE6508"/>
    <w:rsid w:val="00BF45C8"/>
    <w:rsid w:val="00C04BA4"/>
    <w:rsid w:val="00C14DF1"/>
    <w:rsid w:val="00C23E0B"/>
    <w:rsid w:val="00C307A3"/>
    <w:rsid w:val="00C335CB"/>
    <w:rsid w:val="00C40DBC"/>
    <w:rsid w:val="00C42088"/>
    <w:rsid w:val="00C453FD"/>
    <w:rsid w:val="00C47C42"/>
    <w:rsid w:val="00C54522"/>
    <w:rsid w:val="00C57F1A"/>
    <w:rsid w:val="00C84101"/>
    <w:rsid w:val="00CC18C6"/>
    <w:rsid w:val="00CC2619"/>
    <w:rsid w:val="00CC5556"/>
    <w:rsid w:val="00CE7A77"/>
    <w:rsid w:val="00D019D8"/>
    <w:rsid w:val="00D10268"/>
    <w:rsid w:val="00D459FD"/>
    <w:rsid w:val="00D704FF"/>
    <w:rsid w:val="00D77BA9"/>
    <w:rsid w:val="00D83F92"/>
    <w:rsid w:val="00DE1EA6"/>
    <w:rsid w:val="00DE2B96"/>
    <w:rsid w:val="00E13912"/>
    <w:rsid w:val="00E36BE6"/>
    <w:rsid w:val="00E64AFD"/>
    <w:rsid w:val="00E663B9"/>
    <w:rsid w:val="00E76931"/>
    <w:rsid w:val="00E94279"/>
    <w:rsid w:val="00E970AF"/>
    <w:rsid w:val="00EA124C"/>
    <w:rsid w:val="00ED011D"/>
    <w:rsid w:val="00ED2696"/>
    <w:rsid w:val="00EE1E5E"/>
    <w:rsid w:val="00EF1850"/>
    <w:rsid w:val="00EF52E8"/>
    <w:rsid w:val="00EF5346"/>
    <w:rsid w:val="00F050B2"/>
    <w:rsid w:val="00F06CB3"/>
    <w:rsid w:val="00F079B7"/>
    <w:rsid w:val="00F1233D"/>
    <w:rsid w:val="00F257DA"/>
    <w:rsid w:val="00F346AF"/>
    <w:rsid w:val="00F40D29"/>
    <w:rsid w:val="00F454C7"/>
    <w:rsid w:val="00F55403"/>
    <w:rsid w:val="00F6245B"/>
    <w:rsid w:val="00F63567"/>
    <w:rsid w:val="00F67C1C"/>
    <w:rsid w:val="00F86E52"/>
    <w:rsid w:val="00F97F66"/>
    <w:rsid w:val="00FA2423"/>
    <w:rsid w:val="00FC04F3"/>
    <w:rsid w:val="00FC5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ida-publikationer.dk/publikationer/publikationsdetaljer.aspx?PId=8c80db97-19aa-4f83-858a-ee1189f4033d" TargetMode="External"/><Relationship Id="rId3" Type="http://schemas.openxmlformats.org/officeDocument/2006/relationships/settings" Target="settings.xml"/><Relationship Id="rId7" Type="http://schemas.openxmlformats.org/officeDocument/2006/relationships/hyperlink" Target="https://um.dk/en/danida-en/results/eval/Eval_reports/publicationdisplaypage/?publicationID=2F4A8A00-8E9D-44BE-8747-B836E1BC5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1211</Words>
  <Characters>5813</Characters>
  <Application>Microsoft Office Word</Application>
  <DocSecurity>0</DocSecurity>
  <Lines>200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16</cp:revision>
  <dcterms:created xsi:type="dcterms:W3CDTF">2020-07-18T17:40:00Z</dcterms:created>
  <dcterms:modified xsi:type="dcterms:W3CDTF">2020-08-21T10:02:00Z</dcterms:modified>
</cp:coreProperties>
</file>