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42AD" w14:textId="42D7D0E5" w:rsidR="000E4B78" w:rsidRPr="007550A0" w:rsidRDefault="000E4B78" w:rsidP="00E5715F">
      <w:pPr>
        <w:pStyle w:val="Overskrift2"/>
      </w:pPr>
      <w:r w:rsidRPr="007550A0">
        <w:t>Information note/instruction for applicants</w:t>
      </w:r>
      <w:r w:rsidR="00737AAA" w:rsidRPr="007550A0">
        <w:t xml:space="preserve"> </w:t>
      </w:r>
      <w:r w:rsidRPr="007550A0">
        <w:t>for call for proposals</w:t>
      </w:r>
    </w:p>
    <w:p w14:paraId="6581CD59" w14:textId="77777777" w:rsidR="000E4B78" w:rsidRPr="007550A0" w:rsidRDefault="000E4B78" w:rsidP="000E4B78">
      <w:pPr>
        <w:spacing w:after="0"/>
        <w:rPr>
          <w:rFonts w:ascii="Garamond" w:hAnsi="Garamond"/>
          <w:sz w:val="32"/>
          <w:szCs w:val="32"/>
          <w:lang w:val="en-GB"/>
        </w:rPr>
      </w:pPr>
    </w:p>
    <w:p w14:paraId="3FAFBBC1" w14:textId="1C4BFDD1" w:rsidR="000E4B78" w:rsidRPr="007550A0" w:rsidRDefault="00DE0CAF" w:rsidP="000E4B78">
      <w:pPr>
        <w:spacing w:after="0"/>
        <w:jc w:val="center"/>
        <w:rPr>
          <w:rFonts w:ascii="Garamond" w:hAnsi="Garamond"/>
          <w:b/>
          <w:bCs/>
          <w:sz w:val="32"/>
          <w:szCs w:val="32"/>
          <w:lang w:val="en-GB"/>
        </w:rPr>
      </w:pPr>
      <w:bookmarkStart w:id="0" w:name="_Hlk219802328"/>
      <w:r w:rsidRPr="007550A0">
        <w:rPr>
          <w:rFonts w:ascii="Garamond" w:hAnsi="Garamond"/>
          <w:b/>
          <w:bCs/>
          <w:sz w:val="32"/>
          <w:szCs w:val="32"/>
          <w:lang w:val="en-GB"/>
        </w:rPr>
        <w:t>Amazonian</w:t>
      </w:r>
      <w:r w:rsidR="00FA0572" w:rsidRPr="007550A0">
        <w:rPr>
          <w:rFonts w:ascii="Garamond" w:hAnsi="Garamond"/>
          <w:b/>
          <w:bCs/>
          <w:sz w:val="32"/>
          <w:szCs w:val="32"/>
          <w:lang w:val="en-GB"/>
        </w:rPr>
        <w:t xml:space="preserve"> Gastronomy </w:t>
      </w:r>
      <w:bookmarkEnd w:id="0"/>
      <w:r w:rsidR="00AC5264" w:rsidRPr="007550A0">
        <w:rPr>
          <w:rFonts w:ascii="Garamond" w:hAnsi="Garamond"/>
          <w:b/>
          <w:bCs/>
          <w:sz w:val="32"/>
          <w:szCs w:val="32"/>
          <w:lang w:val="en-GB"/>
        </w:rPr>
        <w:t>School</w:t>
      </w:r>
    </w:p>
    <w:p w14:paraId="53C2AE95" w14:textId="1B47292F" w:rsidR="000E4B78" w:rsidRPr="007550A0" w:rsidRDefault="00FA0572" w:rsidP="000E4B78">
      <w:pPr>
        <w:spacing w:after="0"/>
        <w:jc w:val="center"/>
        <w:rPr>
          <w:rFonts w:ascii="Garamond" w:hAnsi="Garamond"/>
          <w:b/>
          <w:bCs/>
          <w:sz w:val="32"/>
          <w:szCs w:val="32"/>
          <w:lang w:val="en-GB"/>
        </w:rPr>
      </w:pPr>
      <w:r w:rsidRPr="007550A0">
        <w:rPr>
          <w:rFonts w:ascii="Garamond" w:hAnsi="Garamond"/>
          <w:b/>
          <w:bCs/>
          <w:sz w:val="32"/>
          <w:szCs w:val="32"/>
          <w:lang w:val="en-GB"/>
        </w:rPr>
        <w:t>Embassy of Denmark in Brasília</w:t>
      </w:r>
    </w:p>
    <w:p w14:paraId="1E30B38B" w14:textId="69CE9397" w:rsidR="00902E4A" w:rsidRPr="007550A0" w:rsidRDefault="00084627" w:rsidP="00401BE7">
      <w:pPr>
        <w:spacing w:after="0"/>
        <w:jc w:val="center"/>
        <w:rPr>
          <w:rFonts w:ascii="Garamond" w:hAnsi="Garamond"/>
          <w:b/>
          <w:bCs/>
          <w:sz w:val="32"/>
          <w:szCs w:val="32"/>
          <w:lang w:val="en-GB"/>
        </w:rPr>
      </w:pPr>
      <w:r w:rsidRPr="007550A0">
        <w:rPr>
          <w:rFonts w:ascii="Garamond" w:hAnsi="Garamond"/>
          <w:b/>
          <w:bCs/>
          <w:sz w:val="32"/>
          <w:szCs w:val="32"/>
          <w:lang w:val="en-GB"/>
        </w:rPr>
        <w:t>February 2026</w:t>
      </w:r>
    </w:p>
    <w:p w14:paraId="67A95521" w14:textId="59FCB6F3" w:rsidR="00B43991" w:rsidRPr="007550A0" w:rsidRDefault="00B43991" w:rsidP="00B43991">
      <w:pPr>
        <w:spacing w:after="0"/>
        <w:rPr>
          <w:rFonts w:ascii="Garamond" w:hAnsi="Garamond"/>
          <w:b/>
          <w:bCs/>
          <w:sz w:val="32"/>
          <w:szCs w:val="32"/>
          <w:lang w:val="en-GB"/>
        </w:rPr>
      </w:pPr>
    </w:p>
    <w:p w14:paraId="4D648ADA" w14:textId="77777777" w:rsidR="000E4B78" w:rsidRPr="007550A0" w:rsidRDefault="000E4B78"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Background</w:t>
      </w:r>
    </w:p>
    <w:p w14:paraId="374D77D1" w14:textId="31FA6F4F" w:rsidR="00070F3B" w:rsidRPr="007550A0" w:rsidRDefault="00070F3B" w:rsidP="000E4B78">
      <w:pPr>
        <w:spacing w:after="0"/>
        <w:rPr>
          <w:rFonts w:ascii="Garamond" w:hAnsi="Garamond" w:cstheme="minorHAnsi"/>
          <w:sz w:val="24"/>
          <w:szCs w:val="24"/>
          <w:lang w:val="en-GB"/>
        </w:rPr>
      </w:pPr>
    </w:p>
    <w:p w14:paraId="4A01CA2F" w14:textId="1A8492D1" w:rsidR="00C00066" w:rsidRPr="007550A0" w:rsidRDefault="00C00066" w:rsidP="002E34ED">
      <w:pPr>
        <w:jc w:val="both"/>
        <w:rPr>
          <w:rFonts w:ascii="Garamond" w:hAnsi="Garamond" w:cstheme="minorHAnsi"/>
          <w:sz w:val="24"/>
          <w:szCs w:val="24"/>
          <w:lang w:val="en-GB"/>
        </w:rPr>
      </w:pPr>
      <w:r w:rsidRPr="007550A0">
        <w:rPr>
          <w:rFonts w:ascii="Garamond" w:hAnsi="Garamond" w:cstheme="minorHAnsi"/>
          <w:sz w:val="24"/>
          <w:szCs w:val="24"/>
          <w:lang w:val="en-GB"/>
        </w:rPr>
        <w:t xml:space="preserve">The state of Pará, situated within the Amazon region, is home to unparalleled biodiversity and cultural wealth. Despite its natural abundance, Pará struggles with systemic socio-economic disparities, ranking among the bottom third of Brazilian states on the Human Development Index (HDI 0.69). These challenges are compounded by environmental threats such as deforestation, unsustainable agricultural practices, and limited market opportunities for rural producers. This project seeks to </w:t>
      </w:r>
      <w:r w:rsidR="00A9625A" w:rsidRPr="007550A0">
        <w:rPr>
          <w:rFonts w:ascii="Garamond" w:hAnsi="Garamond" w:cstheme="minorHAnsi"/>
          <w:sz w:val="24"/>
          <w:szCs w:val="24"/>
          <w:lang w:val="en-GB"/>
        </w:rPr>
        <w:t xml:space="preserve">support the economic and social development of Pará through </w:t>
      </w:r>
      <w:r w:rsidR="00C94F8D" w:rsidRPr="007550A0">
        <w:rPr>
          <w:rFonts w:ascii="Garamond" w:hAnsi="Garamond" w:cstheme="minorHAnsi"/>
          <w:sz w:val="24"/>
          <w:szCs w:val="24"/>
          <w:lang w:val="en-GB"/>
        </w:rPr>
        <w:t>gastronomic knowledge exchange</w:t>
      </w:r>
      <w:r w:rsidR="00A9625A" w:rsidRPr="007550A0">
        <w:rPr>
          <w:rFonts w:ascii="Garamond" w:hAnsi="Garamond" w:cstheme="minorHAnsi"/>
          <w:sz w:val="24"/>
          <w:szCs w:val="24"/>
          <w:lang w:val="en-GB"/>
        </w:rPr>
        <w:t>.</w:t>
      </w:r>
    </w:p>
    <w:p w14:paraId="6EE6E018" w14:textId="36F212CC" w:rsidR="00911F8E" w:rsidRPr="007550A0" w:rsidRDefault="00911F8E" w:rsidP="002E34ED">
      <w:pPr>
        <w:jc w:val="both"/>
        <w:rPr>
          <w:rFonts w:ascii="Garamond" w:hAnsi="Garamond" w:cstheme="minorHAnsi"/>
          <w:sz w:val="24"/>
          <w:szCs w:val="24"/>
          <w:lang w:val="en-GB"/>
        </w:rPr>
      </w:pPr>
      <w:r w:rsidRPr="007550A0">
        <w:rPr>
          <w:rFonts w:ascii="Garamond" w:hAnsi="Garamond" w:cstheme="minorHAnsi"/>
          <w:sz w:val="24"/>
          <w:szCs w:val="24"/>
          <w:lang w:val="en-GB"/>
        </w:rPr>
        <w:t>The cuisine of Pará stands out for its authenticity, originality and richness of flavours, earning respect and admiration both in Brazil and abroad. Renowned chefs seek ingredients and technical inspiration in Pará to enrich their menus, highlighting the influence of Pará</w:t>
      </w:r>
      <w:r w:rsidR="0095619E" w:rsidRPr="007550A0">
        <w:rPr>
          <w:rFonts w:ascii="Garamond" w:hAnsi="Garamond" w:cstheme="minorHAnsi"/>
          <w:sz w:val="24"/>
          <w:szCs w:val="24"/>
          <w:lang w:val="en-GB"/>
        </w:rPr>
        <w:t>’s</w:t>
      </w:r>
      <w:r w:rsidRPr="007550A0">
        <w:rPr>
          <w:rFonts w:ascii="Garamond" w:hAnsi="Garamond" w:cstheme="minorHAnsi"/>
          <w:sz w:val="24"/>
          <w:szCs w:val="24"/>
          <w:lang w:val="en-GB"/>
        </w:rPr>
        <w:t xml:space="preserve"> cuisine on the global gastronomic scene. </w:t>
      </w:r>
      <w:r w:rsidR="00C00066" w:rsidRPr="007550A0">
        <w:rPr>
          <w:rFonts w:ascii="Garamond" w:hAnsi="Garamond" w:cstheme="minorHAnsi"/>
          <w:sz w:val="24"/>
          <w:szCs w:val="24"/>
          <w:lang w:val="en-GB"/>
        </w:rPr>
        <w:t>Pará thus</w:t>
      </w:r>
      <w:r w:rsidRPr="007550A0">
        <w:rPr>
          <w:rFonts w:ascii="Garamond" w:hAnsi="Garamond" w:cstheme="minorHAnsi"/>
          <w:sz w:val="24"/>
          <w:szCs w:val="24"/>
          <w:lang w:val="en-GB"/>
        </w:rPr>
        <w:t xml:space="preserve"> plays a fundamental role in gastronomic tourism in Brazil, as evidenced by the recognition in 2015 of Belém, the capital of Pará, as a Creative City of Gastronomy by UNESCO, highlighting its cultural and culinary importance.</w:t>
      </w:r>
      <w:r w:rsidR="00D5708F" w:rsidRPr="007550A0">
        <w:rPr>
          <w:rFonts w:ascii="Garamond" w:hAnsi="Garamond" w:cstheme="minorHAnsi"/>
          <w:sz w:val="24"/>
          <w:szCs w:val="24"/>
          <w:lang w:val="en-GB"/>
        </w:rPr>
        <w:t xml:space="preserve"> </w:t>
      </w:r>
      <w:r w:rsidR="00C00066" w:rsidRPr="007550A0">
        <w:rPr>
          <w:rFonts w:ascii="Garamond" w:hAnsi="Garamond" w:cstheme="minorHAnsi"/>
          <w:sz w:val="24"/>
          <w:szCs w:val="24"/>
          <w:lang w:val="en-GB"/>
        </w:rPr>
        <w:t>According to a survey by the Brazilian Institute of Geography and Statistics (IBGE) released in September 2023, interest in gastronomic tourism in Brazil increased by 6.6% between 2020 and 2023. Belém stands out in this context, attracting visitors interested in its unique cuisine. The richness of Pará's gastronomy is not only a reflection of Brazil's cultural diversity, but a national and international heritage, with the potential to transform the economy, sustainability and image of Pará on the global stage.</w:t>
      </w:r>
      <w:r w:rsidR="001146CD" w:rsidRPr="007550A0">
        <w:rPr>
          <w:rFonts w:ascii="Garamond" w:hAnsi="Garamond" w:cstheme="minorHAnsi"/>
          <w:sz w:val="24"/>
          <w:szCs w:val="24"/>
          <w:lang w:val="en-GB"/>
        </w:rPr>
        <w:t xml:space="preserve"> Little has however been done so far to record, improve and deepen knowledge about </w:t>
      </w:r>
      <w:r w:rsidR="0095619E" w:rsidRPr="007550A0">
        <w:rPr>
          <w:rFonts w:ascii="Garamond" w:hAnsi="Garamond" w:cstheme="minorHAnsi"/>
          <w:sz w:val="24"/>
          <w:szCs w:val="24"/>
          <w:lang w:val="en-GB"/>
        </w:rPr>
        <w:t>the gastronomy,</w:t>
      </w:r>
      <w:r w:rsidR="001146CD" w:rsidRPr="007550A0">
        <w:rPr>
          <w:rFonts w:ascii="Garamond" w:hAnsi="Garamond" w:cstheme="minorHAnsi"/>
          <w:sz w:val="24"/>
          <w:szCs w:val="24"/>
          <w:lang w:val="en-GB"/>
        </w:rPr>
        <w:t xml:space="preserve"> socio-biodiversity and culinary techniques in Pará and the Amazon.</w:t>
      </w:r>
    </w:p>
    <w:p w14:paraId="08B315B9" w14:textId="1F1E50F3" w:rsidR="00EB2CDC" w:rsidRPr="007550A0" w:rsidRDefault="00404B7A" w:rsidP="002E34ED">
      <w:pPr>
        <w:jc w:val="both"/>
        <w:rPr>
          <w:rFonts w:ascii="Garamond" w:hAnsi="Garamond" w:cstheme="minorHAnsi"/>
          <w:sz w:val="24"/>
          <w:szCs w:val="24"/>
          <w:lang w:val="en-GB"/>
        </w:rPr>
      </w:pPr>
      <w:r w:rsidRPr="007550A0">
        <w:rPr>
          <w:rFonts w:ascii="Garamond" w:hAnsi="Garamond" w:cstheme="minorHAnsi"/>
          <w:sz w:val="24"/>
          <w:szCs w:val="24"/>
          <w:lang w:val="en-GB"/>
        </w:rPr>
        <w:lastRenderedPageBreak/>
        <w:t xml:space="preserve">It is worth noting that the socio-economic conditions of its population are adverse, considering that a survey </w:t>
      </w:r>
      <w:r w:rsidR="00851764" w:rsidRPr="007550A0">
        <w:rPr>
          <w:rFonts w:ascii="Garamond" w:hAnsi="Garamond" w:cstheme="minorHAnsi"/>
          <w:sz w:val="24"/>
          <w:szCs w:val="24"/>
          <w:lang w:val="en-GB"/>
        </w:rPr>
        <w:t xml:space="preserve">based on data from 2024 </w:t>
      </w:r>
      <w:r w:rsidRPr="007550A0">
        <w:rPr>
          <w:rFonts w:ascii="Garamond" w:hAnsi="Garamond" w:cstheme="minorHAnsi"/>
          <w:sz w:val="24"/>
          <w:szCs w:val="24"/>
          <w:lang w:val="en-GB"/>
        </w:rPr>
        <w:t>released by the Inter-Union Department of Statistics and Socio-Economic Studies (Dieese/PA) points out that 48.9% of young people in Pará, aged between 15 and 29, are outside the labour market. These figures represent three times the national average of unemployed people in this age group, illustrating a disproportionate picture of professional qualifications and income distribution in Brazil.</w:t>
      </w:r>
      <w:r w:rsidR="00401BE7" w:rsidRPr="007550A0">
        <w:rPr>
          <w:rFonts w:ascii="Garamond" w:hAnsi="Garamond" w:cstheme="minorHAnsi"/>
          <w:sz w:val="24"/>
          <w:szCs w:val="24"/>
          <w:lang w:val="en-GB"/>
        </w:rPr>
        <w:t xml:space="preserve"> </w:t>
      </w:r>
      <w:r w:rsidR="00911F8E" w:rsidRPr="007550A0">
        <w:rPr>
          <w:rFonts w:ascii="Garamond" w:hAnsi="Garamond" w:cstheme="minorHAnsi"/>
          <w:sz w:val="24"/>
          <w:szCs w:val="24"/>
          <w:lang w:val="en-GB"/>
        </w:rPr>
        <w:t xml:space="preserve">Studies </w:t>
      </w:r>
      <w:r w:rsidR="00401BE7" w:rsidRPr="007550A0">
        <w:rPr>
          <w:rFonts w:ascii="Garamond" w:hAnsi="Garamond" w:cstheme="minorHAnsi"/>
          <w:sz w:val="24"/>
          <w:szCs w:val="24"/>
          <w:lang w:val="en-GB"/>
        </w:rPr>
        <w:t xml:space="preserve">also </w:t>
      </w:r>
      <w:r w:rsidR="00911F8E" w:rsidRPr="007550A0">
        <w:rPr>
          <w:rFonts w:ascii="Garamond" w:hAnsi="Garamond" w:cstheme="minorHAnsi"/>
          <w:sz w:val="24"/>
          <w:szCs w:val="24"/>
          <w:lang w:val="en-GB"/>
        </w:rPr>
        <w:t>point to significant challenges, such as the high rate of informality (41%) and the low qualification of the workforce, factors that compromise business competitiveness and the growth of the entire food production chain.</w:t>
      </w:r>
      <w:r w:rsidRPr="007550A0">
        <w:rPr>
          <w:rFonts w:ascii="Garamond" w:hAnsi="Garamond" w:cstheme="minorHAnsi"/>
          <w:sz w:val="24"/>
          <w:szCs w:val="24"/>
          <w:lang w:val="en-GB"/>
        </w:rPr>
        <w:t xml:space="preserve"> </w:t>
      </w:r>
      <w:r w:rsidR="000E4F91" w:rsidRPr="007550A0">
        <w:rPr>
          <w:rFonts w:ascii="Garamond" w:hAnsi="Garamond" w:cstheme="minorHAnsi"/>
          <w:sz w:val="24"/>
          <w:szCs w:val="24"/>
          <w:lang w:val="en-GB"/>
        </w:rPr>
        <w:t>These challenges also affect the quality, the nutritional value, as well as the safe and hygienic handling of food in the gastronomic sector, contributing to health problems in the population.</w:t>
      </w:r>
    </w:p>
    <w:p w14:paraId="3095DB71" w14:textId="69143CA9" w:rsidR="00911F8E" w:rsidRPr="007550A0" w:rsidRDefault="00404B7A" w:rsidP="002E34ED">
      <w:pPr>
        <w:jc w:val="both"/>
        <w:rPr>
          <w:rFonts w:ascii="Garamond" w:hAnsi="Garamond" w:cstheme="minorHAnsi"/>
          <w:sz w:val="24"/>
          <w:szCs w:val="24"/>
          <w:lang w:val="en-GB"/>
        </w:rPr>
      </w:pPr>
      <w:r w:rsidRPr="007550A0">
        <w:rPr>
          <w:rFonts w:ascii="Garamond" w:hAnsi="Garamond" w:cstheme="minorHAnsi"/>
          <w:sz w:val="24"/>
          <w:szCs w:val="24"/>
          <w:lang w:val="en-GB"/>
        </w:rPr>
        <w:t xml:space="preserve">With nearly 49% of Pará’s youth outside the </w:t>
      </w:r>
      <w:r w:rsidR="00EB2CDC" w:rsidRPr="007550A0">
        <w:rPr>
          <w:rFonts w:ascii="Garamond" w:hAnsi="Garamond" w:cstheme="minorHAnsi"/>
          <w:sz w:val="24"/>
          <w:szCs w:val="24"/>
          <w:lang w:val="en-GB"/>
        </w:rPr>
        <w:t>labour</w:t>
      </w:r>
      <w:r w:rsidRPr="007550A0">
        <w:rPr>
          <w:rFonts w:ascii="Garamond" w:hAnsi="Garamond" w:cstheme="minorHAnsi"/>
          <w:sz w:val="24"/>
          <w:szCs w:val="24"/>
          <w:lang w:val="en-GB"/>
        </w:rPr>
        <w:t xml:space="preserve"> market and a large share of the food sector operating with low skills and limited innovation, the lack of structured training and professional pathways undermines economic potential and reinforces inequality. At the same time, Pará’s sociobiodiversity represents a unique opportunity for inclusive and sustainable growth. The rise in demand for healthy, natural, and traceable foods</w:t>
      </w:r>
      <w:r w:rsidR="005F1D6D" w:rsidRPr="007550A0">
        <w:rPr>
          <w:rFonts w:ascii="Garamond" w:hAnsi="Garamond" w:cstheme="minorHAnsi"/>
          <w:sz w:val="24"/>
          <w:szCs w:val="24"/>
          <w:lang w:val="en-GB"/>
        </w:rPr>
        <w:t>,</w:t>
      </w:r>
      <w:r w:rsidRPr="007550A0">
        <w:rPr>
          <w:rFonts w:ascii="Garamond" w:hAnsi="Garamond" w:cstheme="minorHAnsi"/>
          <w:sz w:val="24"/>
          <w:szCs w:val="24"/>
          <w:lang w:val="en-GB"/>
        </w:rPr>
        <w:t xml:space="preserve"> combined with the expansion of the </w:t>
      </w:r>
      <w:r w:rsidR="005F1D6D" w:rsidRPr="007550A0">
        <w:rPr>
          <w:rFonts w:ascii="Garamond" w:hAnsi="Garamond" w:cstheme="minorHAnsi"/>
          <w:sz w:val="24"/>
          <w:szCs w:val="24"/>
          <w:lang w:val="en-GB"/>
        </w:rPr>
        <w:t>eating out</w:t>
      </w:r>
      <w:r w:rsidRPr="007550A0">
        <w:rPr>
          <w:rFonts w:ascii="Garamond" w:hAnsi="Garamond" w:cstheme="minorHAnsi"/>
          <w:sz w:val="24"/>
          <w:szCs w:val="24"/>
          <w:lang w:val="en-GB"/>
        </w:rPr>
        <w:t xml:space="preserve"> sector creates conditions </w:t>
      </w:r>
      <w:r w:rsidR="00C00066" w:rsidRPr="007550A0">
        <w:rPr>
          <w:rFonts w:ascii="Garamond" w:hAnsi="Garamond" w:cstheme="minorHAnsi"/>
          <w:sz w:val="24"/>
          <w:szCs w:val="24"/>
          <w:lang w:val="en-GB"/>
        </w:rPr>
        <w:t>to</w:t>
      </w:r>
      <w:r w:rsidRPr="007550A0">
        <w:rPr>
          <w:rFonts w:ascii="Garamond" w:hAnsi="Garamond" w:cstheme="minorHAnsi"/>
          <w:sz w:val="24"/>
          <w:szCs w:val="24"/>
          <w:lang w:val="en-GB"/>
        </w:rPr>
        <w:t xml:space="preserve"> address</w:t>
      </w:r>
      <w:r w:rsidR="005F1D6D" w:rsidRPr="007550A0">
        <w:rPr>
          <w:rFonts w:ascii="Garamond" w:hAnsi="Garamond" w:cstheme="minorHAnsi"/>
          <w:sz w:val="24"/>
          <w:szCs w:val="24"/>
          <w:lang w:val="en-GB"/>
        </w:rPr>
        <w:t xml:space="preserve"> </w:t>
      </w:r>
      <w:r w:rsidRPr="007550A0">
        <w:rPr>
          <w:rFonts w:ascii="Garamond" w:hAnsi="Garamond" w:cstheme="minorHAnsi"/>
          <w:sz w:val="24"/>
          <w:szCs w:val="24"/>
          <w:lang w:val="en-GB"/>
        </w:rPr>
        <w:t>a structural gap in one of Brazil’s most culturally rich yet socioeconomically vulnerable regions.</w:t>
      </w:r>
    </w:p>
    <w:p w14:paraId="694C2C11" w14:textId="55F31681" w:rsidR="002E34ED" w:rsidRPr="007550A0" w:rsidRDefault="00070F3B" w:rsidP="00FA2673">
      <w:pPr>
        <w:jc w:val="both"/>
        <w:rPr>
          <w:rFonts w:ascii="Garamond" w:hAnsi="Garamond" w:cstheme="minorHAnsi"/>
          <w:sz w:val="24"/>
          <w:szCs w:val="24"/>
          <w:lang w:val="en-GB"/>
        </w:rPr>
      </w:pPr>
      <w:r w:rsidRPr="007550A0">
        <w:rPr>
          <w:rFonts w:ascii="Garamond" w:hAnsi="Garamond" w:cstheme="minorHAnsi"/>
          <w:sz w:val="24"/>
          <w:szCs w:val="24"/>
          <w:lang w:val="en-GB"/>
        </w:rPr>
        <w:t xml:space="preserve">The </w:t>
      </w:r>
      <w:r w:rsidR="006678B8" w:rsidRPr="007550A0">
        <w:rPr>
          <w:rFonts w:ascii="Garamond" w:hAnsi="Garamond" w:cstheme="minorHAnsi"/>
          <w:sz w:val="24"/>
          <w:szCs w:val="24"/>
          <w:lang w:val="en-GB"/>
        </w:rPr>
        <w:t xml:space="preserve">funding of the </w:t>
      </w:r>
      <w:r w:rsidRPr="007550A0">
        <w:rPr>
          <w:rFonts w:ascii="Garamond" w:hAnsi="Garamond" w:cstheme="minorHAnsi"/>
          <w:sz w:val="24"/>
          <w:szCs w:val="24"/>
          <w:lang w:val="en-GB"/>
        </w:rPr>
        <w:t xml:space="preserve">project </w:t>
      </w:r>
      <w:r w:rsidR="003979A8" w:rsidRPr="007550A0">
        <w:rPr>
          <w:rFonts w:ascii="Garamond" w:hAnsi="Garamond" w:cstheme="minorHAnsi"/>
          <w:sz w:val="24"/>
          <w:szCs w:val="24"/>
          <w:lang w:val="en-GB"/>
        </w:rPr>
        <w:t>originates</w:t>
      </w:r>
      <w:r w:rsidR="006678B8" w:rsidRPr="007550A0">
        <w:rPr>
          <w:rFonts w:ascii="Garamond" w:hAnsi="Garamond" w:cstheme="minorHAnsi"/>
          <w:sz w:val="24"/>
          <w:szCs w:val="24"/>
          <w:lang w:val="en-GB"/>
        </w:rPr>
        <w:t xml:space="preserve"> from</w:t>
      </w:r>
      <w:r w:rsidRPr="007550A0">
        <w:rPr>
          <w:rFonts w:ascii="Garamond" w:hAnsi="Garamond" w:cstheme="minorHAnsi"/>
          <w:sz w:val="24"/>
          <w:szCs w:val="24"/>
          <w:lang w:val="en-GB"/>
        </w:rPr>
        <w:t xml:space="preserve"> the </w:t>
      </w:r>
      <w:r w:rsidR="003979A8" w:rsidRPr="007550A0">
        <w:rPr>
          <w:rFonts w:ascii="Garamond" w:hAnsi="Garamond" w:cstheme="minorHAnsi"/>
          <w:sz w:val="24"/>
          <w:szCs w:val="24"/>
          <w:lang w:val="en-GB"/>
        </w:rPr>
        <w:t>‘</w:t>
      </w:r>
      <w:r w:rsidRPr="007550A0">
        <w:rPr>
          <w:rFonts w:ascii="Garamond" w:hAnsi="Garamond" w:cstheme="minorHAnsi"/>
          <w:sz w:val="24"/>
          <w:szCs w:val="24"/>
          <w:lang w:val="en-GB"/>
        </w:rPr>
        <w:t xml:space="preserve">Sustainable Development Goals </w:t>
      </w:r>
      <w:r w:rsidR="006678B8" w:rsidRPr="007550A0">
        <w:rPr>
          <w:rFonts w:ascii="Garamond" w:hAnsi="Garamond" w:cstheme="minorHAnsi"/>
          <w:sz w:val="24"/>
          <w:szCs w:val="24"/>
          <w:lang w:val="en-GB"/>
        </w:rPr>
        <w:t>Facility</w:t>
      </w:r>
      <w:r w:rsidR="003979A8" w:rsidRPr="007550A0">
        <w:rPr>
          <w:rFonts w:ascii="Garamond" w:hAnsi="Garamond" w:cstheme="minorHAnsi"/>
          <w:sz w:val="24"/>
          <w:szCs w:val="24"/>
          <w:lang w:val="en-GB"/>
        </w:rPr>
        <w:t>’</w:t>
      </w:r>
      <w:r w:rsidR="006678B8" w:rsidRPr="007550A0">
        <w:rPr>
          <w:rFonts w:ascii="Garamond" w:hAnsi="Garamond" w:cstheme="minorHAnsi"/>
          <w:sz w:val="24"/>
          <w:szCs w:val="24"/>
          <w:lang w:val="en-GB"/>
        </w:rPr>
        <w:t xml:space="preserve"> (SDGF)</w:t>
      </w:r>
      <w:r w:rsidR="003979A8" w:rsidRPr="007550A0">
        <w:rPr>
          <w:rFonts w:ascii="Garamond" w:hAnsi="Garamond" w:cstheme="minorHAnsi"/>
          <w:sz w:val="24"/>
          <w:szCs w:val="24"/>
          <w:lang w:val="en-GB"/>
        </w:rPr>
        <w:t xml:space="preserve"> engagement window. Funding through this window covers activities with a strategic focus on SDGs in line with Denmark’s current Strategy for Development Cooperation – “A Changing World: Partnerships in Development” launched in 2025</w:t>
      </w:r>
      <w:r w:rsidR="00435178" w:rsidRPr="007550A0">
        <w:rPr>
          <w:rFonts w:ascii="Garamond" w:hAnsi="Garamond" w:cstheme="minorHAnsi"/>
          <w:sz w:val="24"/>
          <w:szCs w:val="24"/>
          <w:lang w:val="en-GB"/>
        </w:rPr>
        <w:t xml:space="preserve">. Among the prioritised </w:t>
      </w:r>
      <w:r w:rsidR="00FA2673" w:rsidRPr="007550A0">
        <w:rPr>
          <w:rFonts w:ascii="Garamond" w:hAnsi="Garamond" w:cstheme="minorHAnsi"/>
          <w:sz w:val="24"/>
          <w:szCs w:val="24"/>
          <w:lang w:val="en-GB"/>
        </w:rPr>
        <w:t xml:space="preserve">focus </w:t>
      </w:r>
      <w:r w:rsidR="00435178" w:rsidRPr="007550A0">
        <w:rPr>
          <w:rFonts w:ascii="Garamond" w:hAnsi="Garamond" w:cstheme="minorHAnsi"/>
          <w:sz w:val="24"/>
          <w:szCs w:val="24"/>
          <w:lang w:val="en-GB"/>
        </w:rPr>
        <w:t xml:space="preserve">areas of the strategy, the </w:t>
      </w:r>
      <w:r w:rsidR="00FA2673" w:rsidRPr="007550A0">
        <w:rPr>
          <w:rFonts w:ascii="Garamond" w:hAnsi="Garamond" w:cstheme="minorHAnsi"/>
          <w:sz w:val="24"/>
          <w:szCs w:val="24"/>
          <w:lang w:val="en-GB"/>
        </w:rPr>
        <w:t xml:space="preserve">aim of the </w:t>
      </w:r>
      <w:r w:rsidR="00435178" w:rsidRPr="007550A0">
        <w:rPr>
          <w:rFonts w:ascii="Garamond" w:hAnsi="Garamond" w:cstheme="minorHAnsi"/>
          <w:sz w:val="24"/>
          <w:szCs w:val="24"/>
          <w:lang w:val="en-GB"/>
        </w:rPr>
        <w:t xml:space="preserve">gastronomic project </w:t>
      </w:r>
      <w:r w:rsidR="00FA2673" w:rsidRPr="007550A0">
        <w:rPr>
          <w:rFonts w:ascii="Garamond" w:hAnsi="Garamond" w:cstheme="minorHAnsi"/>
          <w:sz w:val="24"/>
          <w:szCs w:val="24"/>
          <w:lang w:val="en-GB"/>
        </w:rPr>
        <w:t>is to</w:t>
      </w:r>
      <w:r w:rsidR="002E34ED" w:rsidRPr="007550A0">
        <w:rPr>
          <w:rFonts w:ascii="Garamond" w:hAnsi="Garamond" w:cstheme="minorHAnsi"/>
          <w:sz w:val="24"/>
          <w:szCs w:val="24"/>
          <w:lang w:val="en-GB"/>
        </w:rPr>
        <w:t xml:space="preserve"> s</w:t>
      </w:r>
      <w:r w:rsidR="00435178" w:rsidRPr="007550A0">
        <w:rPr>
          <w:rFonts w:ascii="Garamond" w:hAnsi="Garamond" w:cstheme="minorHAnsi"/>
          <w:sz w:val="24"/>
          <w:szCs w:val="24"/>
          <w:lang w:val="en-GB"/>
        </w:rPr>
        <w:t xml:space="preserve">upport </w:t>
      </w:r>
      <w:r w:rsidR="002E34ED" w:rsidRPr="007550A0">
        <w:rPr>
          <w:rFonts w:ascii="Garamond" w:hAnsi="Garamond" w:cstheme="minorHAnsi"/>
          <w:sz w:val="24"/>
          <w:szCs w:val="24"/>
          <w:lang w:val="en-GB"/>
        </w:rPr>
        <w:t>the focus</w:t>
      </w:r>
      <w:r w:rsidR="00FA2673" w:rsidRPr="007550A0">
        <w:rPr>
          <w:rFonts w:ascii="Garamond" w:hAnsi="Garamond" w:cstheme="minorHAnsi"/>
          <w:sz w:val="24"/>
          <w:szCs w:val="24"/>
          <w:lang w:val="en-GB"/>
        </w:rPr>
        <w:t xml:space="preserve"> areas</w:t>
      </w:r>
      <w:r w:rsidR="002E34ED" w:rsidRPr="007550A0">
        <w:rPr>
          <w:rFonts w:ascii="Garamond" w:hAnsi="Garamond" w:cstheme="minorHAnsi"/>
          <w:sz w:val="24"/>
          <w:szCs w:val="24"/>
          <w:lang w:val="en-GB"/>
        </w:rPr>
        <w:t xml:space="preserve"> o</w:t>
      </w:r>
      <w:r w:rsidR="00FA2673" w:rsidRPr="007550A0">
        <w:rPr>
          <w:rFonts w:ascii="Garamond" w:hAnsi="Garamond" w:cstheme="minorHAnsi"/>
          <w:sz w:val="24"/>
          <w:szCs w:val="24"/>
          <w:lang w:val="en-GB"/>
        </w:rPr>
        <w:t>f</w:t>
      </w:r>
      <w:r w:rsidR="002E34ED" w:rsidRPr="007550A0">
        <w:rPr>
          <w:rFonts w:ascii="Garamond" w:hAnsi="Garamond" w:cstheme="minorHAnsi"/>
          <w:sz w:val="24"/>
          <w:szCs w:val="24"/>
          <w:lang w:val="en-GB"/>
        </w:rPr>
        <w:t xml:space="preserve"> economic growth, education, health and job creation, including the many new young people entering the labour market</w:t>
      </w:r>
      <w:r w:rsidR="00435178" w:rsidRPr="007550A0">
        <w:rPr>
          <w:rFonts w:ascii="Garamond" w:hAnsi="Garamond" w:cstheme="minorHAnsi"/>
          <w:sz w:val="24"/>
          <w:szCs w:val="24"/>
          <w:lang w:val="en-GB"/>
        </w:rPr>
        <w:t xml:space="preserve">, as well as </w:t>
      </w:r>
      <w:r w:rsidR="002E34ED" w:rsidRPr="007550A0">
        <w:rPr>
          <w:rFonts w:ascii="Garamond" w:hAnsi="Garamond" w:cstheme="minorHAnsi"/>
          <w:sz w:val="24"/>
          <w:szCs w:val="24"/>
          <w:lang w:val="en-GB"/>
        </w:rPr>
        <w:t xml:space="preserve">the promotion of </w:t>
      </w:r>
      <w:r w:rsidR="00435178" w:rsidRPr="007550A0">
        <w:rPr>
          <w:rFonts w:ascii="Garamond" w:hAnsi="Garamond" w:cstheme="minorHAnsi"/>
          <w:sz w:val="24"/>
          <w:szCs w:val="24"/>
          <w:lang w:val="en-GB"/>
        </w:rPr>
        <w:t>a just</w:t>
      </w:r>
      <w:r w:rsidR="00FA2673" w:rsidRPr="007550A0">
        <w:rPr>
          <w:rFonts w:ascii="Garamond" w:hAnsi="Garamond" w:cstheme="minorHAnsi"/>
          <w:sz w:val="24"/>
          <w:szCs w:val="24"/>
          <w:lang w:val="en-GB"/>
        </w:rPr>
        <w:t>,</w:t>
      </w:r>
      <w:r w:rsidR="00435178" w:rsidRPr="007550A0">
        <w:rPr>
          <w:rFonts w:ascii="Garamond" w:hAnsi="Garamond" w:cstheme="minorHAnsi"/>
          <w:sz w:val="24"/>
          <w:szCs w:val="24"/>
          <w:lang w:val="en-GB"/>
        </w:rPr>
        <w:t xml:space="preserve"> sustainable, and green transition</w:t>
      </w:r>
      <w:r w:rsidR="003979A8" w:rsidRPr="007550A0">
        <w:rPr>
          <w:rFonts w:ascii="Garamond" w:hAnsi="Garamond" w:cstheme="minorHAnsi"/>
          <w:sz w:val="24"/>
          <w:szCs w:val="24"/>
          <w:lang w:val="en-GB"/>
        </w:rPr>
        <w:t xml:space="preserve">. </w:t>
      </w:r>
      <w:r w:rsidR="00FA2673" w:rsidRPr="007550A0">
        <w:rPr>
          <w:rFonts w:ascii="Garamond" w:hAnsi="Garamond" w:cstheme="minorHAnsi"/>
          <w:sz w:val="24"/>
          <w:szCs w:val="24"/>
          <w:lang w:val="en-GB"/>
        </w:rPr>
        <w:t xml:space="preserve">In terms of economic growth, </w:t>
      </w:r>
      <w:r w:rsidR="002E34ED" w:rsidRPr="007550A0">
        <w:rPr>
          <w:rFonts w:ascii="Garamond" w:hAnsi="Garamond" w:cstheme="minorHAnsi"/>
          <w:sz w:val="24"/>
          <w:szCs w:val="24"/>
          <w:lang w:val="en-GB"/>
        </w:rPr>
        <w:t>Denmark seeks to strengthen and develop sustainable value chains that create local jobs, support entrepreneurship to create more local jobs and growth opportunities and intensify focus on job creation for young people</w:t>
      </w:r>
      <w:r w:rsidR="00FA2673" w:rsidRPr="007550A0">
        <w:rPr>
          <w:rFonts w:ascii="Garamond" w:hAnsi="Garamond" w:cstheme="minorHAnsi"/>
          <w:sz w:val="24"/>
          <w:szCs w:val="24"/>
          <w:lang w:val="en-GB"/>
        </w:rPr>
        <w:t>. In terms of a just, sustainable, and green transition Denmark seeks to p</w:t>
      </w:r>
      <w:r w:rsidR="002E34ED" w:rsidRPr="007550A0">
        <w:rPr>
          <w:rFonts w:ascii="Garamond" w:hAnsi="Garamond" w:cstheme="minorHAnsi"/>
          <w:sz w:val="24"/>
          <w:szCs w:val="24"/>
          <w:lang w:val="en-GB"/>
        </w:rPr>
        <w:t xml:space="preserve">rotect and involve Indigenous Peoples to ensure </w:t>
      </w:r>
      <w:r w:rsidR="00FA2673" w:rsidRPr="007550A0">
        <w:rPr>
          <w:rFonts w:ascii="Garamond" w:hAnsi="Garamond" w:cstheme="minorHAnsi"/>
          <w:sz w:val="24"/>
          <w:szCs w:val="24"/>
          <w:lang w:val="en-GB"/>
        </w:rPr>
        <w:t xml:space="preserve">that </w:t>
      </w:r>
      <w:r w:rsidR="002E34ED" w:rsidRPr="007550A0">
        <w:rPr>
          <w:rFonts w:ascii="Garamond" w:hAnsi="Garamond" w:cstheme="minorHAnsi"/>
          <w:sz w:val="24"/>
          <w:szCs w:val="24"/>
          <w:lang w:val="en-GB"/>
        </w:rPr>
        <w:t>sustainable efforts</w:t>
      </w:r>
      <w:r w:rsidR="00FA2673" w:rsidRPr="007550A0">
        <w:rPr>
          <w:rFonts w:ascii="Garamond" w:hAnsi="Garamond" w:cstheme="minorHAnsi"/>
          <w:sz w:val="24"/>
          <w:szCs w:val="24"/>
          <w:lang w:val="en-GB"/>
        </w:rPr>
        <w:t xml:space="preserve"> are guided by local needs. Regarding </w:t>
      </w:r>
      <w:r w:rsidR="00EB2CDC" w:rsidRPr="007550A0">
        <w:rPr>
          <w:rFonts w:ascii="Garamond" w:hAnsi="Garamond" w:cstheme="minorHAnsi"/>
          <w:sz w:val="24"/>
          <w:szCs w:val="24"/>
          <w:lang w:val="en-GB"/>
        </w:rPr>
        <w:t xml:space="preserve">the focus on </w:t>
      </w:r>
      <w:r w:rsidR="00FA2673" w:rsidRPr="007550A0">
        <w:rPr>
          <w:rFonts w:ascii="Garamond" w:hAnsi="Garamond" w:cstheme="minorHAnsi"/>
          <w:sz w:val="24"/>
          <w:szCs w:val="24"/>
          <w:lang w:val="en-GB"/>
        </w:rPr>
        <w:t>education and health, Denmark will strengthen education and health systems for development and for sustainable growth and job creation, work for better access to vocational education programmes and strengthen cooperation between the education system, labour and employer organisations, companies, and authorities.</w:t>
      </w:r>
    </w:p>
    <w:p w14:paraId="161343F3" w14:textId="253B9E00" w:rsidR="00070F3B" w:rsidRPr="007550A0" w:rsidRDefault="002E34ED" w:rsidP="002E34ED">
      <w:pPr>
        <w:jc w:val="both"/>
        <w:rPr>
          <w:rFonts w:ascii="Garamond" w:hAnsi="Garamond" w:cstheme="minorHAnsi"/>
          <w:sz w:val="24"/>
          <w:szCs w:val="24"/>
          <w:lang w:val="en-GB"/>
        </w:rPr>
      </w:pPr>
      <w:r w:rsidRPr="007550A0">
        <w:rPr>
          <w:rFonts w:ascii="Garamond" w:hAnsi="Garamond" w:cstheme="minorHAnsi"/>
          <w:sz w:val="24"/>
          <w:szCs w:val="24"/>
          <w:lang w:val="en-GB"/>
        </w:rPr>
        <w:lastRenderedPageBreak/>
        <w:t>Furthermore, t</w:t>
      </w:r>
      <w:r w:rsidR="006678B8" w:rsidRPr="007550A0">
        <w:rPr>
          <w:rFonts w:ascii="Garamond" w:hAnsi="Garamond" w:cstheme="minorHAnsi"/>
          <w:sz w:val="24"/>
          <w:szCs w:val="24"/>
          <w:lang w:val="en-GB"/>
        </w:rPr>
        <w:t xml:space="preserve">he project </w:t>
      </w:r>
      <w:r w:rsidR="00EB2CDC" w:rsidRPr="007550A0">
        <w:rPr>
          <w:rFonts w:ascii="Garamond" w:hAnsi="Garamond" w:cstheme="minorHAnsi"/>
          <w:sz w:val="24"/>
          <w:szCs w:val="24"/>
          <w:lang w:val="en-GB"/>
        </w:rPr>
        <w:t>supports</w:t>
      </w:r>
      <w:r w:rsidR="006678B8" w:rsidRPr="007550A0">
        <w:rPr>
          <w:rFonts w:ascii="Garamond" w:hAnsi="Garamond" w:cstheme="minorHAnsi"/>
          <w:sz w:val="24"/>
          <w:szCs w:val="24"/>
          <w:lang w:val="en-GB"/>
        </w:rPr>
        <w:t xml:space="preserve"> the following Sustainable Development Goals through</w:t>
      </w:r>
      <w:r w:rsidR="00070F3B" w:rsidRPr="007550A0">
        <w:rPr>
          <w:rFonts w:ascii="Garamond" w:hAnsi="Garamond" w:cstheme="minorHAnsi"/>
          <w:sz w:val="24"/>
          <w:szCs w:val="24"/>
          <w:lang w:val="en-GB"/>
        </w:rPr>
        <w:t>:</w:t>
      </w:r>
    </w:p>
    <w:p w14:paraId="135C4B76" w14:textId="655D0F95" w:rsidR="001E7BA5" w:rsidRPr="007550A0" w:rsidRDefault="001E7BA5" w:rsidP="00EB2CDC">
      <w:pPr>
        <w:pStyle w:val="Listeafsnit"/>
        <w:numPr>
          <w:ilvl w:val="0"/>
          <w:numId w:val="33"/>
        </w:numPr>
        <w:jc w:val="both"/>
        <w:rPr>
          <w:rFonts w:ascii="Garamond" w:hAnsi="Garamond" w:cstheme="minorHAnsi"/>
          <w:sz w:val="24"/>
          <w:szCs w:val="24"/>
          <w:lang w:val="en-GB"/>
        </w:rPr>
      </w:pPr>
      <w:r w:rsidRPr="007550A0">
        <w:rPr>
          <w:rFonts w:ascii="Garamond" w:hAnsi="Garamond" w:cstheme="minorHAnsi"/>
          <w:sz w:val="24"/>
          <w:szCs w:val="24"/>
          <w:lang w:val="en-GB"/>
        </w:rPr>
        <w:t>SDG 3 Good Health and Well-being: Promote healthy living and well-being through the mindful use, handling and transformation of local ingredients.</w:t>
      </w:r>
    </w:p>
    <w:p w14:paraId="7C226CA8" w14:textId="711024AF" w:rsidR="00070F3B" w:rsidRPr="007550A0" w:rsidRDefault="00070F3B" w:rsidP="00EB2CDC">
      <w:pPr>
        <w:pStyle w:val="Listeafsnit"/>
        <w:numPr>
          <w:ilvl w:val="0"/>
          <w:numId w:val="33"/>
        </w:numPr>
        <w:jc w:val="both"/>
        <w:rPr>
          <w:rFonts w:ascii="Garamond" w:hAnsi="Garamond" w:cstheme="minorHAnsi"/>
          <w:sz w:val="24"/>
          <w:szCs w:val="24"/>
          <w:lang w:val="en-GB"/>
        </w:rPr>
      </w:pPr>
      <w:r w:rsidRPr="007550A0">
        <w:rPr>
          <w:rFonts w:ascii="Garamond" w:hAnsi="Garamond" w:cstheme="minorHAnsi"/>
          <w:sz w:val="24"/>
          <w:szCs w:val="24"/>
          <w:lang w:val="en-GB"/>
        </w:rPr>
        <w:t>SDG 4 Quality Education: Providing high-quality, market-relevant vocational training in gastronomy and hospitality for vulnerable youth.</w:t>
      </w:r>
    </w:p>
    <w:p w14:paraId="4FAF6FC0" w14:textId="56366B98" w:rsidR="00070F3B" w:rsidRPr="007550A0" w:rsidRDefault="00070F3B" w:rsidP="00EB2CDC">
      <w:pPr>
        <w:pStyle w:val="Listeafsnit"/>
        <w:numPr>
          <w:ilvl w:val="0"/>
          <w:numId w:val="33"/>
        </w:numPr>
        <w:jc w:val="both"/>
        <w:rPr>
          <w:rFonts w:ascii="Garamond" w:hAnsi="Garamond" w:cstheme="minorHAnsi"/>
          <w:sz w:val="24"/>
          <w:szCs w:val="24"/>
          <w:lang w:val="en-GB"/>
        </w:rPr>
      </w:pPr>
      <w:r w:rsidRPr="007550A0">
        <w:rPr>
          <w:rFonts w:ascii="Garamond" w:hAnsi="Garamond" w:cstheme="minorHAnsi"/>
          <w:sz w:val="24"/>
          <w:szCs w:val="24"/>
          <w:lang w:val="en-GB"/>
        </w:rPr>
        <w:t>SDG 8 Decent Work and Economic Growth: Generating new employment and entrepreneurship opportunities in the hospitality and tourism sector.</w:t>
      </w:r>
      <w:r w:rsidR="00902E4A" w:rsidRPr="007550A0">
        <w:rPr>
          <w:lang w:val="en-US"/>
        </w:rPr>
        <w:t xml:space="preserve"> </w:t>
      </w:r>
      <w:r w:rsidR="00902E4A" w:rsidRPr="007550A0">
        <w:rPr>
          <w:rFonts w:ascii="Garamond" w:hAnsi="Garamond" w:cstheme="minorHAnsi"/>
          <w:sz w:val="24"/>
          <w:szCs w:val="24"/>
          <w:lang w:val="en-GB"/>
        </w:rPr>
        <w:t>The project contributes to economic development and welfare by increasing employability, enhancing local value creation in the food sector, and promoting green and inclusive growth in the Amazon region.</w:t>
      </w:r>
    </w:p>
    <w:p w14:paraId="185F095F" w14:textId="72B99B77" w:rsidR="00070F3B" w:rsidRPr="007550A0" w:rsidRDefault="00070F3B" w:rsidP="00EB2CDC">
      <w:pPr>
        <w:pStyle w:val="Listeafsnit"/>
        <w:numPr>
          <w:ilvl w:val="0"/>
          <w:numId w:val="33"/>
        </w:numPr>
        <w:jc w:val="both"/>
        <w:rPr>
          <w:rFonts w:ascii="Garamond" w:hAnsi="Garamond" w:cstheme="minorHAnsi"/>
          <w:sz w:val="24"/>
          <w:szCs w:val="24"/>
          <w:lang w:val="en-GB"/>
        </w:rPr>
      </w:pPr>
      <w:r w:rsidRPr="007550A0">
        <w:rPr>
          <w:rFonts w:ascii="Garamond" w:hAnsi="Garamond" w:cstheme="minorHAnsi"/>
          <w:sz w:val="24"/>
          <w:szCs w:val="24"/>
          <w:lang w:val="en-GB"/>
        </w:rPr>
        <w:t>SDG 10 Reduced Inequalities: Promoting social inclusion and access to skills for youth from disadvantaged backgrounds.</w:t>
      </w:r>
    </w:p>
    <w:p w14:paraId="10F73537" w14:textId="20072262" w:rsidR="00070F3B" w:rsidRPr="007550A0" w:rsidRDefault="00070F3B" w:rsidP="00EB2CDC">
      <w:pPr>
        <w:pStyle w:val="Listeafsnit"/>
        <w:numPr>
          <w:ilvl w:val="0"/>
          <w:numId w:val="33"/>
        </w:numPr>
        <w:jc w:val="both"/>
        <w:rPr>
          <w:rFonts w:ascii="Garamond" w:hAnsi="Garamond" w:cstheme="minorHAnsi"/>
          <w:sz w:val="24"/>
          <w:szCs w:val="24"/>
          <w:lang w:val="en-GB"/>
        </w:rPr>
      </w:pPr>
      <w:r w:rsidRPr="007550A0">
        <w:rPr>
          <w:rFonts w:ascii="Garamond" w:hAnsi="Garamond" w:cstheme="minorHAnsi"/>
          <w:sz w:val="24"/>
          <w:szCs w:val="24"/>
          <w:lang w:val="en-GB"/>
        </w:rPr>
        <w:t>SDG 12 Responsible Consumption and Production: Encouraging sustainable sourcing, biodiversity protection, and reduced food waste.</w:t>
      </w:r>
    </w:p>
    <w:p w14:paraId="4EDAF5F3" w14:textId="009F3050" w:rsidR="00B43991" w:rsidRPr="007550A0" w:rsidRDefault="00070F3B" w:rsidP="002E34ED">
      <w:pPr>
        <w:pStyle w:val="Listeafsnit"/>
        <w:numPr>
          <w:ilvl w:val="0"/>
          <w:numId w:val="33"/>
        </w:numPr>
        <w:jc w:val="both"/>
        <w:rPr>
          <w:rFonts w:ascii="Garamond" w:hAnsi="Garamond" w:cstheme="minorHAnsi"/>
          <w:sz w:val="24"/>
          <w:szCs w:val="24"/>
          <w:lang w:val="en-GB"/>
        </w:rPr>
      </w:pPr>
      <w:r w:rsidRPr="007550A0">
        <w:rPr>
          <w:rFonts w:ascii="Garamond" w:hAnsi="Garamond" w:cstheme="minorHAnsi"/>
          <w:sz w:val="24"/>
          <w:szCs w:val="24"/>
          <w:lang w:val="en-GB"/>
        </w:rPr>
        <w:t>SDG 17 Partnerships for the Goals: Building a strong North-South partnership between Danish and Brazilian institutions for sustainable development.</w:t>
      </w:r>
    </w:p>
    <w:p w14:paraId="47034C40" w14:textId="48C4A610" w:rsidR="00A76863" w:rsidRPr="007550A0" w:rsidRDefault="00CD4902" w:rsidP="00A76863">
      <w:pPr>
        <w:spacing w:after="0"/>
        <w:rPr>
          <w:rFonts w:ascii="Garamond" w:hAnsi="Garamond" w:cstheme="minorHAnsi"/>
          <w:sz w:val="24"/>
          <w:szCs w:val="24"/>
          <w:lang w:val="en-GB"/>
        </w:rPr>
      </w:pPr>
      <w:r w:rsidRPr="007550A0">
        <w:rPr>
          <w:rFonts w:ascii="Garamond" w:hAnsi="Garamond" w:cstheme="minorHAnsi"/>
          <w:sz w:val="24"/>
          <w:szCs w:val="24"/>
          <w:lang w:val="en-GB"/>
        </w:rPr>
        <w:t xml:space="preserve">The project should promote the exchange of experiences within the field of gastronomy between Danish and Brazilian counterparts. </w:t>
      </w:r>
      <w:r w:rsidR="00F61A4F" w:rsidRPr="007550A0">
        <w:rPr>
          <w:rFonts w:ascii="Garamond" w:hAnsi="Garamond" w:cstheme="minorHAnsi"/>
          <w:sz w:val="24"/>
          <w:szCs w:val="24"/>
          <w:lang w:val="en-GB"/>
        </w:rPr>
        <w:t xml:space="preserve">With 44 Michelin stars (2024), Denmark is a leading culinary destination, combining high-end innovation with a strong commitment to environmental responsibility, organic food production, and scientific research. </w:t>
      </w:r>
      <w:r w:rsidR="00364130" w:rsidRPr="007550A0">
        <w:rPr>
          <w:rFonts w:ascii="Garamond" w:hAnsi="Garamond" w:cstheme="minorHAnsi"/>
          <w:sz w:val="24"/>
          <w:szCs w:val="24"/>
          <w:lang w:val="en-GB"/>
        </w:rPr>
        <w:t xml:space="preserve">The </w:t>
      </w:r>
      <w:r w:rsidR="00F61A4F" w:rsidRPr="007550A0">
        <w:rPr>
          <w:rFonts w:ascii="Garamond" w:hAnsi="Garamond" w:cstheme="minorHAnsi"/>
          <w:sz w:val="24"/>
          <w:szCs w:val="24"/>
          <w:lang w:val="en-GB"/>
        </w:rPr>
        <w:t>gastronomy school project</w:t>
      </w:r>
      <w:r w:rsidR="00364130" w:rsidRPr="007550A0">
        <w:rPr>
          <w:rFonts w:ascii="Garamond" w:hAnsi="Garamond" w:cstheme="minorHAnsi"/>
          <w:sz w:val="24"/>
          <w:szCs w:val="24"/>
          <w:lang w:val="en-GB"/>
        </w:rPr>
        <w:t xml:space="preserve"> should </w:t>
      </w:r>
      <w:r w:rsidR="00F61A4F" w:rsidRPr="007550A0">
        <w:rPr>
          <w:rFonts w:ascii="Garamond" w:hAnsi="Garamond" w:cstheme="minorHAnsi"/>
          <w:sz w:val="24"/>
          <w:szCs w:val="24"/>
          <w:lang w:val="en-GB"/>
        </w:rPr>
        <w:t>show how</w:t>
      </w:r>
      <w:r w:rsidR="00364130" w:rsidRPr="007550A0">
        <w:rPr>
          <w:rFonts w:ascii="Garamond" w:hAnsi="Garamond" w:cstheme="minorHAnsi"/>
          <w:sz w:val="24"/>
          <w:szCs w:val="24"/>
          <w:lang w:val="en-GB"/>
        </w:rPr>
        <w:t xml:space="preserve"> </w:t>
      </w:r>
      <w:r w:rsidR="00F61A4F" w:rsidRPr="007550A0">
        <w:rPr>
          <w:rFonts w:ascii="Garamond" w:hAnsi="Garamond" w:cstheme="minorHAnsi"/>
          <w:sz w:val="24"/>
          <w:szCs w:val="24"/>
          <w:lang w:val="en-GB"/>
        </w:rPr>
        <w:t xml:space="preserve">Denmark’s </w:t>
      </w:r>
      <w:r w:rsidR="007A439C" w:rsidRPr="007550A0">
        <w:rPr>
          <w:rFonts w:ascii="Garamond" w:hAnsi="Garamond" w:cstheme="minorHAnsi"/>
          <w:sz w:val="24"/>
          <w:szCs w:val="24"/>
          <w:lang w:val="en-GB"/>
        </w:rPr>
        <w:t>experience</w:t>
      </w:r>
      <w:r w:rsidR="00F61A4F" w:rsidRPr="007550A0">
        <w:rPr>
          <w:rFonts w:ascii="Garamond" w:hAnsi="Garamond" w:cstheme="minorHAnsi"/>
          <w:sz w:val="24"/>
          <w:szCs w:val="24"/>
          <w:lang w:val="en-GB"/>
        </w:rPr>
        <w:t xml:space="preserve"> in food systems transformation</w:t>
      </w:r>
      <w:r w:rsidR="007A439C" w:rsidRPr="007550A0">
        <w:rPr>
          <w:rFonts w:ascii="Garamond" w:hAnsi="Garamond" w:cstheme="minorHAnsi"/>
          <w:sz w:val="24"/>
          <w:szCs w:val="24"/>
          <w:lang w:val="en-GB"/>
        </w:rPr>
        <w:t xml:space="preserve"> and</w:t>
      </w:r>
      <w:r w:rsidR="00F61A4F" w:rsidRPr="007550A0">
        <w:rPr>
          <w:rFonts w:ascii="Garamond" w:hAnsi="Garamond" w:cstheme="minorHAnsi"/>
          <w:sz w:val="24"/>
          <w:szCs w:val="24"/>
          <w:lang w:val="en-GB"/>
        </w:rPr>
        <w:t xml:space="preserve"> </w:t>
      </w:r>
      <w:r w:rsidR="00364130" w:rsidRPr="007550A0">
        <w:rPr>
          <w:rFonts w:ascii="Garamond" w:hAnsi="Garamond" w:cstheme="minorHAnsi"/>
          <w:sz w:val="24"/>
          <w:szCs w:val="24"/>
          <w:lang w:val="en-GB"/>
        </w:rPr>
        <w:t>Danish</w:t>
      </w:r>
      <w:r w:rsidRPr="007550A0">
        <w:rPr>
          <w:rFonts w:ascii="Garamond" w:hAnsi="Garamond" w:cstheme="minorHAnsi"/>
          <w:sz w:val="24"/>
          <w:szCs w:val="24"/>
          <w:lang w:val="en-GB"/>
        </w:rPr>
        <w:t xml:space="preserve"> expertise in sustainable gastronomy can </w:t>
      </w:r>
      <w:r w:rsidR="007A439C" w:rsidRPr="007550A0">
        <w:rPr>
          <w:rFonts w:ascii="Garamond" w:hAnsi="Garamond" w:cstheme="minorHAnsi"/>
          <w:sz w:val="24"/>
          <w:szCs w:val="24"/>
          <w:lang w:val="en-GB"/>
        </w:rPr>
        <w:t>serve as an inspiration for the development of local sustainable gastronomy</w:t>
      </w:r>
      <w:r w:rsidR="00364130" w:rsidRPr="007550A0">
        <w:rPr>
          <w:rFonts w:ascii="Garamond" w:hAnsi="Garamond" w:cstheme="minorHAnsi"/>
          <w:sz w:val="24"/>
          <w:szCs w:val="24"/>
          <w:lang w:val="en-GB"/>
        </w:rPr>
        <w:t>.</w:t>
      </w:r>
      <w:r w:rsidR="00F61A4F" w:rsidRPr="007550A0">
        <w:rPr>
          <w:rFonts w:ascii="Garamond" w:hAnsi="Garamond" w:cstheme="minorHAnsi"/>
          <w:sz w:val="24"/>
          <w:szCs w:val="24"/>
          <w:lang w:val="en-GB"/>
        </w:rPr>
        <w:t xml:space="preserve"> </w:t>
      </w:r>
    </w:p>
    <w:p w14:paraId="3B239093" w14:textId="77777777" w:rsidR="00A76863" w:rsidRPr="007550A0" w:rsidRDefault="00A76863" w:rsidP="00A76863">
      <w:pPr>
        <w:spacing w:after="0"/>
        <w:rPr>
          <w:rFonts w:ascii="Garamond" w:hAnsi="Garamond"/>
          <w:b/>
          <w:bCs/>
          <w:sz w:val="28"/>
          <w:szCs w:val="28"/>
          <w:lang w:val="en-GB"/>
        </w:rPr>
      </w:pPr>
    </w:p>
    <w:p w14:paraId="36AC5350" w14:textId="415723C0" w:rsidR="000E4B78" w:rsidRPr="007550A0" w:rsidRDefault="00737AAA"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O</w:t>
      </w:r>
      <w:r w:rsidR="000E4B78" w:rsidRPr="007550A0">
        <w:rPr>
          <w:rFonts w:ascii="Garamond" w:hAnsi="Garamond"/>
          <w:b/>
          <w:bCs/>
          <w:sz w:val="28"/>
          <w:szCs w:val="28"/>
          <w:lang w:val="en-GB"/>
        </w:rPr>
        <w:t xml:space="preserve">bjectives and priority issues </w:t>
      </w:r>
    </w:p>
    <w:p w14:paraId="0C04F1B1" w14:textId="343C771E" w:rsidR="000E4B78" w:rsidRPr="007550A0" w:rsidRDefault="000E4B78" w:rsidP="000E4B78">
      <w:pPr>
        <w:spacing w:after="0"/>
        <w:rPr>
          <w:rFonts w:ascii="Garamond" w:hAnsi="Garamond"/>
          <w:sz w:val="24"/>
          <w:szCs w:val="24"/>
          <w:lang w:val="en-GB"/>
        </w:rPr>
      </w:pPr>
    </w:p>
    <w:p w14:paraId="051AF5B6" w14:textId="754A79B6" w:rsidR="00517BCE" w:rsidRPr="007550A0" w:rsidRDefault="006678B8" w:rsidP="006678B8">
      <w:pPr>
        <w:spacing w:after="0"/>
        <w:jc w:val="both"/>
        <w:rPr>
          <w:rFonts w:ascii="Garamond" w:hAnsi="Garamond" w:cstheme="minorHAnsi"/>
          <w:sz w:val="24"/>
          <w:szCs w:val="24"/>
          <w:lang w:val="en-GB"/>
        </w:rPr>
      </w:pPr>
      <w:r w:rsidRPr="007550A0">
        <w:rPr>
          <w:rFonts w:ascii="Garamond" w:hAnsi="Garamond"/>
          <w:sz w:val="24"/>
          <w:szCs w:val="24"/>
          <w:lang w:val="en-GB"/>
        </w:rPr>
        <w:t xml:space="preserve">The overall objective of this Call for Proposals </w:t>
      </w:r>
      <w:r w:rsidR="00517BCE" w:rsidRPr="007550A0">
        <w:rPr>
          <w:rFonts w:ascii="Garamond" w:hAnsi="Garamond" w:cstheme="minorHAnsi"/>
          <w:sz w:val="24"/>
          <w:szCs w:val="24"/>
          <w:lang w:val="en-GB"/>
        </w:rPr>
        <w:t>is to</w:t>
      </w:r>
      <w:r w:rsidRPr="007550A0">
        <w:rPr>
          <w:rFonts w:ascii="Garamond" w:hAnsi="Garamond" w:cstheme="minorHAnsi"/>
          <w:sz w:val="24"/>
          <w:szCs w:val="24"/>
          <w:lang w:val="en-GB"/>
        </w:rPr>
        <w:t xml:space="preserve"> use</w:t>
      </w:r>
      <w:r w:rsidR="00517BCE" w:rsidRPr="007550A0">
        <w:rPr>
          <w:rFonts w:ascii="Garamond" w:hAnsi="Garamond" w:cstheme="minorHAnsi"/>
          <w:sz w:val="24"/>
          <w:szCs w:val="24"/>
          <w:lang w:val="en-GB"/>
        </w:rPr>
        <w:t xml:space="preserve"> sustainable gastronomy as a transformative tool to </w:t>
      </w:r>
      <w:r w:rsidR="001E7BA5" w:rsidRPr="007550A0">
        <w:rPr>
          <w:rFonts w:ascii="Garamond" w:hAnsi="Garamond" w:cstheme="minorHAnsi"/>
          <w:sz w:val="24"/>
          <w:szCs w:val="24"/>
          <w:lang w:val="en-GB"/>
        </w:rPr>
        <w:t>promote</w:t>
      </w:r>
      <w:r w:rsidR="00517BCE" w:rsidRPr="007550A0">
        <w:rPr>
          <w:rFonts w:ascii="Garamond" w:hAnsi="Garamond" w:cstheme="minorHAnsi"/>
          <w:sz w:val="24"/>
          <w:szCs w:val="24"/>
          <w:lang w:val="en-GB"/>
        </w:rPr>
        <w:t xml:space="preserve"> social, economic, and environmental development in the Amazonian state of Pará</w:t>
      </w:r>
      <w:r w:rsidRPr="007550A0">
        <w:rPr>
          <w:rFonts w:ascii="Garamond" w:hAnsi="Garamond" w:cstheme="minorHAnsi"/>
          <w:sz w:val="24"/>
          <w:szCs w:val="24"/>
          <w:lang w:val="en-GB"/>
        </w:rPr>
        <w:t>, Brazil</w:t>
      </w:r>
      <w:r w:rsidR="00364130" w:rsidRPr="007550A0">
        <w:rPr>
          <w:rFonts w:ascii="Garamond" w:hAnsi="Garamond" w:cstheme="minorHAnsi"/>
          <w:sz w:val="24"/>
          <w:szCs w:val="24"/>
          <w:lang w:val="en-GB"/>
        </w:rPr>
        <w:t>, through knowledge exchange between Denmark and Brazil</w:t>
      </w:r>
      <w:r w:rsidR="00517BCE" w:rsidRPr="007550A0">
        <w:rPr>
          <w:rFonts w:ascii="Garamond" w:hAnsi="Garamond" w:cstheme="minorHAnsi"/>
          <w:sz w:val="24"/>
          <w:szCs w:val="24"/>
          <w:lang w:val="en-GB"/>
        </w:rPr>
        <w:t xml:space="preserve">. The project aims to </w:t>
      </w:r>
      <w:r w:rsidR="001E7BA5" w:rsidRPr="007550A0">
        <w:rPr>
          <w:rFonts w:ascii="Garamond" w:hAnsi="Garamond" w:cstheme="minorHAnsi"/>
          <w:sz w:val="24"/>
          <w:szCs w:val="24"/>
          <w:lang w:val="en-GB"/>
        </w:rPr>
        <w:t>strengthen</w:t>
      </w:r>
      <w:r w:rsidR="00517BCE" w:rsidRPr="007550A0">
        <w:rPr>
          <w:rFonts w:ascii="Garamond" w:hAnsi="Garamond" w:cstheme="minorHAnsi"/>
          <w:sz w:val="24"/>
          <w:szCs w:val="24"/>
          <w:lang w:val="en-GB"/>
        </w:rPr>
        <w:t xml:space="preserve"> sustainable gastronomy skills, promote Amazonian bio-economy and strengthen local supply chains</w:t>
      </w:r>
      <w:r w:rsidR="002B4BDD" w:rsidRPr="007550A0">
        <w:rPr>
          <w:rFonts w:ascii="Garamond" w:hAnsi="Garamond" w:cstheme="minorHAnsi"/>
          <w:sz w:val="24"/>
          <w:szCs w:val="24"/>
          <w:lang w:val="en-GB"/>
        </w:rPr>
        <w:t xml:space="preserve"> while contributing to</w:t>
      </w:r>
      <w:r w:rsidR="002B4BDD" w:rsidRPr="007550A0">
        <w:rPr>
          <w:rFonts w:ascii="Garamond" w:hAnsi="Garamond"/>
          <w:sz w:val="24"/>
          <w:szCs w:val="24"/>
          <w:lang w:val="en-GB"/>
        </w:rPr>
        <w:t xml:space="preserve"> reducing youth unemployment and creating fair economic opportunities in vulnerable communities</w:t>
      </w:r>
      <w:r w:rsidR="00070F3B" w:rsidRPr="007550A0">
        <w:rPr>
          <w:rFonts w:ascii="Garamond" w:hAnsi="Garamond"/>
          <w:sz w:val="24"/>
          <w:szCs w:val="24"/>
          <w:lang w:val="en-GB"/>
        </w:rPr>
        <w:t xml:space="preserve">. </w:t>
      </w:r>
      <w:r w:rsidR="002B4BDD" w:rsidRPr="007550A0">
        <w:rPr>
          <w:rFonts w:ascii="Garamond" w:hAnsi="Garamond"/>
          <w:sz w:val="24"/>
          <w:szCs w:val="24"/>
          <w:lang w:val="en-GB"/>
        </w:rPr>
        <w:t>Concretely the priority should be to establ</w:t>
      </w:r>
      <w:r w:rsidR="00FD335C" w:rsidRPr="007550A0">
        <w:rPr>
          <w:rFonts w:ascii="Garamond" w:hAnsi="Garamond"/>
          <w:sz w:val="24"/>
          <w:szCs w:val="24"/>
          <w:lang w:val="en-GB"/>
        </w:rPr>
        <w:t>ish a</w:t>
      </w:r>
      <w:r w:rsidR="00D32C42" w:rsidRPr="007550A0">
        <w:rPr>
          <w:rFonts w:ascii="Garamond" w:hAnsi="Garamond"/>
          <w:sz w:val="24"/>
          <w:szCs w:val="24"/>
          <w:lang w:val="en-GB"/>
        </w:rPr>
        <w:t>n Amazonian</w:t>
      </w:r>
      <w:r w:rsidR="00FD335C" w:rsidRPr="007550A0">
        <w:rPr>
          <w:rFonts w:ascii="Garamond" w:hAnsi="Garamond"/>
          <w:sz w:val="24"/>
          <w:szCs w:val="24"/>
          <w:lang w:val="en-GB"/>
        </w:rPr>
        <w:t xml:space="preserve"> </w:t>
      </w:r>
      <w:r w:rsidR="00280791" w:rsidRPr="007550A0">
        <w:rPr>
          <w:rFonts w:ascii="Garamond" w:hAnsi="Garamond"/>
          <w:sz w:val="24"/>
          <w:szCs w:val="24"/>
          <w:lang w:val="en-GB"/>
        </w:rPr>
        <w:t xml:space="preserve">Gastronomy </w:t>
      </w:r>
      <w:r w:rsidR="00FD335C" w:rsidRPr="007550A0">
        <w:rPr>
          <w:rFonts w:ascii="Garamond" w:hAnsi="Garamond"/>
          <w:sz w:val="24"/>
          <w:szCs w:val="24"/>
          <w:lang w:val="en-GB"/>
        </w:rPr>
        <w:t xml:space="preserve">School as a regional centre of excellence </w:t>
      </w:r>
      <w:r w:rsidR="002B4BDD" w:rsidRPr="007550A0">
        <w:rPr>
          <w:rFonts w:ascii="Garamond" w:hAnsi="Garamond"/>
          <w:sz w:val="24"/>
          <w:szCs w:val="24"/>
          <w:lang w:val="en-GB"/>
        </w:rPr>
        <w:t>to</w:t>
      </w:r>
      <w:r w:rsidR="00FD335C" w:rsidRPr="007550A0">
        <w:rPr>
          <w:rFonts w:ascii="Garamond" w:hAnsi="Garamond"/>
          <w:sz w:val="24"/>
          <w:szCs w:val="24"/>
          <w:lang w:val="en-GB"/>
        </w:rPr>
        <w:t xml:space="preserve"> strengthen youth employability</w:t>
      </w:r>
      <w:r w:rsidR="002B4BDD" w:rsidRPr="007550A0">
        <w:rPr>
          <w:rFonts w:ascii="Garamond" w:hAnsi="Garamond"/>
          <w:sz w:val="24"/>
          <w:szCs w:val="24"/>
          <w:lang w:val="en-GB"/>
        </w:rPr>
        <w:t>,</w:t>
      </w:r>
      <w:r w:rsidR="00FD335C" w:rsidRPr="007550A0">
        <w:rPr>
          <w:rFonts w:ascii="Garamond" w:hAnsi="Garamond"/>
          <w:sz w:val="24"/>
          <w:szCs w:val="24"/>
          <w:lang w:val="en-GB"/>
        </w:rPr>
        <w:t xml:space="preserve"> </w:t>
      </w:r>
      <w:r w:rsidR="002B4BDD" w:rsidRPr="007550A0">
        <w:rPr>
          <w:rFonts w:ascii="Garamond" w:hAnsi="Garamond"/>
          <w:sz w:val="24"/>
          <w:szCs w:val="24"/>
          <w:lang w:val="en-GB"/>
        </w:rPr>
        <w:t xml:space="preserve">sustainable economic </w:t>
      </w:r>
      <w:r w:rsidR="002B4BDD" w:rsidRPr="007550A0">
        <w:rPr>
          <w:rFonts w:ascii="Garamond" w:hAnsi="Garamond"/>
          <w:sz w:val="24"/>
          <w:szCs w:val="24"/>
          <w:lang w:val="en-GB"/>
        </w:rPr>
        <w:lastRenderedPageBreak/>
        <w:t xml:space="preserve">growth </w:t>
      </w:r>
      <w:r w:rsidR="00FD335C" w:rsidRPr="007550A0">
        <w:rPr>
          <w:rFonts w:ascii="Garamond" w:hAnsi="Garamond"/>
          <w:sz w:val="24"/>
          <w:szCs w:val="24"/>
          <w:lang w:val="en-GB"/>
        </w:rPr>
        <w:t xml:space="preserve">and entrepreneurship through high-quality vocational training grounded in Pará’s unique food culture and </w:t>
      </w:r>
      <w:r w:rsidR="00280791" w:rsidRPr="007550A0">
        <w:rPr>
          <w:rFonts w:ascii="Garamond" w:hAnsi="Garamond"/>
          <w:sz w:val="24"/>
          <w:szCs w:val="24"/>
          <w:lang w:val="en-GB"/>
        </w:rPr>
        <w:t xml:space="preserve">the </w:t>
      </w:r>
      <w:r w:rsidR="00FD335C" w:rsidRPr="007550A0">
        <w:rPr>
          <w:rFonts w:ascii="Garamond" w:hAnsi="Garamond"/>
          <w:sz w:val="24"/>
          <w:szCs w:val="24"/>
          <w:lang w:val="en-GB"/>
        </w:rPr>
        <w:t>Amazon</w:t>
      </w:r>
      <w:r w:rsidR="00280791" w:rsidRPr="007550A0">
        <w:rPr>
          <w:rFonts w:ascii="Garamond" w:hAnsi="Garamond"/>
          <w:sz w:val="24"/>
          <w:szCs w:val="24"/>
          <w:lang w:val="en-GB"/>
        </w:rPr>
        <w:t>’s</w:t>
      </w:r>
      <w:r w:rsidR="00FD335C" w:rsidRPr="007550A0">
        <w:rPr>
          <w:rFonts w:ascii="Garamond" w:hAnsi="Garamond"/>
          <w:sz w:val="24"/>
          <w:szCs w:val="24"/>
          <w:lang w:val="en-GB"/>
        </w:rPr>
        <w:t xml:space="preserve"> socio</w:t>
      </w:r>
      <w:r w:rsidRPr="007550A0">
        <w:rPr>
          <w:rFonts w:ascii="Garamond" w:hAnsi="Garamond"/>
          <w:sz w:val="24"/>
          <w:szCs w:val="24"/>
          <w:lang w:val="en-GB"/>
        </w:rPr>
        <w:t>-</w:t>
      </w:r>
      <w:r w:rsidR="00FD335C" w:rsidRPr="007550A0">
        <w:rPr>
          <w:rFonts w:ascii="Garamond" w:hAnsi="Garamond"/>
          <w:sz w:val="24"/>
          <w:szCs w:val="24"/>
          <w:lang w:val="en-GB"/>
        </w:rPr>
        <w:t xml:space="preserve">biodiversity. </w:t>
      </w:r>
      <w:r w:rsidR="00911F8E" w:rsidRPr="007550A0">
        <w:rPr>
          <w:rFonts w:ascii="Garamond" w:hAnsi="Garamond" w:cstheme="minorHAnsi"/>
          <w:sz w:val="24"/>
          <w:szCs w:val="24"/>
          <w:lang w:val="en-GB"/>
        </w:rPr>
        <w:t xml:space="preserve">The </w:t>
      </w:r>
      <w:r w:rsidR="00FD335C" w:rsidRPr="007550A0">
        <w:rPr>
          <w:rFonts w:ascii="Garamond" w:hAnsi="Garamond" w:cstheme="minorHAnsi"/>
          <w:sz w:val="24"/>
          <w:szCs w:val="24"/>
          <w:lang w:val="en-GB"/>
        </w:rPr>
        <w:t>s</w:t>
      </w:r>
      <w:r w:rsidR="00911F8E" w:rsidRPr="007550A0">
        <w:rPr>
          <w:rFonts w:ascii="Garamond" w:hAnsi="Garamond" w:cstheme="minorHAnsi"/>
          <w:sz w:val="24"/>
          <w:szCs w:val="24"/>
          <w:lang w:val="en-GB"/>
        </w:rPr>
        <w:t xml:space="preserve">chool </w:t>
      </w:r>
      <w:r w:rsidR="00FD335C" w:rsidRPr="007550A0">
        <w:rPr>
          <w:rFonts w:ascii="Garamond" w:hAnsi="Garamond" w:cstheme="minorHAnsi"/>
          <w:sz w:val="24"/>
          <w:szCs w:val="24"/>
          <w:lang w:val="en-GB"/>
        </w:rPr>
        <w:t xml:space="preserve">should be consolidated </w:t>
      </w:r>
      <w:r w:rsidR="00911F8E" w:rsidRPr="007550A0">
        <w:rPr>
          <w:rFonts w:ascii="Garamond" w:hAnsi="Garamond" w:cstheme="minorHAnsi"/>
          <w:sz w:val="24"/>
          <w:szCs w:val="24"/>
          <w:lang w:val="en-GB"/>
        </w:rPr>
        <w:t xml:space="preserve">as a centre of reference in </w:t>
      </w:r>
      <w:r w:rsidR="002B4BDD" w:rsidRPr="007550A0">
        <w:rPr>
          <w:rFonts w:ascii="Garamond" w:hAnsi="Garamond" w:cstheme="minorHAnsi"/>
          <w:sz w:val="24"/>
          <w:szCs w:val="24"/>
          <w:lang w:val="en-GB"/>
        </w:rPr>
        <w:t xml:space="preserve">sustainable </w:t>
      </w:r>
      <w:r w:rsidR="00911F8E" w:rsidRPr="007550A0">
        <w:rPr>
          <w:rFonts w:ascii="Garamond" w:hAnsi="Garamond" w:cstheme="minorHAnsi"/>
          <w:sz w:val="24"/>
          <w:szCs w:val="24"/>
          <w:lang w:val="en-GB"/>
        </w:rPr>
        <w:t>gastronomy, promoting the integration of</w:t>
      </w:r>
      <w:r w:rsidR="00517BCE" w:rsidRPr="007550A0">
        <w:rPr>
          <w:rFonts w:ascii="Garamond" w:hAnsi="Garamond" w:cstheme="minorHAnsi"/>
          <w:sz w:val="24"/>
          <w:szCs w:val="24"/>
          <w:lang w:val="en-GB"/>
        </w:rPr>
        <w:t xml:space="preserve"> professional </w:t>
      </w:r>
      <w:r w:rsidR="00911F8E" w:rsidRPr="007550A0">
        <w:rPr>
          <w:rFonts w:ascii="Garamond" w:hAnsi="Garamond" w:cstheme="minorHAnsi"/>
          <w:sz w:val="24"/>
          <w:szCs w:val="24"/>
          <w:lang w:val="en-GB"/>
        </w:rPr>
        <w:t>training, research</w:t>
      </w:r>
      <w:r w:rsidR="00517BCE" w:rsidRPr="007550A0">
        <w:rPr>
          <w:rFonts w:ascii="Garamond" w:hAnsi="Garamond" w:cstheme="minorHAnsi"/>
          <w:sz w:val="24"/>
          <w:szCs w:val="24"/>
          <w:lang w:val="en-GB"/>
        </w:rPr>
        <w:t xml:space="preserve"> and</w:t>
      </w:r>
      <w:r w:rsidR="00911F8E" w:rsidRPr="007550A0">
        <w:rPr>
          <w:rFonts w:ascii="Garamond" w:hAnsi="Garamond" w:cstheme="minorHAnsi"/>
          <w:sz w:val="24"/>
          <w:szCs w:val="24"/>
          <w:lang w:val="en-GB"/>
        </w:rPr>
        <w:t xml:space="preserve"> innovation</w:t>
      </w:r>
      <w:r w:rsidR="002B4BDD" w:rsidRPr="007550A0">
        <w:rPr>
          <w:rFonts w:ascii="Garamond" w:hAnsi="Garamond"/>
          <w:sz w:val="24"/>
          <w:szCs w:val="24"/>
          <w:lang w:val="en-GB"/>
        </w:rPr>
        <w:t xml:space="preserve"> and boosting tourism and local business competitiveness</w:t>
      </w:r>
      <w:r w:rsidR="00911F8E" w:rsidRPr="007550A0">
        <w:rPr>
          <w:rFonts w:ascii="Garamond" w:hAnsi="Garamond" w:cstheme="minorHAnsi"/>
          <w:sz w:val="24"/>
          <w:szCs w:val="24"/>
          <w:lang w:val="en-GB"/>
        </w:rPr>
        <w:t>.</w:t>
      </w:r>
      <w:r w:rsidR="007371EE" w:rsidRPr="007550A0">
        <w:rPr>
          <w:rFonts w:ascii="Garamond" w:hAnsi="Garamond"/>
          <w:sz w:val="24"/>
          <w:szCs w:val="24"/>
          <w:lang w:val="en-GB"/>
        </w:rPr>
        <w:t xml:space="preserve"> </w:t>
      </w:r>
      <w:r w:rsidR="00517BCE" w:rsidRPr="007550A0">
        <w:rPr>
          <w:rFonts w:ascii="Garamond" w:hAnsi="Garamond"/>
          <w:sz w:val="24"/>
          <w:szCs w:val="24"/>
          <w:lang w:val="en-GB"/>
        </w:rPr>
        <w:t>By combining vocational education</w:t>
      </w:r>
      <w:r w:rsidR="002B4BDD" w:rsidRPr="007550A0">
        <w:rPr>
          <w:rFonts w:ascii="Garamond" w:hAnsi="Garamond"/>
          <w:sz w:val="24"/>
          <w:szCs w:val="24"/>
          <w:lang w:val="en-GB"/>
        </w:rPr>
        <w:t xml:space="preserve"> and dignified employment</w:t>
      </w:r>
      <w:r w:rsidR="00517BCE" w:rsidRPr="007550A0">
        <w:rPr>
          <w:rFonts w:ascii="Garamond" w:hAnsi="Garamond"/>
          <w:sz w:val="24"/>
          <w:szCs w:val="24"/>
          <w:lang w:val="en-GB"/>
        </w:rPr>
        <w:t xml:space="preserve"> for young people, support for local food entrepreneurs, and strengthened linkages with </w:t>
      </w:r>
      <w:r w:rsidR="00280791" w:rsidRPr="007550A0">
        <w:rPr>
          <w:rFonts w:ascii="Garamond" w:hAnsi="Garamond"/>
          <w:sz w:val="24"/>
          <w:szCs w:val="24"/>
          <w:lang w:val="en-GB"/>
        </w:rPr>
        <w:t xml:space="preserve">local </w:t>
      </w:r>
      <w:r w:rsidR="00517BCE" w:rsidRPr="007550A0">
        <w:rPr>
          <w:rFonts w:ascii="Garamond" w:hAnsi="Garamond"/>
          <w:sz w:val="24"/>
          <w:szCs w:val="24"/>
          <w:lang w:val="en-GB"/>
        </w:rPr>
        <w:t xml:space="preserve">producers, the initiative should generate inclusive economic opportunities in the </w:t>
      </w:r>
      <w:r w:rsidR="00280791" w:rsidRPr="007550A0">
        <w:rPr>
          <w:rFonts w:ascii="Garamond" w:hAnsi="Garamond"/>
          <w:sz w:val="24"/>
          <w:szCs w:val="24"/>
          <w:lang w:val="en-GB"/>
        </w:rPr>
        <w:t xml:space="preserve">gastronomic </w:t>
      </w:r>
      <w:r w:rsidR="00517BCE" w:rsidRPr="007550A0">
        <w:rPr>
          <w:rFonts w:ascii="Garamond" w:hAnsi="Garamond"/>
          <w:sz w:val="24"/>
          <w:szCs w:val="24"/>
          <w:lang w:val="en-GB"/>
        </w:rPr>
        <w:t xml:space="preserve">sector </w:t>
      </w:r>
      <w:r w:rsidR="002B4BDD" w:rsidRPr="007550A0">
        <w:rPr>
          <w:rFonts w:ascii="Garamond" w:hAnsi="Garamond"/>
          <w:sz w:val="24"/>
          <w:szCs w:val="24"/>
          <w:lang w:val="en-GB"/>
        </w:rPr>
        <w:t>and</w:t>
      </w:r>
      <w:r w:rsidR="00517BCE" w:rsidRPr="007550A0">
        <w:rPr>
          <w:rFonts w:ascii="Garamond" w:hAnsi="Garamond"/>
          <w:sz w:val="24"/>
          <w:szCs w:val="24"/>
          <w:lang w:val="en-GB"/>
        </w:rPr>
        <w:t xml:space="preserve"> promot</w:t>
      </w:r>
      <w:r w:rsidR="002B4BDD" w:rsidRPr="007550A0">
        <w:rPr>
          <w:rFonts w:ascii="Garamond" w:hAnsi="Garamond"/>
          <w:sz w:val="24"/>
          <w:szCs w:val="24"/>
          <w:lang w:val="en-GB"/>
        </w:rPr>
        <w:t>e</w:t>
      </w:r>
      <w:r w:rsidR="00517BCE" w:rsidRPr="007550A0">
        <w:rPr>
          <w:rFonts w:ascii="Garamond" w:hAnsi="Garamond"/>
          <w:sz w:val="24"/>
          <w:szCs w:val="24"/>
          <w:lang w:val="en-GB"/>
        </w:rPr>
        <w:t xml:space="preserve"> sustainable use of </w:t>
      </w:r>
      <w:r w:rsidR="00280791" w:rsidRPr="007550A0">
        <w:rPr>
          <w:rFonts w:ascii="Garamond" w:hAnsi="Garamond"/>
          <w:sz w:val="24"/>
          <w:szCs w:val="24"/>
          <w:lang w:val="en-GB"/>
        </w:rPr>
        <w:t xml:space="preserve">the </w:t>
      </w:r>
      <w:r w:rsidR="00517BCE" w:rsidRPr="007550A0">
        <w:rPr>
          <w:rFonts w:ascii="Garamond" w:hAnsi="Garamond"/>
          <w:sz w:val="24"/>
          <w:szCs w:val="24"/>
          <w:lang w:val="en-GB"/>
        </w:rPr>
        <w:t>biodiversity</w:t>
      </w:r>
      <w:r w:rsidR="00280791" w:rsidRPr="007550A0">
        <w:rPr>
          <w:rFonts w:ascii="Garamond" w:hAnsi="Garamond"/>
          <w:sz w:val="24"/>
          <w:szCs w:val="24"/>
          <w:lang w:val="en-GB"/>
        </w:rPr>
        <w:t xml:space="preserve"> of the Amazon Rainforest</w:t>
      </w:r>
      <w:r w:rsidR="00517BCE" w:rsidRPr="007550A0">
        <w:rPr>
          <w:rFonts w:ascii="Garamond" w:hAnsi="Garamond"/>
          <w:sz w:val="24"/>
          <w:szCs w:val="24"/>
          <w:lang w:val="en-GB"/>
        </w:rPr>
        <w:t>.</w:t>
      </w:r>
      <w:r w:rsidR="002B4BDD" w:rsidRPr="007550A0">
        <w:rPr>
          <w:rFonts w:ascii="Garamond" w:hAnsi="Garamond"/>
          <w:sz w:val="24"/>
          <w:szCs w:val="24"/>
          <w:lang w:val="en-GB"/>
        </w:rPr>
        <w:t xml:space="preserve"> The initiative should support stable, fair, and sustainable markets for Amazonian ingredients and advance the preservation of a bioeconomy aligned with Brazil’s and Denmark’s climate commitments.</w:t>
      </w:r>
    </w:p>
    <w:p w14:paraId="4013F708" w14:textId="51D72559" w:rsidR="00070F3B" w:rsidRPr="007550A0" w:rsidRDefault="00070F3B" w:rsidP="00070F3B">
      <w:pPr>
        <w:spacing w:after="0"/>
        <w:rPr>
          <w:rFonts w:ascii="Garamond" w:hAnsi="Garamond"/>
          <w:sz w:val="24"/>
          <w:szCs w:val="24"/>
          <w:lang w:val="en-GB"/>
        </w:rPr>
      </w:pPr>
    </w:p>
    <w:p w14:paraId="3A7BF0A5" w14:textId="2DFBC11A" w:rsidR="00311D72" w:rsidRPr="007550A0" w:rsidRDefault="009D2BBE" w:rsidP="00287765">
      <w:pPr>
        <w:spacing w:after="0"/>
        <w:rPr>
          <w:rFonts w:ascii="Garamond" w:hAnsi="Garamond"/>
          <w:sz w:val="24"/>
          <w:szCs w:val="24"/>
          <w:lang w:val="en-GB"/>
        </w:rPr>
      </w:pPr>
      <w:r w:rsidRPr="007550A0">
        <w:rPr>
          <w:rFonts w:ascii="Garamond" w:hAnsi="Garamond"/>
          <w:sz w:val="24"/>
          <w:szCs w:val="24"/>
          <w:lang w:val="en-GB"/>
        </w:rPr>
        <w:t>Project applications submitted to this Call for Proposals must address the</w:t>
      </w:r>
      <w:r w:rsidR="00287765" w:rsidRPr="007550A0">
        <w:rPr>
          <w:rFonts w:ascii="Garamond" w:hAnsi="Garamond"/>
          <w:sz w:val="24"/>
          <w:szCs w:val="24"/>
          <w:lang w:val="en-GB"/>
        </w:rPr>
        <w:t xml:space="preserve"> following</w:t>
      </w:r>
      <w:r w:rsidRPr="007550A0">
        <w:rPr>
          <w:rFonts w:ascii="Garamond" w:hAnsi="Garamond"/>
          <w:sz w:val="24"/>
          <w:szCs w:val="24"/>
          <w:lang w:val="en-GB"/>
        </w:rPr>
        <w:t xml:space="preserve"> </w:t>
      </w:r>
      <w:r w:rsidR="002B4BDD" w:rsidRPr="007550A0">
        <w:rPr>
          <w:rFonts w:ascii="Garamond" w:hAnsi="Garamond"/>
          <w:sz w:val="24"/>
          <w:szCs w:val="24"/>
          <w:lang w:val="en-GB"/>
        </w:rPr>
        <w:t xml:space="preserve">main </w:t>
      </w:r>
      <w:r w:rsidRPr="007550A0">
        <w:rPr>
          <w:rFonts w:ascii="Garamond" w:hAnsi="Garamond"/>
          <w:sz w:val="24"/>
          <w:szCs w:val="24"/>
          <w:lang w:val="en-GB"/>
        </w:rPr>
        <w:t>objective</w:t>
      </w:r>
      <w:r w:rsidR="00287765" w:rsidRPr="007550A0">
        <w:rPr>
          <w:rFonts w:ascii="Garamond" w:hAnsi="Garamond"/>
          <w:sz w:val="24"/>
          <w:szCs w:val="24"/>
          <w:lang w:val="en-GB"/>
        </w:rPr>
        <w:t xml:space="preserve">: </w:t>
      </w:r>
    </w:p>
    <w:p w14:paraId="30BB69C1" w14:textId="44393B75" w:rsidR="00311D72" w:rsidRPr="007550A0" w:rsidRDefault="00CD6CE8" w:rsidP="00760FD0">
      <w:pPr>
        <w:pStyle w:val="Listeafsnit"/>
        <w:numPr>
          <w:ilvl w:val="0"/>
          <w:numId w:val="29"/>
        </w:numPr>
        <w:spacing w:after="0"/>
        <w:rPr>
          <w:rFonts w:ascii="Garamond" w:hAnsi="Garamond" w:cstheme="minorHAnsi"/>
          <w:sz w:val="24"/>
          <w:szCs w:val="24"/>
          <w:lang w:val="en-US"/>
        </w:rPr>
      </w:pPr>
      <w:r w:rsidRPr="007550A0">
        <w:rPr>
          <w:rFonts w:ascii="Garamond" w:hAnsi="Garamond"/>
          <w:sz w:val="24"/>
          <w:szCs w:val="24"/>
          <w:lang w:val="en-GB"/>
        </w:rPr>
        <w:t>E</w:t>
      </w:r>
      <w:r w:rsidR="00FD335C" w:rsidRPr="007550A0">
        <w:rPr>
          <w:rFonts w:ascii="Garamond" w:hAnsi="Garamond"/>
          <w:sz w:val="24"/>
          <w:szCs w:val="24"/>
          <w:lang w:val="en-GB"/>
        </w:rPr>
        <w:t>stablish</w:t>
      </w:r>
      <w:r w:rsidRPr="007550A0">
        <w:rPr>
          <w:rFonts w:ascii="Garamond" w:hAnsi="Garamond"/>
          <w:sz w:val="24"/>
          <w:szCs w:val="24"/>
          <w:lang w:val="en-GB"/>
        </w:rPr>
        <w:t>ment of</w:t>
      </w:r>
      <w:r w:rsidR="00FD335C" w:rsidRPr="007550A0">
        <w:rPr>
          <w:rFonts w:ascii="Garamond" w:hAnsi="Garamond"/>
          <w:sz w:val="24"/>
          <w:szCs w:val="24"/>
          <w:lang w:val="en-GB"/>
        </w:rPr>
        <w:t xml:space="preserve"> a locally managed </w:t>
      </w:r>
      <w:r w:rsidR="00280791" w:rsidRPr="007550A0">
        <w:rPr>
          <w:rFonts w:ascii="Garamond" w:hAnsi="Garamond"/>
          <w:sz w:val="24"/>
          <w:szCs w:val="24"/>
          <w:lang w:val="en-GB"/>
        </w:rPr>
        <w:t xml:space="preserve">gastronomic </w:t>
      </w:r>
      <w:r w:rsidR="00FD335C" w:rsidRPr="007550A0">
        <w:rPr>
          <w:rFonts w:ascii="Garamond" w:hAnsi="Garamond"/>
          <w:sz w:val="24"/>
          <w:szCs w:val="24"/>
          <w:lang w:val="en-GB"/>
        </w:rPr>
        <w:t>training program</w:t>
      </w:r>
      <w:r w:rsidRPr="007550A0">
        <w:rPr>
          <w:rFonts w:ascii="Garamond" w:hAnsi="Garamond"/>
          <w:sz w:val="24"/>
          <w:szCs w:val="24"/>
          <w:lang w:val="en-GB"/>
        </w:rPr>
        <w:t xml:space="preserve"> that</w:t>
      </w:r>
      <w:r w:rsidR="00760FD0" w:rsidRPr="007550A0">
        <w:rPr>
          <w:rFonts w:ascii="Garamond" w:hAnsi="Garamond"/>
          <w:sz w:val="24"/>
          <w:szCs w:val="24"/>
          <w:lang w:val="en-GB"/>
        </w:rPr>
        <w:t xml:space="preserve"> aim to support</w:t>
      </w:r>
      <w:r w:rsidRPr="007550A0">
        <w:rPr>
          <w:rFonts w:ascii="Garamond" w:hAnsi="Garamond"/>
          <w:sz w:val="24"/>
          <w:szCs w:val="24"/>
          <w:lang w:val="en-GB"/>
        </w:rPr>
        <w:t xml:space="preserve"> </w:t>
      </w:r>
      <w:r w:rsidR="00760FD0" w:rsidRPr="007550A0">
        <w:rPr>
          <w:rFonts w:ascii="Garamond" w:hAnsi="Garamond"/>
          <w:sz w:val="24"/>
          <w:szCs w:val="24"/>
          <w:lang w:val="en-GB"/>
        </w:rPr>
        <w:t>t</w:t>
      </w:r>
      <w:r w:rsidR="00760FD0" w:rsidRPr="007550A0">
        <w:rPr>
          <w:rFonts w:ascii="Garamond" w:hAnsi="Garamond" w:cstheme="minorHAnsi"/>
          <w:sz w:val="24"/>
          <w:szCs w:val="24"/>
          <w:lang w:val="en-US"/>
        </w:rPr>
        <w:t xml:space="preserve">he local vision to elevate even further the Pará cuisine to </w:t>
      </w:r>
      <w:r w:rsidR="00280791" w:rsidRPr="007550A0">
        <w:rPr>
          <w:rFonts w:ascii="Garamond" w:hAnsi="Garamond" w:cstheme="minorHAnsi"/>
          <w:sz w:val="24"/>
          <w:szCs w:val="24"/>
          <w:lang w:val="en-US"/>
        </w:rPr>
        <w:t xml:space="preserve">new </w:t>
      </w:r>
      <w:r w:rsidR="00760FD0" w:rsidRPr="007550A0">
        <w:rPr>
          <w:rFonts w:ascii="Garamond" w:hAnsi="Garamond" w:cstheme="minorHAnsi"/>
          <w:sz w:val="24"/>
          <w:szCs w:val="24"/>
          <w:lang w:val="en-US"/>
        </w:rPr>
        <w:t>gastronomic levels</w:t>
      </w:r>
      <w:r w:rsidR="00364130" w:rsidRPr="007550A0">
        <w:rPr>
          <w:rFonts w:ascii="Garamond" w:hAnsi="Garamond" w:cstheme="minorHAnsi"/>
          <w:sz w:val="24"/>
          <w:szCs w:val="24"/>
          <w:lang w:val="en-US"/>
        </w:rPr>
        <w:t xml:space="preserve"> through knowledge exchange between Danish and Brazilian counterparts</w:t>
      </w:r>
      <w:r w:rsidR="00760FD0" w:rsidRPr="007550A0">
        <w:rPr>
          <w:rFonts w:ascii="Garamond" w:hAnsi="Garamond" w:cstheme="minorHAnsi"/>
          <w:sz w:val="24"/>
          <w:szCs w:val="24"/>
          <w:lang w:val="en-US"/>
        </w:rPr>
        <w:t>.</w:t>
      </w:r>
    </w:p>
    <w:p w14:paraId="1B4F3839" w14:textId="77777777" w:rsidR="00311D72" w:rsidRPr="007550A0" w:rsidRDefault="00311D72" w:rsidP="00311D72">
      <w:pPr>
        <w:spacing w:after="0"/>
        <w:rPr>
          <w:rFonts w:ascii="Garamond" w:hAnsi="Garamond"/>
          <w:sz w:val="24"/>
          <w:szCs w:val="24"/>
          <w:lang w:val="en-GB"/>
        </w:rPr>
      </w:pPr>
    </w:p>
    <w:p w14:paraId="2DE54D43" w14:textId="72E17FAA" w:rsidR="00FA0572" w:rsidRPr="007550A0" w:rsidRDefault="00311D72" w:rsidP="00311D72">
      <w:pPr>
        <w:spacing w:after="0"/>
        <w:rPr>
          <w:rFonts w:ascii="Garamond" w:hAnsi="Garamond"/>
          <w:sz w:val="24"/>
          <w:szCs w:val="24"/>
          <w:lang w:val="en-GB"/>
        </w:rPr>
      </w:pPr>
      <w:r w:rsidRPr="007550A0">
        <w:rPr>
          <w:rFonts w:ascii="Garamond" w:hAnsi="Garamond"/>
          <w:sz w:val="24"/>
          <w:szCs w:val="24"/>
          <w:lang w:val="en-GB"/>
        </w:rPr>
        <w:t>Priorities related to the above ob</w:t>
      </w:r>
      <w:r w:rsidR="00287765" w:rsidRPr="007550A0">
        <w:rPr>
          <w:rFonts w:ascii="Garamond" w:hAnsi="Garamond"/>
          <w:sz w:val="24"/>
          <w:szCs w:val="24"/>
          <w:lang w:val="en-GB"/>
        </w:rPr>
        <w:t>jective that the applications must also address are:</w:t>
      </w:r>
    </w:p>
    <w:p w14:paraId="2AFA9EC3" w14:textId="63EAA7A7" w:rsidR="00254424" w:rsidRPr="007550A0" w:rsidRDefault="00254424" w:rsidP="00254424">
      <w:pPr>
        <w:pStyle w:val="Listeafsnit"/>
        <w:numPr>
          <w:ilvl w:val="0"/>
          <w:numId w:val="29"/>
        </w:numPr>
        <w:spacing w:after="0"/>
        <w:rPr>
          <w:rFonts w:ascii="Garamond" w:hAnsi="Garamond" w:cstheme="minorHAnsi"/>
          <w:sz w:val="24"/>
          <w:szCs w:val="24"/>
          <w:lang w:val="en-US"/>
        </w:rPr>
      </w:pPr>
      <w:r w:rsidRPr="007550A0">
        <w:rPr>
          <w:rFonts w:ascii="Garamond" w:hAnsi="Garamond" w:cstheme="minorHAnsi"/>
          <w:sz w:val="24"/>
          <w:szCs w:val="24"/>
          <w:lang w:val="en-US"/>
        </w:rPr>
        <w:t xml:space="preserve">Enhance Culinary Skills: Provide </w:t>
      </w:r>
      <w:r w:rsidR="00A30075" w:rsidRPr="007550A0">
        <w:rPr>
          <w:rFonts w:ascii="Garamond" w:hAnsi="Garamond" w:cstheme="minorHAnsi"/>
          <w:sz w:val="24"/>
          <w:szCs w:val="24"/>
          <w:lang w:val="en-US"/>
        </w:rPr>
        <w:t xml:space="preserve">professional </w:t>
      </w:r>
      <w:r w:rsidRPr="007550A0">
        <w:rPr>
          <w:rFonts w:ascii="Garamond" w:hAnsi="Garamond" w:cstheme="minorHAnsi"/>
          <w:sz w:val="24"/>
          <w:szCs w:val="24"/>
          <w:lang w:val="en-US"/>
        </w:rPr>
        <w:t xml:space="preserve">training on innovative cooking techniques and sustainable sourcing practices, </w:t>
      </w:r>
      <w:r w:rsidR="00401BE7" w:rsidRPr="007550A0">
        <w:rPr>
          <w:rFonts w:ascii="Garamond" w:hAnsi="Garamond" w:cstheme="minorHAnsi"/>
          <w:sz w:val="24"/>
          <w:szCs w:val="24"/>
          <w:lang w:val="en-US"/>
        </w:rPr>
        <w:t xml:space="preserve">hygiene, and safe food handling, </w:t>
      </w:r>
      <w:r w:rsidRPr="007550A0">
        <w:rPr>
          <w:rFonts w:ascii="Garamond" w:hAnsi="Garamond" w:cstheme="minorHAnsi"/>
          <w:sz w:val="24"/>
          <w:szCs w:val="24"/>
          <w:lang w:val="en-US"/>
        </w:rPr>
        <w:t>improving the</w:t>
      </w:r>
      <w:r w:rsidR="00401BE7" w:rsidRPr="007550A0">
        <w:rPr>
          <w:rFonts w:ascii="Garamond" w:hAnsi="Garamond" w:cstheme="minorHAnsi"/>
          <w:sz w:val="24"/>
          <w:szCs w:val="24"/>
          <w:lang w:val="en-US"/>
        </w:rPr>
        <w:t xml:space="preserve"> gastronomic</w:t>
      </w:r>
      <w:r w:rsidRPr="007550A0">
        <w:rPr>
          <w:rFonts w:ascii="Garamond" w:hAnsi="Garamond" w:cstheme="minorHAnsi"/>
          <w:sz w:val="24"/>
          <w:szCs w:val="24"/>
          <w:lang w:val="en-US"/>
        </w:rPr>
        <w:t xml:space="preserve"> qualifications of the participants.</w:t>
      </w:r>
    </w:p>
    <w:p w14:paraId="3C2EAFFF" w14:textId="48825C64" w:rsidR="00401BE7" w:rsidRPr="007550A0" w:rsidRDefault="00401BE7" w:rsidP="0088612C">
      <w:pPr>
        <w:pStyle w:val="Listeafsnit"/>
        <w:numPr>
          <w:ilvl w:val="0"/>
          <w:numId w:val="29"/>
        </w:numPr>
        <w:spacing w:after="0"/>
        <w:rPr>
          <w:rFonts w:ascii="Garamond" w:hAnsi="Garamond" w:cstheme="minorHAnsi"/>
          <w:sz w:val="24"/>
          <w:szCs w:val="24"/>
          <w:lang w:val="en-US"/>
        </w:rPr>
      </w:pPr>
      <w:r w:rsidRPr="007550A0">
        <w:rPr>
          <w:rFonts w:ascii="Garamond" w:hAnsi="Garamond" w:cstheme="minorHAnsi"/>
          <w:sz w:val="24"/>
          <w:szCs w:val="24"/>
          <w:lang w:val="en-US"/>
        </w:rPr>
        <w:t xml:space="preserve">Preserve </w:t>
      </w:r>
      <w:r w:rsidR="00EB2CDC" w:rsidRPr="007550A0">
        <w:rPr>
          <w:rFonts w:ascii="Garamond" w:hAnsi="Garamond" w:cstheme="minorHAnsi"/>
          <w:sz w:val="24"/>
          <w:szCs w:val="24"/>
          <w:lang w:val="en-US"/>
        </w:rPr>
        <w:t>L</w:t>
      </w:r>
      <w:r w:rsidRPr="007550A0">
        <w:rPr>
          <w:rFonts w:ascii="Garamond" w:hAnsi="Garamond" w:cstheme="minorHAnsi"/>
          <w:sz w:val="24"/>
          <w:szCs w:val="24"/>
          <w:lang w:val="en-US"/>
        </w:rPr>
        <w:t xml:space="preserve">ocal and </w:t>
      </w:r>
      <w:r w:rsidR="00EB2CDC" w:rsidRPr="007550A0">
        <w:rPr>
          <w:rFonts w:ascii="Garamond" w:hAnsi="Garamond" w:cstheme="minorHAnsi"/>
          <w:sz w:val="24"/>
          <w:szCs w:val="24"/>
          <w:lang w:val="en-US"/>
        </w:rPr>
        <w:t>I</w:t>
      </w:r>
      <w:r w:rsidRPr="007550A0">
        <w:rPr>
          <w:rFonts w:ascii="Garamond" w:hAnsi="Garamond" w:cstheme="minorHAnsi"/>
          <w:sz w:val="24"/>
          <w:szCs w:val="24"/>
          <w:lang w:val="en-US"/>
        </w:rPr>
        <w:t xml:space="preserve">ndigenous </w:t>
      </w:r>
      <w:r w:rsidR="00EB2CDC" w:rsidRPr="007550A0">
        <w:rPr>
          <w:rFonts w:ascii="Garamond" w:hAnsi="Garamond" w:cstheme="minorHAnsi"/>
          <w:sz w:val="24"/>
          <w:szCs w:val="24"/>
          <w:lang w:val="en-US"/>
        </w:rPr>
        <w:t>F</w:t>
      </w:r>
      <w:r w:rsidRPr="007550A0">
        <w:rPr>
          <w:rFonts w:ascii="Garamond" w:hAnsi="Garamond" w:cstheme="minorHAnsi"/>
          <w:sz w:val="24"/>
          <w:szCs w:val="24"/>
          <w:lang w:val="en-US"/>
        </w:rPr>
        <w:t xml:space="preserve">ood </w:t>
      </w:r>
      <w:r w:rsidR="00EB2CDC" w:rsidRPr="007550A0">
        <w:rPr>
          <w:rFonts w:ascii="Garamond" w:hAnsi="Garamond" w:cstheme="minorHAnsi"/>
          <w:sz w:val="24"/>
          <w:szCs w:val="24"/>
          <w:lang w:val="en-US"/>
        </w:rPr>
        <w:t>C</w:t>
      </w:r>
      <w:r w:rsidRPr="007550A0">
        <w:rPr>
          <w:rFonts w:ascii="Garamond" w:hAnsi="Garamond" w:cstheme="minorHAnsi"/>
          <w:sz w:val="24"/>
          <w:szCs w:val="24"/>
          <w:lang w:val="en-US"/>
        </w:rPr>
        <w:t xml:space="preserve">ulture: understand and base the project in the local food culture of Pará in order to preserve and revitalize the unique gastronomic knowledge of </w:t>
      </w:r>
      <w:r w:rsidR="00EB2CDC" w:rsidRPr="007550A0">
        <w:rPr>
          <w:rFonts w:ascii="Garamond" w:hAnsi="Garamond" w:cstheme="minorHAnsi"/>
          <w:sz w:val="24"/>
          <w:szCs w:val="24"/>
          <w:lang w:val="en-US"/>
        </w:rPr>
        <w:t xml:space="preserve">Pará </w:t>
      </w:r>
      <w:r w:rsidRPr="007550A0">
        <w:rPr>
          <w:rFonts w:ascii="Garamond" w:hAnsi="Garamond" w:cstheme="minorHAnsi"/>
          <w:sz w:val="24"/>
          <w:szCs w:val="24"/>
          <w:lang w:val="en-US"/>
        </w:rPr>
        <w:t>and make the initiative relevant for the local community.</w:t>
      </w:r>
    </w:p>
    <w:p w14:paraId="6BA9686B" w14:textId="1CF647BD" w:rsidR="00254424" w:rsidRPr="007550A0" w:rsidRDefault="001146CD" w:rsidP="00254424">
      <w:pPr>
        <w:pStyle w:val="Listeafsnit"/>
        <w:numPr>
          <w:ilvl w:val="0"/>
          <w:numId w:val="29"/>
        </w:numPr>
        <w:spacing w:after="0"/>
        <w:rPr>
          <w:rFonts w:ascii="Garamond" w:hAnsi="Garamond" w:cstheme="minorHAnsi"/>
          <w:sz w:val="24"/>
          <w:szCs w:val="24"/>
          <w:lang w:val="en-US"/>
        </w:rPr>
      </w:pPr>
      <w:r w:rsidRPr="007550A0">
        <w:rPr>
          <w:rFonts w:ascii="Garamond" w:hAnsi="Garamond" w:cstheme="minorHAnsi"/>
          <w:sz w:val="24"/>
          <w:szCs w:val="24"/>
          <w:lang w:val="en-US"/>
        </w:rPr>
        <w:t>Promote</w:t>
      </w:r>
      <w:r w:rsidR="00254424" w:rsidRPr="007550A0">
        <w:rPr>
          <w:rFonts w:ascii="Garamond" w:hAnsi="Garamond" w:cstheme="minorHAnsi"/>
          <w:sz w:val="24"/>
          <w:szCs w:val="24"/>
          <w:lang w:val="en-US"/>
        </w:rPr>
        <w:t xml:space="preserve"> Local Bioeconomy: </w:t>
      </w:r>
      <w:r w:rsidR="00017FE1" w:rsidRPr="007550A0">
        <w:rPr>
          <w:rFonts w:ascii="Garamond" w:hAnsi="Garamond" w:cstheme="minorHAnsi"/>
          <w:sz w:val="24"/>
          <w:szCs w:val="24"/>
          <w:lang w:val="en-US"/>
        </w:rPr>
        <w:t>Use</w:t>
      </w:r>
      <w:r w:rsidR="00254424" w:rsidRPr="007550A0">
        <w:rPr>
          <w:rFonts w:ascii="Garamond" w:hAnsi="Garamond" w:cstheme="minorHAnsi"/>
          <w:sz w:val="24"/>
          <w:szCs w:val="24"/>
          <w:lang w:val="en-US"/>
        </w:rPr>
        <w:t xml:space="preserve"> the unique flavors and ingredients of the Amazon region to foster a deeper appreciation for local products.</w:t>
      </w:r>
    </w:p>
    <w:p w14:paraId="2F2AEA17" w14:textId="15F60CEC" w:rsidR="005163F3" w:rsidRPr="007550A0" w:rsidRDefault="005163F3" w:rsidP="00254424">
      <w:pPr>
        <w:pStyle w:val="Listeafsnit"/>
        <w:numPr>
          <w:ilvl w:val="0"/>
          <w:numId w:val="29"/>
        </w:numPr>
        <w:spacing w:after="0"/>
        <w:rPr>
          <w:rFonts w:ascii="Garamond" w:hAnsi="Garamond" w:cstheme="minorHAnsi"/>
          <w:sz w:val="24"/>
          <w:szCs w:val="24"/>
          <w:lang w:val="en-US"/>
        </w:rPr>
      </w:pPr>
      <w:r w:rsidRPr="007550A0">
        <w:rPr>
          <w:rFonts w:ascii="Garamond" w:hAnsi="Garamond" w:cstheme="minorHAnsi"/>
          <w:sz w:val="24"/>
          <w:szCs w:val="24"/>
          <w:lang w:val="en-US"/>
        </w:rPr>
        <w:t>Elevate Nutrition and Health: Focus on preparing healthy and nutritional dishes that improve the well-being of the consumers.</w:t>
      </w:r>
    </w:p>
    <w:p w14:paraId="4A5EFF25" w14:textId="05CE30E2" w:rsidR="00254424" w:rsidRPr="007550A0" w:rsidRDefault="00254424" w:rsidP="00254424">
      <w:pPr>
        <w:pStyle w:val="Listeafsnit"/>
        <w:numPr>
          <w:ilvl w:val="0"/>
          <w:numId w:val="29"/>
        </w:numPr>
        <w:spacing w:after="0"/>
        <w:rPr>
          <w:rFonts w:ascii="Garamond" w:hAnsi="Garamond"/>
          <w:sz w:val="24"/>
          <w:szCs w:val="24"/>
          <w:lang w:val="en-US"/>
        </w:rPr>
      </w:pPr>
      <w:r w:rsidRPr="007550A0">
        <w:rPr>
          <w:rFonts w:ascii="Garamond" w:hAnsi="Garamond"/>
          <w:sz w:val="24"/>
          <w:szCs w:val="24"/>
          <w:lang w:val="en-US"/>
        </w:rPr>
        <w:t xml:space="preserve">Strengthen Local Value Chains: </w:t>
      </w:r>
      <w:r w:rsidR="00287765" w:rsidRPr="007550A0">
        <w:rPr>
          <w:rFonts w:ascii="Garamond" w:hAnsi="Garamond"/>
          <w:sz w:val="24"/>
          <w:szCs w:val="24"/>
          <w:lang w:val="en-US"/>
        </w:rPr>
        <w:t>Commitment to use local agricultural products in a way that demonstrate how to c</w:t>
      </w:r>
      <w:r w:rsidRPr="007550A0">
        <w:rPr>
          <w:rFonts w:ascii="Garamond" w:hAnsi="Garamond"/>
          <w:sz w:val="24"/>
          <w:szCs w:val="24"/>
          <w:lang w:val="en-US"/>
        </w:rPr>
        <w:t>reat</w:t>
      </w:r>
      <w:r w:rsidR="00287765" w:rsidRPr="007550A0">
        <w:rPr>
          <w:rFonts w:ascii="Garamond" w:hAnsi="Garamond"/>
          <w:sz w:val="24"/>
          <w:szCs w:val="24"/>
          <w:lang w:val="en-US"/>
        </w:rPr>
        <w:t>e added</w:t>
      </w:r>
      <w:r w:rsidRPr="007550A0">
        <w:rPr>
          <w:rFonts w:ascii="Garamond" w:hAnsi="Garamond"/>
          <w:sz w:val="24"/>
          <w:szCs w:val="24"/>
          <w:lang w:val="en-US"/>
        </w:rPr>
        <w:t xml:space="preserve"> value</w:t>
      </w:r>
      <w:r w:rsidR="00287765" w:rsidRPr="007550A0">
        <w:rPr>
          <w:rFonts w:ascii="Garamond" w:hAnsi="Garamond"/>
          <w:sz w:val="24"/>
          <w:szCs w:val="24"/>
          <w:lang w:val="en-US"/>
        </w:rPr>
        <w:t xml:space="preserve"> on all levels</w:t>
      </w:r>
      <w:r w:rsidRPr="007550A0">
        <w:rPr>
          <w:rFonts w:ascii="Garamond" w:hAnsi="Garamond"/>
          <w:sz w:val="24"/>
          <w:szCs w:val="24"/>
          <w:lang w:val="en-US"/>
        </w:rPr>
        <w:t xml:space="preserve"> up to restaurant level.</w:t>
      </w:r>
    </w:p>
    <w:p w14:paraId="5D17B8F2" w14:textId="72366E69" w:rsidR="00254424" w:rsidRPr="007550A0" w:rsidRDefault="00254424" w:rsidP="00254424">
      <w:pPr>
        <w:pStyle w:val="Listeafsnit"/>
        <w:numPr>
          <w:ilvl w:val="0"/>
          <w:numId w:val="29"/>
        </w:numPr>
        <w:spacing w:after="0"/>
        <w:rPr>
          <w:rFonts w:ascii="Garamond" w:hAnsi="Garamond" w:cstheme="minorHAnsi"/>
          <w:sz w:val="24"/>
          <w:szCs w:val="24"/>
          <w:lang w:val="en-US"/>
        </w:rPr>
      </w:pPr>
      <w:r w:rsidRPr="007550A0">
        <w:rPr>
          <w:rFonts w:ascii="Garamond" w:hAnsi="Garamond" w:cstheme="minorHAnsi"/>
          <w:sz w:val="24"/>
          <w:szCs w:val="24"/>
          <w:lang w:val="en-US"/>
        </w:rPr>
        <w:t>Strengthen Community Ties: Build lasting relationships between chefs and farmers to encourage collaboration and mutual support.</w:t>
      </w:r>
    </w:p>
    <w:p w14:paraId="721F014A" w14:textId="1E2526AC" w:rsidR="00254424" w:rsidRPr="007550A0" w:rsidRDefault="00254424" w:rsidP="00254424">
      <w:pPr>
        <w:pStyle w:val="Listeafsnit"/>
        <w:numPr>
          <w:ilvl w:val="0"/>
          <w:numId w:val="29"/>
        </w:numPr>
        <w:spacing w:after="0"/>
        <w:rPr>
          <w:rFonts w:ascii="Garamond" w:hAnsi="Garamond" w:cstheme="minorHAnsi"/>
          <w:sz w:val="24"/>
          <w:szCs w:val="24"/>
          <w:lang w:val="en-US"/>
        </w:rPr>
      </w:pPr>
      <w:r w:rsidRPr="007550A0">
        <w:rPr>
          <w:rFonts w:ascii="Garamond" w:hAnsi="Garamond" w:cstheme="minorHAnsi"/>
          <w:sz w:val="24"/>
          <w:szCs w:val="24"/>
          <w:lang w:val="en-US"/>
        </w:rPr>
        <w:lastRenderedPageBreak/>
        <w:t>Facilitate Cultural Exchange: Create opportunities for Danish and Brazilian chefs to share knowledge, techniques, and culinary traditions.</w:t>
      </w:r>
    </w:p>
    <w:p w14:paraId="31ECDAD3" w14:textId="6693AEFC" w:rsidR="00FA0572" w:rsidRPr="007550A0" w:rsidRDefault="00FA0572" w:rsidP="000E4B78">
      <w:pPr>
        <w:spacing w:after="0"/>
        <w:rPr>
          <w:rFonts w:ascii="Garamond" w:hAnsi="Garamond"/>
          <w:sz w:val="24"/>
          <w:szCs w:val="24"/>
          <w:lang w:val="en-US"/>
        </w:rPr>
      </w:pPr>
    </w:p>
    <w:p w14:paraId="4AACEDAF" w14:textId="4E678623" w:rsidR="00FA0572" w:rsidRPr="007550A0" w:rsidRDefault="009D2BBE" w:rsidP="000E4B78">
      <w:pPr>
        <w:spacing w:after="0"/>
        <w:rPr>
          <w:rFonts w:ascii="Garamond" w:hAnsi="Garamond"/>
          <w:sz w:val="24"/>
          <w:szCs w:val="24"/>
          <w:lang w:val="en-GB"/>
        </w:rPr>
      </w:pPr>
      <w:r w:rsidRPr="007550A0">
        <w:rPr>
          <w:rFonts w:ascii="Garamond" w:hAnsi="Garamond"/>
          <w:sz w:val="24"/>
          <w:szCs w:val="24"/>
          <w:lang w:val="en-GB"/>
        </w:rPr>
        <w:t xml:space="preserve">The </w:t>
      </w:r>
      <w:r w:rsidRPr="007550A0">
        <w:rPr>
          <w:rFonts w:ascii="Garamond" w:hAnsi="Garamond"/>
          <w:b/>
          <w:bCs/>
          <w:sz w:val="24"/>
          <w:szCs w:val="24"/>
          <w:lang w:val="en-GB"/>
        </w:rPr>
        <w:t>g</w:t>
      </w:r>
      <w:r w:rsidR="00FA0572" w:rsidRPr="007550A0">
        <w:rPr>
          <w:rFonts w:ascii="Garamond" w:hAnsi="Garamond"/>
          <w:b/>
          <w:bCs/>
          <w:sz w:val="24"/>
          <w:szCs w:val="24"/>
          <w:lang w:val="en-GB"/>
        </w:rPr>
        <w:t>eographic scope</w:t>
      </w:r>
      <w:r w:rsidRPr="007550A0">
        <w:rPr>
          <w:rFonts w:ascii="Garamond" w:hAnsi="Garamond"/>
          <w:sz w:val="24"/>
          <w:szCs w:val="24"/>
          <w:lang w:val="en-GB"/>
        </w:rPr>
        <w:t xml:space="preserve"> of the project is</w:t>
      </w:r>
      <w:r w:rsidR="00FA0572" w:rsidRPr="007550A0">
        <w:rPr>
          <w:rFonts w:ascii="Garamond" w:hAnsi="Garamond"/>
          <w:sz w:val="24"/>
          <w:szCs w:val="24"/>
          <w:lang w:val="en-GB"/>
        </w:rPr>
        <w:t xml:space="preserve"> </w:t>
      </w:r>
      <w:r w:rsidR="00254424" w:rsidRPr="007550A0">
        <w:rPr>
          <w:rFonts w:ascii="Garamond" w:hAnsi="Garamond"/>
          <w:sz w:val="24"/>
          <w:szCs w:val="24"/>
          <w:lang w:val="en-GB"/>
        </w:rPr>
        <w:t xml:space="preserve">the </w:t>
      </w:r>
      <w:r w:rsidR="00280791" w:rsidRPr="007550A0">
        <w:rPr>
          <w:rFonts w:ascii="Garamond" w:hAnsi="Garamond"/>
          <w:sz w:val="24"/>
          <w:szCs w:val="24"/>
          <w:lang w:val="en-GB"/>
        </w:rPr>
        <w:t>s</w:t>
      </w:r>
      <w:r w:rsidR="00FA0572" w:rsidRPr="007550A0">
        <w:rPr>
          <w:rFonts w:ascii="Garamond" w:hAnsi="Garamond"/>
          <w:sz w:val="24"/>
          <w:szCs w:val="24"/>
          <w:lang w:val="en-GB"/>
        </w:rPr>
        <w:t>tate of Pará</w:t>
      </w:r>
      <w:r w:rsidRPr="007550A0">
        <w:rPr>
          <w:rFonts w:ascii="Garamond" w:hAnsi="Garamond"/>
          <w:sz w:val="24"/>
          <w:szCs w:val="24"/>
          <w:lang w:val="en-GB"/>
        </w:rPr>
        <w:t>, Brazil</w:t>
      </w:r>
      <w:r w:rsidR="00254424" w:rsidRPr="007550A0">
        <w:rPr>
          <w:rFonts w:ascii="Garamond" w:hAnsi="Garamond"/>
          <w:sz w:val="24"/>
          <w:szCs w:val="24"/>
          <w:lang w:val="en-GB"/>
        </w:rPr>
        <w:t>. Belém acts as a physical anchor,</w:t>
      </w:r>
      <w:r w:rsidR="00FD335C" w:rsidRPr="007550A0">
        <w:rPr>
          <w:rFonts w:ascii="Garamond" w:hAnsi="Garamond"/>
          <w:sz w:val="24"/>
          <w:szCs w:val="24"/>
          <w:lang w:val="en-GB"/>
        </w:rPr>
        <w:t xml:space="preserve"> </w:t>
      </w:r>
      <w:r w:rsidR="00254424" w:rsidRPr="007550A0">
        <w:rPr>
          <w:rFonts w:ascii="Garamond" w:hAnsi="Garamond"/>
          <w:sz w:val="24"/>
          <w:szCs w:val="24"/>
          <w:lang w:val="en-GB"/>
        </w:rPr>
        <w:t>as the location for the establishment of</w:t>
      </w:r>
      <w:r w:rsidR="00FD335C" w:rsidRPr="007550A0">
        <w:rPr>
          <w:rFonts w:ascii="Garamond" w:hAnsi="Garamond"/>
          <w:sz w:val="24"/>
          <w:szCs w:val="24"/>
          <w:lang w:val="en-GB"/>
        </w:rPr>
        <w:t xml:space="preserve"> the gastronomy school.</w:t>
      </w:r>
    </w:p>
    <w:p w14:paraId="70B54F88" w14:textId="76B901A6" w:rsidR="00FA0572" w:rsidRPr="007550A0" w:rsidRDefault="00FA0572" w:rsidP="000E4B78">
      <w:pPr>
        <w:spacing w:after="0"/>
        <w:rPr>
          <w:rFonts w:ascii="Garamond" w:hAnsi="Garamond"/>
          <w:sz w:val="24"/>
          <w:szCs w:val="24"/>
          <w:lang w:val="en-GB"/>
        </w:rPr>
      </w:pPr>
    </w:p>
    <w:p w14:paraId="32813737" w14:textId="04EC577B" w:rsidR="00FA0572" w:rsidRPr="007550A0" w:rsidRDefault="00FA0572" w:rsidP="000E4B78">
      <w:pPr>
        <w:spacing w:after="0"/>
        <w:rPr>
          <w:rFonts w:ascii="Garamond" w:hAnsi="Garamond"/>
          <w:sz w:val="24"/>
          <w:szCs w:val="24"/>
          <w:lang w:val="en-GB"/>
        </w:rPr>
      </w:pPr>
      <w:r w:rsidRPr="007550A0">
        <w:rPr>
          <w:rFonts w:ascii="Garamond" w:hAnsi="Garamond"/>
          <w:b/>
          <w:bCs/>
          <w:sz w:val="24"/>
          <w:szCs w:val="24"/>
          <w:lang w:val="en-GB"/>
        </w:rPr>
        <w:t>Thematic scope</w:t>
      </w:r>
      <w:r w:rsidRPr="007550A0">
        <w:rPr>
          <w:rFonts w:ascii="Garamond" w:hAnsi="Garamond"/>
          <w:sz w:val="24"/>
          <w:szCs w:val="24"/>
          <w:lang w:val="en-GB"/>
        </w:rPr>
        <w:t>: Education, Employment, Sustainable Food Systems, Tourism, and Cultural Industries</w:t>
      </w:r>
    </w:p>
    <w:p w14:paraId="30B70611" w14:textId="77777777" w:rsidR="000E4B78" w:rsidRPr="007550A0" w:rsidRDefault="000E4B78" w:rsidP="000E4B78">
      <w:pPr>
        <w:spacing w:after="0"/>
        <w:rPr>
          <w:rFonts w:ascii="Garamond" w:hAnsi="Garamond" w:cstheme="minorHAnsi"/>
          <w:sz w:val="24"/>
          <w:szCs w:val="24"/>
          <w:lang w:val="en-GB"/>
        </w:rPr>
      </w:pPr>
    </w:p>
    <w:p w14:paraId="05682AA2" w14:textId="0CCA768A" w:rsidR="000E4B78" w:rsidRPr="007550A0" w:rsidRDefault="00FA0572" w:rsidP="00FA0572">
      <w:pPr>
        <w:spacing w:after="0"/>
        <w:rPr>
          <w:rFonts w:ascii="Garamond" w:hAnsi="Garamond" w:cstheme="minorHAnsi"/>
          <w:sz w:val="24"/>
          <w:szCs w:val="24"/>
          <w:lang w:val="en-GB"/>
        </w:rPr>
      </w:pPr>
      <w:r w:rsidRPr="007550A0">
        <w:rPr>
          <w:rFonts w:ascii="Garamond" w:hAnsi="Garamond" w:cstheme="minorHAnsi"/>
          <w:b/>
          <w:bCs/>
          <w:sz w:val="24"/>
          <w:szCs w:val="24"/>
          <w:lang w:val="en-GB"/>
        </w:rPr>
        <w:t>T</w:t>
      </w:r>
      <w:r w:rsidR="000E4B78" w:rsidRPr="007550A0">
        <w:rPr>
          <w:rFonts w:ascii="Garamond" w:hAnsi="Garamond" w:cstheme="minorHAnsi"/>
          <w:b/>
          <w:bCs/>
          <w:sz w:val="24"/>
          <w:szCs w:val="24"/>
          <w:lang w:val="en-GB"/>
        </w:rPr>
        <w:t>arget groups</w:t>
      </w:r>
      <w:r w:rsidR="00FD335C" w:rsidRPr="007550A0">
        <w:rPr>
          <w:rFonts w:ascii="Garamond" w:hAnsi="Garamond" w:cstheme="minorHAnsi"/>
          <w:sz w:val="24"/>
          <w:szCs w:val="24"/>
          <w:lang w:val="en-GB"/>
        </w:rPr>
        <w:t xml:space="preserve">: </w:t>
      </w:r>
      <w:r w:rsidR="00254424" w:rsidRPr="007550A0">
        <w:rPr>
          <w:rFonts w:ascii="Garamond" w:hAnsi="Garamond" w:cstheme="minorHAnsi"/>
          <w:sz w:val="24"/>
          <w:szCs w:val="24"/>
          <w:lang w:val="en-GB"/>
        </w:rPr>
        <w:t>Ideally an application would come from a Danish and Brazilian NGO</w:t>
      </w:r>
      <w:r w:rsidR="002B4BDD" w:rsidRPr="007550A0">
        <w:rPr>
          <w:rFonts w:ascii="Garamond" w:hAnsi="Garamond" w:cstheme="minorHAnsi"/>
          <w:sz w:val="24"/>
          <w:szCs w:val="24"/>
          <w:lang w:val="en-GB"/>
        </w:rPr>
        <w:t xml:space="preserve"> </w:t>
      </w:r>
      <w:r w:rsidR="00254424" w:rsidRPr="007550A0">
        <w:rPr>
          <w:rFonts w:ascii="Garamond" w:hAnsi="Garamond" w:cstheme="minorHAnsi"/>
          <w:sz w:val="24"/>
          <w:szCs w:val="24"/>
          <w:lang w:val="en-GB"/>
        </w:rPr>
        <w:t xml:space="preserve">that would work together on the project. </w:t>
      </w:r>
    </w:p>
    <w:p w14:paraId="478177C6" w14:textId="4CDCB382" w:rsidR="00FD335C" w:rsidRPr="007550A0" w:rsidRDefault="00FD335C" w:rsidP="00FA0572">
      <w:pPr>
        <w:spacing w:after="0"/>
        <w:rPr>
          <w:rFonts w:ascii="Garamond" w:hAnsi="Garamond" w:cstheme="minorHAnsi"/>
          <w:sz w:val="24"/>
          <w:szCs w:val="24"/>
          <w:lang w:val="en-GB"/>
        </w:rPr>
      </w:pPr>
    </w:p>
    <w:p w14:paraId="5C46B9B5" w14:textId="27675E88" w:rsidR="00FD335C" w:rsidRPr="007550A0" w:rsidRDefault="00FD335C" w:rsidP="00FD335C">
      <w:pPr>
        <w:spacing w:after="0"/>
        <w:rPr>
          <w:rFonts w:ascii="Garamond" w:hAnsi="Garamond" w:cstheme="minorHAnsi"/>
          <w:sz w:val="24"/>
          <w:szCs w:val="24"/>
          <w:lang w:val="en-GB"/>
        </w:rPr>
      </w:pPr>
      <w:r w:rsidRPr="007550A0">
        <w:rPr>
          <w:rFonts w:ascii="Garamond" w:hAnsi="Garamond" w:cstheme="minorHAnsi"/>
          <w:b/>
          <w:bCs/>
          <w:sz w:val="24"/>
          <w:szCs w:val="24"/>
          <w:lang w:val="en-GB"/>
        </w:rPr>
        <w:t>Cross-cutting priority:</w:t>
      </w:r>
      <w:r w:rsidRPr="007550A0">
        <w:rPr>
          <w:rFonts w:ascii="Garamond" w:hAnsi="Garamond" w:cstheme="minorHAnsi"/>
          <w:sz w:val="24"/>
          <w:szCs w:val="24"/>
          <w:lang w:val="en-GB"/>
        </w:rPr>
        <w:t xml:space="preserve"> A cross-cutting priority will be to promote peer-to-peer cooperation between Danish partners and </w:t>
      </w:r>
      <w:r w:rsidR="00A30075" w:rsidRPr="007550A0">
        <w:rPr>
          <w:rFonts w:ascii="Garamond" w:hAnsi="Garamond" w:cstheme="minorHAnsi"/>
          <w:sz w:val="24"/>
          <w:szCs w:val="24"/>
          <w:lang w:val="en-GB"/>
        </w:rPr>
        <w:t>local</w:t>
      </w:r>
      <w:r w:rsidRPr="007550A0">
        <w:rPr>
          <w:rFonts w:ascii="Garamond" w:hAnsi="Garamond" w:cstheme="minorHAnsi"/>
          <w:sz w:val="24"/>
          <w:szCs w:val="24"/>
          <w:lang w:val="en-GB"/>
        </w:rPr>
        <w:t xml:space="preserve"> partners in Pará, which has the potential to extend beyond the fixed project period. In assessing project proposals, emphasis will be placed on the following:</w:t>
      </w:r>
    </w:p>
    <w:p w14:paraId="204F4F44" w14:textId="09C98DE3" w:rsidR="00FD335C" w:rsidRPr="007550A0" w:rsidRDefault="00FD335C" w:rsidP="00FD335C">
      <w:pPr>
        <w:pStyle w:val="Listeafsnit"/>
        <w:numPr>
          <w:ilvl w:val="0"/>
          <w:numId w:val="29"/>
        </w:numPr>
        <w:spacing w:after="0"/>
        <w:rPr>
          <w:rFonts w:ascii="Garamond" w:hAnsi="Garamond" w:cstheme="minorHAnsi"/>
          <w:sz w:val="24"/>
          <w:szCs w:val="24"/>
          <w:lang w:val="en-GB"/>
        </w:rPr>
      </w:pPr>
      <w:r w:rsidRPr="007550A0">
        <w:rPr>
          <w:rFonts w:ascii="Garamond" w:hAnsi="Garamond" w:cstheme="minorHAnsi"/>
          <w:sz w:val="24"/>
          <w:szCs w:val="24"/>
          <w:lang w:val="en-GB"/>
        </w:rPr>
        <w:t>Identifying partners (in Denmark and Pará) who have a vested interest in developing cooperation and exchange that is mutually beneficial, so that sustainability is emphasised.</w:t>
      </w:r>
    </w:p>
    <w:p w14:paraId="3FDA448B" w14:textId="729762E6" w:rsidR="00FD335C" w:rsidRPr="007550A0" w:rsidRDefault="00FD335C" w:rsidP="00FD335C">
      <w:pPr>
        <w:pStyle w:val="Listeafsnit"/>
        <w:numPr>
          <w:ilvl w:val="0"/>
          <w:numId w:val="29"/>
        </w:numPr>
        <w:spacing w:after="0"/>
        <w:rPr>
          <w:rFonts w:ascii="Garamond" w:hAnsi="Garamond" w:cstheme="minorHAnsi"/>
          <w:sz w:val="24"/>
          <w:szCs w:val="24"/>
          <w:lang w:val="en-GB"/>
        </w:rPr>
      </w:pPr>
      <w:r w:rsidRPr="007550A0">
        <w:rPr>
          <w:rFonts w:ascii="Garamond" w:hAnsi="Garamond" w:cstheme="minorHAnsi"/>
          <w:sz w:val="24"/>
          <w:szCs w:val="24"/>
          <w:lang w:val="en-GB"/>
        </w:rPr>
        <w:t xml:space="preserve">Description of the strategy for establishing partnerships that have the potential to extend beyond the project implementation period. </w:t>
      </w:r>
    </w:p>
    <w:p w14:paraId="79607CF9" w14:textId="1494B66F" w:rsidR="00FD335C" w:rsidRPr="007550A0" w:rsidRDefault="00FD335C" w:rsidP="00FD335C">
      <w:pPr>
        <w:pStyle w:val="Listeafsnit"/>
        <w:numPr>
          <w:ilvl w:val="0"/>
          <w:numId w:val="29"/>
        </w:numPr>
        <w:spacing w:after="0"/>
        <w:rPr>
          <w:rFonts w:ascii="Garamond" w:hAnsi="Garamond" w:cstheme="minorHAnsi"/>
          <w:sz w:val="24"/>
          <w:szCs w:val="24"/>
          <w:lang w:val="en-GB"/>
        </w:rPr>
      </w:pPr>
      <w:r w:rsidRPr="007550A0">
        <w:rPr>
          <w:rFonts w:ascii="Garamond" w:hAnsi="Garamond" w:cstheme="minorHAnsi"/>
          <w:sz w:val="24"/>
          <w:szCs w:val="24"/>
          <w:lang w:val="en-GB"/>
        </w:rPr>
        <w:t>Identification of partners (in Denmark and Pará) who broadly represent their field and are rooted in their communities.</w:t>
      </w:r>
    </w:p>
    <w:p w14:paraId="27E622BD" w14:textId="4D150DA4" w:rsidR="00FD335C" w:rsidRPr="007550A0" w:rsidRDefault="00FD335C" w:rsidP="000E4B78">
      <w:pPr>
        <w:pStyle w:val="Listeafsnit"/>
        <w:numPr>
          <w:ilvl w:val="0"/>
          <w:numId w:val="29"/>
        </w:numPr>
        <w:spacing w:after="0"/>
        <w:rPr>
          <w:rFonts w:ascii="Garamond" w:hAnsi="Garamond" w:cstheme="minorHAnsi"/>
          <w:sz w:val="24"/>
          <w:szCs w:val="24"/>
          <w:lang w:val="en-GB"/>
        </w:rPr>
      </w:pPr>
      <w:r w:rsidRPr="007550A0">
        <w:rPr>
          <w:rFonts w:ascii="Garamond" w:hAnsi="Garamond" w:cstheme="minorHAnsi"/>
          <w:sz w:val="24"/>
          <w:szCs w:val="24"/>
          <w:lang w:val="en-GB"/>
        </w:rPr>
        <w:t>That efforts are made to involve young people</w:t>
      </w:r>
      <w:r w:rsidR="00287765" w:rsidRPr="007550A0">
        <w:rPr>
          <w:rFonts w:ascii="Garamond" w:hAnsi="Garamond" w:cstheme="minorHAnsi"/>
          <w:sz w:val="24"/>
          <w:szCs w:val="24"/>
          <w:lang w:val="en-GB"/>
        </w:rPr>
        <w:t xml:space="preserve"> </w:t>
      </w:r>
      <w:r w:rsidR="00A30075" w:rsidRPr="007550A0">
        <w:rPr>
          <w:rFonts w:ascii="Garamond" w:hAnsi="Garamond" w:cstheme="minorHAnsi"/>
          <w:sz w:val="24"/>
          <w:szCs w:val="24"/>
          <w:lang w:val="en-GB"/>
        </w:rPr>
        <w:t>outside the formal job market and/or education</w:t>
      </w:r>
      <w:r w:rsidRPr="007550A0">
        <w:rPr>
          <w:rFonts w:ascii="Garamond" w:hAnsi="Garamond" w:cstheme="minorHAnsi"/>
          <w:sz w:val="24"/>
          <w:szCs w:val="24"/>
          <w:lang w:val="en-GB"/>
        </w:rPr>
        <w:t>.</w:t>
      </w:r>
    </w:p>
    <w:p w14:paraId="3BB93DCC" w14:textId="77777777" w:rsidR="00401BE7" w:rsidRPr="007550A0" w:rsidRDefault="00401BE7" w:rsidP="00401BE7">
      <w:pPr>
        <w:spacing w:after="0"/>
        <w:rPr>
          <w:rFonts w:ascii="Garamond" w:hAnsi="Garamond" w:cstheme="minorHAnsi"/>
          <w:sz w:val="24"/>
          <w:szCs w:val="24"/>
          <w:lang w:val="en-GB"/>
        </w:rPr>
      </w:pPr>
    </w:p>
    <w:p w14:paraId="738944F9" w14:textId="3912C8DA" w:rsidR="000E4B78" w:rsidRPr="007550A0" w:rsidRDefault="00737AAA"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E</w:t>
      </w:r>
      <w:r w:rsidR="000E4B78" w:rsidRPr="007550A0">
        <w:rPr>
          <w:rFonts w:ascii="Garamond" w:hAnsi="Garamond"/>
          <w:b/>
          <w:bCs/>
          <w:sz w:val="28"/>
          <w:szCs w:val="28"/>
          <w:lang w:val="en-GB"/>
        </w:rPr>
        <w:t>ligibility criteria</w:t>
      </w:r>
    </w:p>
    <w:p w14:paraId="742807A7" w14:textId="1BE4F6F9" w:rsidR="000E4B78" w:rsidRPr="007550A0" w:rsidRDefault="000E4B78" w:rsidP="000E4B78">
      <w:pPr>
        <w:spacing w:after="0"/>
        <w:rPr>
          <w:rFonts w:ascii="Garamond" w:eastAsia="Times New Roman" w:hAnsi="Garamond" w:cstheme="minorHAnsi"/>
          <w:sz w:val="24"/>
          <w:szCs w:val="24"/>
          <w:lang w:val="en-GB" w:eastAsia="da-DK"/>
        </w:rPr>
      </w:pPr>
      <w:r w:rsidRPr="007550A0">
        <w:rPr>
          <w:rFonts w:ascii="Garamond" w:eastAsia="Times New Roman" w:hAnsi="Garamond" w:cstheme="minorHAnsi"/>
          <w:sz w:val="24"/>
          <w:szCs w:val="24"/>
          <w:lang w:val="en-GB" w:eastAsia="da-DK"/>
        </w:rPr>
        <w:t>The eligibility of the application/applicant will be assessed on the basis of the following criteria:</w:t>
      </w:r>
    </w:p>
    <w:p w14:paraId="39E37989" w14:textId="66BA56C2" w:rsidR="00812BDF" w:rsidRPr="007550A0" w:rsidRDefault="00812BDF" w:rsidP="000E4B78">
      <w:pPr>
        <w:spacing w:after="0"/>
        <w:rPr>
          <w:rFonts w:ascii="Garamond" w:eastAsia="Times New Roman" w:hAnsi="Garamond" w:cstheme="minorHAnsi"/>
          <w:sz w:val="24"/>
          <w:szCs w:val="24"/>
          <w:lang w:val="en-GB" w:eastAsia="da-DK"/>
        </w:rPr>
      </w:pPr>
    </w:p>
    <w:p w14:paraId="2F9CF488" w14:textId="77777777" w:rsidR="00812BDF" w:rsidRPr="007550A0" w:rsidRDefault="00812BDF" w:rsidP="00812BDF">
      <w:pPr>
        <w:pStyle w:val="Listeafsnit"/>
        <w:numPr>
          <w:ilvl w:val="0"/>
          <w:numId w:val="4"/>
        </w:numPr>
        <w:spacing w:after="0"/>
        <w:rPr>
          <w:rFonts w:ascii="Garamond" w:eastAsia="Times New Roman" w:hAnsi="Garamond" w:cstheme="minorHAnsi"/>
          <w:sz w:val="24"/>
          <w:szCs w:val="24"/>
          <w:lang w:val="en-GB" w:eastAsia="da-DK"/>
        </w:rPr>
      </w:pPr>
      <w:r w:rsidRPr="007550A0">
        <w:rPr>
          <w:rFonts w:ascii="Garamond" w:eastAsia="Times New Roman" w:hAnsi="Garamond" w:cstheme="minorHAnsi"/>
          <w:sz w:val="24"/>
          <w:szCs w:val="24"/>
          <w:lang w:val="en-GB" w:eastAsia="da-DK"/>
        </w:rPr>
        <w:t xml:space="preserve">Proposals must be submitted by a single applicant. </w:t>
      </w:r>
    </w:p>
    <w:p w14:paraId="335DC6F8" w14:textId="77777777" w:rsidR="00812BDF" w:rsidRPr="007550A0" w:rsidRDefault="00812BDF" w:rsidP="00812BDF">
      <w:pPr>
        <w:pStyle w:val="Listeafsnit"/>
        <w:numPr>
          <w:ilvl w:val="0"/>
          <w:numId w:val="4"/>
        </w:numPr>
        <w:spacing w:after="0"/>
        <w:rPr>
          <w:rFonts w:ascii="Garamond" w:eastAsia="Times New Roman" w:hAnsi="Garamond" w:cstheme="minorHAnsi"/>
          <w:sz w:val="24"/>
          <w:szCs w:val="24"/>
          <w:lang w:val="en-GB" w:eastAsia="da-DK"/>
        </w:rPr>
      </w:pPr>
      <w:r w:rsidRPr="007550A0">
        <w:rPr>
          <w:rFonts w:ascii="Garamond" w:eastAsia="Times New Roman" w:hAnsi="Garamond" w:cstheme="minorHAnsi"/>
          <w:sz w:val="24"/>
          <w:szCs w:val="24"/>
          <w:lang w:val="en-GB" w:eastAsia="da-DK"/>
        </w:rPr>
        <w:t xml:space="preserve">In order to be eligible for a grant, the applicant must be a Brazilian authority or a Danish or Brazilian non-profit civil society organisation. Private companies and individuals are not eligible for support. </w:t>
      </w:r>
    </w:p>
    <w:p w14:paraId="2FA6EF76" w14:textId="77777777" w:rsidR="00812BDF" w:rsidRPr="007550A0" w:rsidRDefault="00812BDF" w:rsidP="00812BDF">
      <w:pPr>
        <w:pStyle w:val="Listeafsnit"/>
        <w:numPr>
          <w:ilvl w:val="0"/>
          <w:numId w:val="4"/>
        </w:numPr>
        <w:spacing w:after="0"/>
        <w:rPr>
          <w:rFonts w:ascii="Garamond" w:eastAsia="Times New Roman" w:hAnsi="Garamond" w:cstheme="minorHAnsi"/>
          <w:sz w:val="24"/>
          <w:szCs w:val="24"/>
          <w:lang w:val="en-GB" w:eastAsia="da-DK"/>
        </w:rPr>
      </w:pPr>
      <w:r w:rsidRPr="007550A0">
        <w:rPr>
          <w:rFonts w:ascii="Garamond" w:eastAsia="Times New Roman" w:hAnsi="Garamond" w:cstheme="minorHAnsi"/>
          <w:sz w:val="24"/>
          <w:szCs w:val="24"/>
          <w:lang w:val="en-GB" w:eastAsia="da-DK"/>
        </w:rPr>
        <w:lastRenderedPageBreak/>
        <w:t>If the project is implemented in cooperation with local partners, an assessment of the partners must be attached to the application.</w:t>
      </w:r>
    </w:p>
    <w:p w14:paraId="323D53C4" w14:textId="2F329FCA" w:rsidR="00812BDF" w:rsidRPr="007550A0" w:rsidRDefault="00812BDF" w:rsidP="00812BDF">
      <w:pPr>
        <w:pStyle w:val="Listeafsnit"/>
        <w:numPr>
          <w:ilvl w:val="0"/>
          <w:numId w:val="4"/>
        </w:numPr>
        <w:spacing w:after="0"/>
        <w:rPr>
          <w:rFonts w:ascii="Garamond" w:eastAsia="Times New Roman" w:hAnsi="Garamond" w:cstheme="minorHAnsi"/>
          <w:sz w:val="24"/>
          <w:szCs w:val="24"/>
          <w:lang w:val="en-GB" w:eastAsia="da-DK"/>
        </w:rPr>
      </w:pPr>
      <w:r w:rsidRPr="007550A0">
        <w:rPr>
          <w:rFonts w:ascii="Garamond" w:eastAsia="Times New Roman" w:hAnsi="Garamond" w:cstheme="minorHAnsi"/>
          <w:sz w:val="24"/>
          <w:szCs w:val="24"/>
          <w:lang w:val="en-GB" w:eastAsia="da-DK"/>
        </w:rPr>
        <w:t xml:space="preserve">The applicant </w:t>
      </w:r>
      <w:r w:rsidR="002E47BA">
        <w:rPr>
          <w:rFonts w:ascii="Garamond" w:eastAsia="Times New Roman" w:hAnsi="Garamond" w:cstheme="minorHAnsi"/>
          <w:sz w:val="24"/>
          <w:szCs w:val="24"/>
          <w:lang w:val="en-GB" w:eastAsia="da-DK"/>
        </w:rPr>
        <w:t>must</w:t>
      </w:r>
      <w:r w:rsidRPr="007550A0">
        <w:rPr>
          <w:rFonts w:ascii="Garamond" w:eastAsia="Times New Roman" w:hAnsi="Garamond" w:cstheme="minorHAnsi"/>
          <w:sz w:val="24"/>
          <w:szCs w:val="24"/>
          <w:lang w:val="en-GB" w:eastAsia="da-DK"/>
        </w:rPr>
        <w:t xml:space="preserve"> be a registered entity with the relevant national authorities in Brazil and/or Denmark.</w:t>
      </w:r>
    </w:p>
    <w:p w14:paraId="75C34E22" w14:textId="77777777" w:rsidR="00812BDF" w:rsidRPr="007550A0" w:rsidRDefault="00812BDF" w:rsidP="00812BDF">
      <w:pPr>
        <w:pStyle w:val="Listeafsnit"/>
        <w:numPr>
          <w:ilvl w:val="0"/>
          <w:numId w:val="4"/>
        </w:numPr>
        <w:spacing w:after="0"/>
        <w:rPr>
          <w:rFonts w:ascii="Garamond" w:eastAsia="Times New Roman" w:hAnsi="Garamond" w:cstheme="minorHAnsi"/>
          <w:sz w:val="24"/>
          <w:szCs w:val="24"/>
          <w:lang w:val="en-GB" w:eastAsia="da-DK"/>
        </w:rPr>
      </w:pPr>
      <w:r w:rsidRPr="007550A0">
        <w:rPr>
          <w:rFonts w:ascii="Garamond" w:eastAsia="Times New Roman" w:hAnsi="Garamond" w:cstheme="minorHAnsi"/>
          <w:sz w:val="24"/>
          <w:szCs w:val="24"/>
          <w:lang w:val="en-GB" w:eastAsia="da-DK"/>
        </w:rPr>
        <w:t>The applicant must be able to document technical and professional in-house expertise in relation to the above-mentioned objectives of the project.</w:t>
      </w:r>
    </w:p>
    <w:p w14:paraId="60995693" w14:textId="77777777" w:rsidR="00812BDF" w:rsidRPr="007550A0" w:rsidRDefault="00812BDF" w:rsidP="00812BDF">
      <w:pPr>
        <w:pStyle w:val="Listeafsnit"/>
        <w:numPr>
          <w:ilvl w:val="0"/>
          <w:numId w:val="4"/>
        </w:numPr>
        <w:spacing w:after="0"/>
        <w:rPr>
          <w:rFonts w:ascii="Garamond" w:eastAsia="Times New Roman" w:hAnsi="Garamond" w:cstheme="minorHAnsi"/>
          <w:sz w:val="24"/>
          <w:szCs w:val="24"/>
          <w:lang w:val="en-GB" w:eastAsia="da-DK"/>
        </w:rPr>
      </w:pPr>
      <w:r w:rsidRPr="007550A0">
        <w:rPr>
          <w:rFonts w:ascii="Garamond" w:eastAsia="Times New Roman" w:hAnsi="Garamond" w:cstheme="minorHAnsi"/>
          <w:sz w:val="24"/>
          <w:szCs w:val="24"/>
          <w:lang w:val="en-GB" w:eastAsia="da-DK"/>
        </w:rPr>
        <w:t>The applicant should have experience in exchanging gastronomic knowledge between countries and of using culinary innovation as a tool for social change.</w:t>
      </w:r>
    </w:p>
    <w:p w14:paraId="159F3017" w14:textId="759B38B7" w:rsidR="00812BDF" w:rsidRPr="007550A0" w:rsidRDefault="00812BDF" w:rsidP="00812BDF">
      <w:pPr>
        <w:pStyle w:val="Listeafsnit"/>
        <w:numPr>
          <w:ilvl w:val="0"/>
          <w:numId w:val="4"/>
        </w:numPr>
        <w:spacing w:after="0"/>
        <w:rPr>
          <w:rFonts w:ascii="Garamond" w:eastAsia="Times New Roman" w:hAnsi="Garamond" w:cstheme="minorHAnsi"/>
          <w:sz w:val="24"/>
          <w:szCs w:val="24"/>
          <w:lang w:val="en-GB" w:eastAsia="da-DK"/>
        </w:rPr>
      </w:pPr>
      <w:r w:rsidRPr="007550A0">
        <w:rPr>
          <w:rFonts w:ascii="Garamond" w:eastAsia="Times New Roman" w:hAnsi="Garamond" w:cstheme="minorHAnsi"/>
          <w:sz w:val="24"/>
          <w:szCs w:val="24"/>
          <w:lang w:val="en-GB" w:eastAsia="da-DK"/>
        </w:rPr>
        <w:t>The lead applicant should have prior experience of implementing projects with a budget of minimum DKK 1 million.</w:t>
      </w:r>
    </w:p>
    <w:p w14:paraId="48183B7C" w14:textId="77777777" w:rsidR="000E4B78" w:rsidRPr="007550A0" w:rsidRDefault="000E4B78" w:rsidP="000E4B78">
      <w:pPr>
        <w:spacing w:after="0"/>
        <w:rPr>
          <w:rFonts w:ascii="Garamond" w:hAnsi="Garamond"/>
          <w:sz w:val="24"/>
          <w:szCs w:val="24"/>
          <w:lang w:val="en-GB"/>
        </w:rPr>
      </w:pPr>
    </w:p>
    <w:p w14:paraId="64AEE201" w14:textId="77777777" w:rsidR="000E4B78" w:rsidRPr="007550A0" w:rsidRDefault="000E4B78"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Evaluation criteria</w:t>
      </w:r>
    </w:p>
    <w:p w14:paraId="266F2430" w14:textId="77777777" w:rsidR="000E4B78" w:rsidRPr="007550A0" w:rsidRDefault="000E4B78" w:rsidP="000E4B78">
      <w:pPr>
        <w:spacing w:after="0"/>
        <w:rPr>
          <w:rFonts w:ascii="Garamond" w:hAnsi="Garamond" w:cstheme="minorHAnsi"/>
          <w:sz w:val="24"/>
          <w:szCs w:val="24"/>
          <w:lang w:val="en-GB"/>
        </w:rPr>
      </w:pPr>
      <w:r w:rsidRPr="007550A0">
        <w:rPr>
          <w:rFonts w:ascii="Garamond" w:hAnsi="Garamond" w:cstheme="minorHAnsi"/>
          <w:sz w:val="24"/>
          <w:szCs w:val="24"/>
          <w:lang w:val="en-GB"/>
        </w:rPr>
        <w:t>The evaluation of received proposals will be based on the following overall criteria:</w:t>
      </w:r>
    </w:p>
    <w:p w14:paraId="10CC0F52" w14:textId="77777777" w:rsidR="000E4B78" w:rsidRPr="007550A0" w:rsidRDefault="000E4B78" w:rsidP="000E4B78">
      <w:pPr>
        <w:spacing w:after="0"/>
        <w:rPr>
          <w:rFonts w:ascii="Garamond" w:hAnsi="Garamond" w:cstheme="minorHAnsi"/>
          <w:sz w:val="24"/>
          <w:szCs w:val="24"/>
          <w:lang w:val="en-GB"/>
        </w:rPr>
      </w:pPr>
    </w:p>
    <w:p w14:paraId="31936BE9" w14:textId="77777777" w:rsidR="000E4B78" w:rsidRPr="007550A0" w:rsidRDefault="000E4B78" w:rsidP="000E4B78">
      <w:pPr>
        <w:pStyle w:val="Listeafsnit"/>
        <w:numPr>
          <w:ilvl w:val="0"/>
          <w:numId w:val="4"/>
        </w:numPr>
        <w:spacing w:after="0"/>
        <w:rPr>
          <w:rFonts w:ascii="Garamond" w:hAnsi="Garamond" w:cstheme="minorHAnsi"/>
          <w:sz w:val="24"/>
          <w:szCs w:val="24"/>
          <w:lang w:val="en-GB"/>
        </w:rPr>
      </w:pPr>
      <w:r w:rsidRPr="007550A0">
        <w:rPr>
          <w:rFonts w:ascii="Garamond" w:hAnsi="Garamond" w:cstheme="minorHAnsi"/>
          <w:sz w:val="24"/>
          <w:szCs w:val="24"/>
          <w:lang w:val="en-GB"/>
        </w:rPr>
        <w:t>Relevance and coherence</w:t>
      </w:r>
    </w:p>
    <w:p w14:paraId="1154D7CA" w14:textId="77777777" w:rsidR="00986206" w:rsidRPr="007550A0" w:rsidRDefault="00986206" w:rsidP="000E4B78">
      <w:pPr>
        <w:pStyle w:val="Listeafsnit"/>
        <w:numPr>
          <w:ilvl w:val="0"/>
          <w:numId w:val="4"/>
        </w:numPr>
        <w:spacing w:after="0"/>
        <w:rPr>
          <w:rFonts w:ascii="Garamond" w:hAnsi="Garamond" w:cstheme="minorHAnsi"/>
          <w:sz w:val="24"/>
          <w:szCs w:val="24"/>
          <w:lang w:val="en-GB"/>
        </w:rPr>
      </w:pPr>
      <w:r w:rsidRPr="007550A0">
        <w:rPr>
          <w:rFonts w:ascii="Garamond" w:hAnsi="Garamond" w:cstheme="minorHAnsi"/>
          <w:bCs/>
          <w:sz w:val="24"/>
          <w:szCs w:val="24"/>
          <w:lang w:val="en-GB"/>
        </w:rPr>
        <w:t xml:space="preserve">Experience, Operational and financial </w:t>
      </w:r>
    </w:p>
    <w:p w14:paraId="7F9F94CB" w14:textId="3773B6B6" w:rsidR="000E4B78" w:rsidRPr="007550A0" w:rsidRDefault="000E4B78" w:rsidP="000E4B78">
      <w:pPr>
        <w:pStyle w:val="Listeafsnit"/>
        <w:numPr>
          <w:ilvl w:val="0"/>
          <w:numId w:val="4"/>
        </w:numPr>
        <w:spacing w:after="0"/>
        <w:rPr>
          <w:rFonts w:ascii="Garamond" w:hAnsi="Garamond" w:cstheme="minorHAnsi"/>
          <w:sz w:val="24"/>
          <w:szCs w:val="24"/>
          <w:lang w:val="en-GB"/>
        </w:rPr>
      </w:pPr>
      <w:r w:rsidRPr="007550A0">
        <w:rPr>
          <w:rFonts w:ascii="Garamond" w:hAnsi="Garamond" w:cstheme="minorHAnsi"/>
          <w:sz w:val="24"/>
          <w:szCs w:val="24"/>
          <w:lang w:val="en-GB"/>
        </w:rPr>
        <w:t>Quality of project design/intervention logic</w:t>
      </w:r>
      <w:r w:rsidR="00986206" w:rsidRPr="007550A0">
        <w:rPr>
          <w:rFonts w:ascii="Garamond" w:hAnsi="Garamond" w:cstheme="minorHAnsi"/>
          <w:sz w:val="24"/>
          <w:szCs w:val="24"/>
          <w:lang w:val="en-GB"/>
        </w:rPr>
        <w:t xml:space="preserve"> incl. quality of assessment of risks and assumptions</w:t>
      </w:r>
    </w:p>
    <w:p w14:paraId="281C3712" w14:textId="060D1D33" w:rsidR="000E4B78" w:rsidRPr="007550A0" w:rsidRDefault="00986206" w:rsidP="000E4B78">
      <w:pPr>
        <w:pStyle w:val="Listeafsnit"/>
        <w:numPr>
          <w:ilvl w:val="0"/>
          <w:numId w:val="4"/>
        </w:numPr>
        <w:spacing w:after="0"/>
        <w:rPr>
          <w:rFonts w:ascii="Garamond" w:hAnsi="Garamond" w:cstheme="minorHAnsi"/>
          <w:sz w:val="24"/>
          <w:szCs w:val="24"/>
          <w:lang w:val="en-GB"/>
        </w:rPr>
      </w:pPr>
      <w:r w:rsidRPr="007550A0">
        <w:rPr>
          <w:rFonts w:ascii="Garamond" w:hAnsi="Garamond" w:cstheme="minorHAnsi"/>
          <w:bCs/>
          <w:sz w:val="24"/>
          <w:szCs w:val="24"/>
          <w:lang w:val="en-GB"/>
        </w:rPr>
        <w:t>Organisation and management arrangements</w:t>
      </w:r>
    </w:p>
    <w:p w14:paraId="23579A64" w14:textId="0D5BDDCA" w:rsidR="000E4B78" w:rsidRPr="007550A0" w:rsidRDefault="00986206" w:rsidP="00A76863">
      <w:pPr>
        <w:pStyle w:val="Listeafsnit"/>
        <w:numPr>
          <w:ilvl w:val="0"/>
          <w:numId w:val="4"/>
        </w:numPr>
        <w:spacing w:after="0"/>
        <w:rPr>
          <w:rFonts w:ascii="Garamond" w:hAnsi="Garamond" w:cstheme="minorHAnsi"/>
          <w:bCs/>
          <w:sz w:val="24"/>
          <w:szCs w:val="24"/>
          <w:lang w:val="en-GB"/>
        </w:rPr>
      </w:pPr>
      <w:r w:rsidRPr="007550A0">
        <w:rPr>
          <w:rFonts w:ascii="Garamond" w:hAnsi="Garamond" w:cstheme="minorHAnsi"/>
          <w:bCs/>
          <w:sz w:val="24"/>
          <w:szCs w:val="24"/>
          <w:lang w:val="en-GB"/>
        </w:rPr>
        <w:t>Budget and expected efficiency</w:t>
      </w:r>
    </w:p>
    <w:p w14:paraId="68094FD1" w14:textId="77777777" w:rsidR="000E4B78" w:rsidRPr="007550A0" w:rsidRDefault="000E4B78" w:rsidP="000E4B78">
      <w:pPr>
        <w:spacing w:after="0"/>
        <w:rPr>
          <w:rFonts w:ascii="Garamond" w:hAnsi="Garamond" w:cstheme="minorHAnsi"/>
          <w:sz w:val="24"/>
          <w:szCs w:val="24"/>
          <w:lang w:val="en-GB"/>
        </w:rPr>
      </w:pPr>
    </w:p>
    <w:p w14:paraId="0C89A538" w14:textId="1C08EFE6" w:rsidR="000E4B78" w:rsidRPr="007550A0" w:rsidRDefault="000E4B78" w:rsidP="000E4B78">
      <w:pPr>
        <w:spacing w:after="0"/>
        <w:rPr>
          <w:rFonts w:ascii="Garamond" w:hAnsi="Garamond" w:cstheme="minorHAnsi"/>
          <w:sz w:val="24"/>
          <w:szCs w:val="24"/>
          <w:lang w:val="en-GB"/>
        </w:rPr>
      </w:pPr>
      <w:r w:rsidRPr="007550A0">
        <w:rPr>
          <w:rFonts w:ascii="Garamond" w:hAnsi="Garamond" w:cstheme="minorHAnsi"/>
          <w:sz w:val="24"/>
          <w:szCs w:val="24"/>
          <w:lang w:val="en-GB"/>
        </w:rPr>
        <w:t xml:space="preserve">For details on the evaluation criteria and scoring of each </w:t>
      </w:r>
      <w:r w:rsidR="00667843" w:rsidRPr="007550A0">
        <w:rPr>
          <w:rFonts w:ascii="Garamond" w:hAnsi="Garamond" w:cstheme="minorHAnsi"/>
          <w:sz w:val="24"/>
          <w:szCs w:val="24"/>
          <w:lang w:val="en-GB"/>
        </w:rPr>
        <w:t>criterion</w:t>
      </w:r>
      <w:r w:rsidRPr="007550A0">
        <w:rPr>
          <w:rFonts w:ascii="Garamond" w:hAnsi="Garamond" w:cstheme="minorHAnsi"/>
          <w:sz w:val="24"/>
          <w:szCs w:val="24"/>
          <w:lang w:val="en-GB"/>
        </w:rPr>
        <w:t xml:space="preserve">, consult the Eligibility and Evaluation Grid in Annex </w:t>
      </w:r>
      <w:r w:rsidR="00D907D8">
        <w:rPr>
          <w:rFonts w:ascii="Garamond" w:hAnsi="Garamond" w:cstheme="minorHAnsi"/>
          <w:sz w:val="24"/>
          <w:szCs w:val="24"/>
          <w:lang w:val="en-GB"/>
        </w:rPr>
        <w:t>4</w:t>
      </w:r>
      <w:r w:rsidR="00EF2375" w:rsidRPr="007550A0">
        <w:rPr>
          <w:rFonts w:ascii="Garamond" w:hAnsi="Garamond" w:cstheme="minorHAnsi"/>
          <w:sz w:val="24"/>
          <w:szCs w:val="24"/>
          <w:lang w:val="en-GB"/>
        </w:rPr>
        <w:t xml:space="preserve"> to this Information Note</w:t>
      </w:r>
      <w:r w:rsidRPr="007550A0">
        <w:rPr>
          <w:rFonts w:ascii="Garamond" w:hAnsi="Garamond" w:cstheme="minorHAnsi"/>
          <w:sz w:val="24"/>
          <w:szCs w:val="24"/>
          <w:lang w:val="en-GB"/>
        </w:rPr>
        <w:t>.</w:t>
      </w:r>
    </w:p>
    <w:p w14:paraId="1793FEC8" w14:textId="77777777" w:rsidR="000E4B78" w:rsidRPr="007550A0" w:rsidRDefault="000E4B78" w:rsidP="000E4B78">
      <w:pPr>
        <w:pStyle w:val="Listeafsnit"/>
        <w:spacing w:after="0"/>
        <w:ind w:left="360"/>
        <w:rPr>
          <w:rFonts w:ascii="Garamond" w:hAnsi="Garamond" w:cstheme="minorHAnsi"/>
          <w:sz w:val="24"/>
          <w:szCs w:val="24"/>
          <w:lang w:val="en-GB"/>
        </w:rPr>
      </w:pPr>
    </w:p>
    <w:p w14:paraId="23A2034B" w14:textId="77777777" w:rsidR="000E4B78" w:rsidRPr="007550A0" w:rsidRDefault="000E4B78" w:rsidP="000E4B78">
      <w:pPr>
        <w:pStyle w:val="Listeafsnit"/>
        <w:keepNext/>
        <w:numPr>
          <w:ilvl w:val="0"/>
          <w:numId w:val="2"/>
        </w:numPr>
        <w:spacing w:after="0"/>
        <w:rPr>
          <w:rFonts w:ascii="Garamond" w:hAnsi="Garamond"/>
          <w:b/>
          <w:bCs/>
          <w:sz w:val="28"/>
          <w:szCs w:val="28"/>
          <w:lang w:val="en-GB"/>
        </w:rPr>
      </w:pPr>
      <w:r w:rsidRPr="007550A0">
        <w:rPr>
          <w:rFonts w:ascii="Garamond" w:hAnsi="Garamond"/>
          <w:b/>
          <w:bCs/>
          <w:sz w:val="28"/>
          <w:szCs w:val="28"/>
          <w:lang w:val="en-GB"/>
        </w:rPr>
        <w:t>Eligibility of costs</w:t>
      </w:r>
    </w:p>
    <w:p w14:paraId="19651669" w14:textId="4D03BF7E" w:rsidR="000E4B78" w:rsidRPr="007550A0" w:rsidRDefault="000E4B78" w:rsidP="00737AAA">
      <w:pPr>
        <w:keepNext/>
        <w:spacing w:after="0"/>
        <w:rPr>
          <w:rFonts w:ascii="Garamond" w:hAnsi="Garamond" w:cstheme="minorHAnsi"/>
          <w:sz w:val="24"/>
          <w:szCs w:val="24"/>
          <w:lang w:val="en-GB"/>
        </w:rPr>
      </w:pPr>
      <w:r w:rsidRPr="007550A0">
        <w:rPr>
          <w:rFonts w:ascii="Garamond" w:hAnsi="Garamond" w:cstheme="minorHAnsi"/>
          <w:sz w:val="24"/>
          <w:szCs w:val="24"/>
          <w:lang w:val="en-GB"/>
        </w:rPr>
        <w:t xml:space="preserve">Only eligible costs can be covered by a grant. The categories of eligible costs and non-eligible are indicated in Annex </w:t>
      </w:r>
      <w:r w:rsidR="00D907D8">
        <w:rPr>
          <w:rFonts w:ascii="Garamond" w:hAnsi="Garamond" w:cstheme="minorHAnsi"/>
          <w:sz w:val="24"/>
          <w:szCs w:val="24"/>
          <w:lang w:val="en-GB"/>
        </w:rPr>
        <w:t>2</w:t>
      </w:r>
      <w:r w:rsidRPr="007550A0">
        <w:rPr>
          <w:rFonts w:ascii="Garamond" w:hAnsi="Garamond" w:cstheme="minorHAnsi"/>
          <w:sz w:val="24"/>
          <w:szCs w:val="24"/>
          <w:lang w:val="en-GB"/>
        </w:rPr>
        <w:t>.</w:t>
      </w:r>
    </w:p>
    <w:p w14:paraId="56197C88" w14:textId="77777777" w:rsidR="000E4B78" w:rsidRPr="007550A0" w:rsidRDefault="000E4B78" w:rsidP="00737AAA">
      <w:pPr>
        <w:spacing w:after="0"/>
        <w:rPr>
          <w:rFonts w:ascii="Garamond" w:hAnsi="Garamond"/>
          <w:sz w:val="24"/>
          <w:szCs w:val="24"/>
          <w:lang w:val="en-GB"/>
        </w:rPr>
      </w:pPr>
    </w:p>
    <w:p w14:paraId="2ACB44B3" w14:textId="77777777" w:rsidR="000E4B78" w:rsidRPr="007550A0" w:rsidRDefault="000E4B78"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Ethics and code of conduct</w:t>
      </w:r>
    </w:p>
    <w:p w14:paraId="40AFF00E" w14:textId="3311E687" w:rsidR="000E4B78" w:rsidRPr="007550A0" w:rsidRDefault="000E4B78" w:rsidP="00737AAA">
      <w:pPr>
        <w:spacing w:after="0"/>
        <w:rPr>
          <w:rFonts w:ascii="Garamond" w:hAnsi="Garamond" w:cstheme="minorHAnsi"/>
          <w:sz w:val="24"/>
          <w:szCs w:val="24"/>
          <w:lang w:val="en-GB"/>
        </w:rPr>
      </w:pPr>
      <w:r w:rsidRPr="007550A0">
        <w:rPr>
          <w:rFonts w:ascii="Garamond" w:hAnsi="Garamond" w:cstheme="minorHAnsi"/>
          <w:sz w:val="24"/>
          <w:szCs w:val="24"/>
          <w:lang w:val="en-GB"/>
        </w:rPr>
        <w:t xml:space="preserve">Grant applicants are expected to live up to high ethical standards as well as organisational integrity, including respect for human rights as well as environmental legislation, compliance with core </w:t>
      </w:r>
      <w:r w:rsidRPr="007550A0">
        <w:rPr>
          <w:rFonts w:ascii="Garamond" w:hAnsi="Garamond" w:cstheme="minorHAnsi"/>
          <w:sz w:val="24"/>
          <w:szCs w:val="24"/>
          <w:lang w:val="en-GB"/>
        </w:rPr>
        <w:lastRenderedPageBreak/>
        <w:t>labour standards and zero-tolerance for sexual exploitation, abuse and harassment (SEAH)</w:t>
      </w:r>
      <w:r w:rsidR="00E10791" w:rsidRPr="007550A0">
        <w:rPr>
          <w:rFonts w:ascii="Garamond" w:hAnsi="Garamond" w:cstheme="minorHAnsi"/>
          <w:sz w:val="24"/>
          <w:szCs w:val="24"/>
          <w:lang w:val="en-GB"/>
        </w:rPr>
        <w:t xml:space="preserve">, </w:t>
      </w:r>
      <w:r w:rsidRPr="007550A0">
        <w:rPr>
          <w:rFonts w:ascii="Garamond" w:hAnsi="Garamond" w:cstheme="minorHAnsi"/>
          <w:sz w:val="24"/>
          <w:szCs w:val="24"/>
          <w:lang w:val="en-GB"/>
        </w:rPr>
        <w:t>corruption</w:t>
      </w:r>
      <w:r w:rsidR="00E10791" w:rsidRPr="007550A0">
        <w:rPr>
          <w:rFonts w:ascii="Garamond" w:hAnsi="Garamond" w:cstheme="minorHAnsi"/>
          <w:sz w:val="24"/>
          <w:szCs w:val="24"/>
          <w:lang w:val="en-GB"/>
        </w:rPr>
        <w:t xml:space="preserve">, </w:t>
      </w:r>
      <w:r w:rsidR="00202E98" w:rsidRPr="007550A0">
        <w:rPr>
          <w:rFonts w:ascii="Garamond" w:hAnsi="Garamond" w:cstheme="minorHAnsi"/>
          <w:sz w:val="24"/>
          <w:szCs w:val="24"/>
          <w:lang w:val="en-GB"/>
        </w:rPr>
        <w:t xml:space="preserve">money-laundering </w:t>
      </w:r>
      <w:r w:rsidR="00E10791" w:rsidRPr="007550A0">
        <w:rPr>
          <w:rFonts w:ascii="Garamond" w:hAnsi="Garamond" w:cstheme="minorHAnsi"/>
          <w:sz w:val="24"/>
          <w:szCs w:val="24"/>
          <w:lang w:val="en-GB"/>
        </w:rPr>
        <w:t>and terrorism</w:t>
      </w:r>
      <w:r w:rsidRPr="007550A0">
        <w:rPr>
          <w:rFonts w:ascii="Garamond" w:hAnsi="Garamond" w:cstheme="minorHAnsi"/>
          <w:sz w:val="24"/>
          <w:szCs w:val="24"/>
          <w:lang w:val="en-GB"/>
        </w:rPr>
        <w:t>. Applicants may be excluded at any stage of the selection process if they do not live up to requirements in this area.</w:t>
      </w:r>
    </w:p>
    <w:p w14:paraId="50C5935F" w14:textId="77777777" w:rsidR="00737AAA" w:rsidRPr="007550A0" w:rsidRDefault="00737AAA" w:rsidP="00737AAA">
      <w:pPr>
        <w:spacing w:after="0"/>
        <w:rPr>
          <w:rFonts w:ascii="Garamond" w:hAnsi="Garamond" w:cstheme="minorHAnsi"/>
          <w:sz w:val="24"/>
          <w:szCs w:val="24"/>
          <w:lang w:val="en-GB"/>
        </w:rPr>
      </w:pPr>
    </w:p>
    <w:p w14:paraId="389930F0" w14:textId="77777777" w:rsidR="000E4B78" w:rsidRPr="007550A0" w:rsidRDefault="000E4B78"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Duration, grant size and number of proposals to be selected</w:t>
      </w:r>
    </w:p>
    <w:p w14:paraId="67F73795" w14:textId="4AF8ECE2" w:rsidR="000E4B78" w:rsidRPr="007550A0" w:rsidRDefault="000E4B78" w:rsidP="000E4B78">
      <w:pPr>
        <w:autoSpaceDE w:val="0"/>
        <w:autoSpaceDN w:val="0"/>
        <w:adjustRightInd w:val="0"/>
        <w:spacing w:after="0"/>
        <w:rPr>
          <w:rFonts w:ascii="Garamond" w:hAnsi="Garamond" w:cstheme="minorHAnsi"/>
          <w:sz w:val="24"/>
          <w:szCs w:val="24"/>
          <w:lang w:val="en-GB"/>
        </w:rPr>
      </w:pPr>
      <w:r w:rsidRPr="007550A0">
        <w:rPr>
          <w:rFonts w:ascii="Garamond" w:hAnsi="Garamond" w:cstheme="minorHAnsi"/>
          <w:sz w:val="24"/>
          <w:szCs w:val="24"/>
          <w:lang w:val="en-GB"/>
        </w:rPr>
        <w:t xml:space="preserve">The planned duration of the proposal must not be less than </w:t>
      </w:r>
      <w:r w:rsidR="00F12A6B" w:rsidRPr="007550A0">
        <w:rPr>
          <w:rFonts w:ascii="Garamond" w:hAnsi="Garamond" w:cstheme="minorHAnsi"/>
          <w:sz w:val="24"/>
          <w:szCs w:val="24"/>
          <w:lang w:val="en-GB"/>
        </w:rPr>
        <w:t>18</w:t>
      </w:r>
      <w:r w:rsidRPr="007550A0">
        <w:rPr>
          <w:rFonts w:ascii="Garamond" w:hAnsi="Garamond" w:cstheme="minorHAnsi"/>
          <w:sz w:val="24"/>
          <w:szCs w:val="24"/>
          <w:lang w:val="en-GB"/>
        </w:rPr>
        <w:t xml:space="preserve"> months and must not exceed </w:t>
      </w:r>
      <w:r w:rsidR="00FA0572" w:rsidRPr="007550A0">
        <w:rPr>
          <w:rFonts w:ascii="Garamond" w:hAnsi="Garamond" w:cstheme="minorHAnsi"/>
          <w:sz w:val="24"/>
          <w:szCs w:val="24"/>
          <w:lang w:val="en-GB"/>
        </w:rPr>
        <w:t>24</w:t>
      </w:r>
      <w:r w:rsidRPr="007550A0">
        <w:rPr>
          <w:rFonts w:ascii="Garamond" w:hAnsi="Garamond" w:cstheme="minorHAnsi"/>
          <w:sz w:val="24"/>
          <w:szCs w:val="24"/>
          <w:lang w:val="en-GB"/>
        </w:rPr>
        <w:t xml:space="preserve"> months. </w:t>
      </w:r>
    </w:p>
    <w:p w14:paraId="121C4B83" w14:textId="77777777" w:rsidR="000E4B78" w:rsidRPr="007550A0" w:rsidRDefault="000E4B78" w:rsidP="000E4B78">
      <w:pPr>
        <w:autoSpaceDE w:val="0"/>
        <w:autoSpaceDN w:val="0"/>
        <w:adjustRightInd w:val="0"/>
        <w:spacing w:after="0"/>
        <w:rPr>
          <w:rFonts w:ascii="Garamond" w:hAnsi="Garamond" w:cstheme="minorHAnsi"/>
          <w:sz w:val="24"/>
          <w:szCs w:val="24"/>
          <w:lang w:val="en-GB"/>
        </w:rPr>
      </w:pPr>
    </w:p>
    <w:p w14:paraId="6289A825" w14:textId="7BA0519B" w:rsidR="000E4B78" w:rsidRPr="007550A0" w:rsidRDefault="000E4B78" w:rsidP="000E4B78">
      <w:pPr>
        <w:autoSpaceDE w:val="0"/>
        <w:autoSpaceDN w:val="0"/>
        <w:adjustRightInd w:val="0"/>
        <w:spacing w:after="0"/>
        <w:rPr>
          <w:rFonts w:ascii="Garamond" w:hAnsi="Garamond" w:cstheme="minorHAnsi"/>
          <w:sz w:val="24"/>
          <w:szCs w:val="24"/>
          <w:lang w:val="en-GB"/>
        </w:rPr>
      </w:pPr>
      <w:r w:rsidRPr="007550A0">
        <w:rPr>
          <w:rFonts w:ascii="Garamond" w:hAnsi="Garamond" w:cstheme="minorHAnsi"/>
          <w:sz w:val="24"/>
          <w:szCs w:val="24"/>
          <w:lang w:val="en-GB"/>
        </w:rPr>
        <w:t xml:space="preserve">The overall indicative amount made available under this Call for proposals is DKK </w:t>
      </w:r>
      <w:r w:rsidR="00FA0572" w:rsidRPr="007550A0">
        <w:rPr>
          <w:rFonts w:ascii="Garamond" w:hAnsi="Garamond" w:cstheme="minorHAnsi"/>
          <w:sz w:val="24"/>
          <w:szCs w:val="24"/>
          <w:lang w:val="en-GB"/>
        </w:rPr>
        <w:t>3</w:t>
      </w:r>
      <w:r w:rsidRPr="007550A0">
        <w:rPr>
          <w:rFonts w:ascii="Garamond" w:hAnsi="Garamond" w:cstheme="minorHAnsi"/>
          <w:sz w:val="24"/>
          <w:szCs w:val="24"/>
          <w:lang w:val="en-GB"/>
        </w:rPr>
        <w:t xml:space="preserve"> million</w:t>
      </w:r>
      <w:r w:rsidR="00F12A6B" w:rsidRPr="007550A0">
        <w:rPr>
          <w:rFonts w:ascii="Garamond" w:hAnsi="Garamond" w:cstheme="minorHAnsi"/>
          <w:sz w:val="24"/>
          <w:szCs w:val="24"/>
          <w:lang w:val="en-GB"/>
        </w:rPr>
        <w:t>, which is also the</w:t>
      </w:r>
      <w:r w:rsidRPr="007550A0">
        <w:rPr>
          <w:rFonts w:ascii="Garamond" w:hAnsi="Garamond" w:cstheme="minorHAnsi"/>
          <w:sz w:val="24"/>
          <w:szCs w:val="24"/>
          <w:lang w:val="en-GB"/>
        </w:rPr>
        <w:t xml:space="preserve"> maximum grant amount. </w:t>
      </w:r>
    </w:p>
    <w:p w14:paraId="56047F30" w14:textId="77777777" w:rsidR="000E4B78" w:rsidRPr="007550A0" w:rsidRDefault="000E4B78" w:rsidP="000E4B78">
      <w:pPr>
        <w:autoSpaceDE w:val="0"/>
        <w:autoSpaceDN w:val="0"/>
        <w:adjustRightInd w:val="0"/>
        <w:spacing w:after="0"/>
        <w:rPr>
          <w:rFonts w:ascii="Garamond" w:hAnsi="Garamond" w:cstheme="minorHAnsi"/>
          <w:sz w:val="24"/>
          <w:szCs w:val="24"/>
          <w:lang w:val="en-GB"/>
        </w:rPr>
      </w:pPr>
    </w:p>
    <w:p w14:paraId="08715E47" w14:textId="1A9BE591" w:rsidR="000E4B78" w:rsidRPr="007550A0" w:rsidRDefault="000E4B78" w:rsidP="00737AAA">
      <w:pPr>
        <w:autoSpaceDE w:val="0"/>
        <w:autoSpaceDN w:val="0"/>
        <w:adjustRightInd w:val="0"/>
        <w:spacing w:after="0"/>
        <w:rPr>
          <w:rFonts w:ascii="Garamond" w:hAnsi="Garamond" w:cstheme="minorHAnsi"/>
          <w:sz w:val="24"/>
          <w:szCs w:val="24"/>
          <w:lang w:val="en-GB"/>
        </w:rPr>
      </w:pPr>
      <w:r w:rsidRPr="007550A0">
        <w:rPr>
          <w:rFonts w:ascii="Garamond" w:hAnsi="Garamond" w:cstheme="minorHAnsi"/>
          <w:sz w:val="24"/>
          <w:szCs w:val="24"/>
          <w:lang w:val="en-GB"/>
        </w:rPr>
        <w:t xml:space="preserve">A maximum of </w:t>
      </w:r>
      <w:r w:rsidR="00FA0572" w:rsidRPr="007550A0">
        <w:rPr>
          <w:rFonts w:ascii="Garamond" w:hAnsi="Garamond" w:cstheme="minorHAnsi"/>
          <w:sz w:val="24"/>
          <w:szCs w:val="24"/>
          <w:lang w:val="en-GB"/>
        </w:rPr>
        <w:t>1</w:t>
      </w:r>
      <w:r w:rsidRPr="007550A0">
        <w:rPr>
          <w:rFonts w:ascii="Garamond" w:hAnsi="Garamond" w:cstheme="minorHAnsi"/>
          <w:sz w:val="24"/>
          <w:szCs w:val="24"/>
          <w:lang w:val="en-GB"/>
        </w:rPr>
        <w:t xml:space="preserve"> proposal will be selected.</w:t>
      </w:r>
    </w:p>
    <w:p w14:paraId="003A7E79" w14:textId="77777777" w:rsidR="000E4B78" w:rsidRPr="007550A0" w:rsidRDefault="000E4B78" w:rsidP="00737AAA">
      <w:pPr>
        <w:spacing w:after="0"/>
        <w:rPr>
          <w:rFonts w:ascii="Garamond" w:hAnsi="Garamond"/>
          <w:sz w:val="24"/>
          <w:szCs w:val="24"/>
          <w:lang w:val="en-GB"/>
        </w:rPr>
      </w:pPr>
    </w:p>
    <w:p w14:paraId="5F128FAB" w14:textId="77777777" w:rsidR="000E4B78" w:rsidRPr="007550A0" w:rsidRDefault="000E4B78"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Application and selection process</w:t>
      </w:r>
    </w:p>
    <w:p w14:paraId="119819A5" w14:textId="05A14E4D" w:rsidR="00F44F66" w:rsidRPr="007550A0" w:rsidRDefault="00F44F66" w:rsidP="00F44F66">
      <w:pPr>
        <w:spacing w:after="0"/>
        <w:rPr>
          <w:rFonts w:ascii="Garamond" w:hAnsi="Garamond" w:cstheme="minorHAnsi"/>
          <w:sz w:val="24"/>
          <w:szCs w:val="24"/>
          <w:lang w:val="en-GB"/>
        </w:rPr>
      </w:pPr>
      <w:r w:rsidRPr="007550A0">
        <w:rPr>
          <w:rFonts w:ascii="Garamond" w:hAnsi="Garamond" w:cstheme="minorHAnsi"/>
          <w:sz w:val="24"/>
          <w:szCs w:val="24"/>
          <w:lang w:val="en-GB"/>
        </w:rPr>
        <w:t>To apply for this call for proposals applicants must provide information about the organisations/entities involved in the proposal by completing the Background information form</w:t>
      </w:r>
      <w:r w:rsidR="00A76863" w:rsidRPr="007550A0">
        <w:rPr>
          <w:rFonts w:ascii="Garamond" w:hAnsi="Garamond" w:cstheme="minorHAnsi"/>
          <w:sz w:val="24"/>
          <w:szCs w:val="24"/>
          <w:lang w:val="en-GB"/>
        </w:rPr>
        <w:t>,</w:t>
      </w:r>
      <w:r w:rsidRPr="007550A0">
        <w:rPr>
          <w:rFonts w:ascii="Garamond" w:hAnsi="Garamond" w:cstheme="minorHAnsi"/>
          <w:sz w:val="24"/>
          <w:szCs w:val="24"/>
          <w:lang w:val="en-GB"/>
        </w:rPr>
        <w:t xml:space="preserve"> see template in Annex </w:t>
      </w:r>
      <w:r w:rsidR="00D907D8">
        <w:rPr>
          <w:rFonts w:ascii="Garamond" w:hAnsi="Garamond" w:cstheme="minorHAnsi"/>
          <w:sz w:val="24"/>
          <w:szCs w:val="24"/>
          <w:lang w:val="en-GB"/>
        </w:rPr>
        <w:t>3</w:t>
      </w:r>
      <w:r w:rsidR="00A76863" w:rsidRPr="007550A0">
        <w:rPr>
          <w:rFonts w:ascii="Garamond" w:hAnsi="Garamond" w:cstheme="minorHAnsi"/>
          <w:sz w:val="24"/>
          <w:szCs w:val="24"/>
          <w:lang w:val="en-GB"/>
        </w:rPr>
        <w:t>.</w:t>
      </w:r>
    </w:p>
    <w:p w14:paraId="13474CAB" w14:textId="77777777" w:rsidR="00F44F66" w:rsidRPr="007550A0" w:rsidRDefault="00F44F66" w:rsidP="00F44F66">
      <w:pPr>
        <w:spacing w:after="0"/>
        <w:rPr>
          <w:rFonts w:ascii="Garamond" w:hAnsi="Garamond" w:cstheme="minorHAnsi"/>
          <w:b/>
          <w:sz w:val="24"/>
          <w:szCs w:val="24"/>
          <w:lang w:val="en-GB"/>
        </w:rPr>
      </w:pPr>
    </w:p>
    <w:p w14:paraId="3154F31F" w14:textId="14D0B97C" w:rsidR="00F44F66" w:rsidRPr="007550A0" w:rsidRDefault="00F44F66" w:rsidP="00F44F66">
      <w:pPr>
        <w:spacing w:after="0"/>
        <w:rPr>
          <w:rFonts w:ascii="Garamond" w:hAnsi="Garamond" w:cstheme="minorHAnsi"/>
          <w:b/>
          <w:sz w:val="24"/>
          <w:szCs w:val="24"/>
          <w:u w:val="single"/>
          <w:lang w:val="en-GB"/>
        </w:rPr>
      </w:pPr>
      <w:r w:rsidRPr="007550A0">
        <w:rPr>
          <w:rFonts w:ascii="Garamond" w:hAnsi="Garamond" w:cstheme="minorHAnsi"/>
          <w:b/>
          <w:sz w:val="24"/>
          <w:szCs w:val="24"/>
          <w:u w:val="single"/>
          <w:lang w:val="en-GB"/>
        </w:rPr>
        <w:t>Single Step Application Process:</w:t>
      </w:r>
    </w:p>
    <w:p w14:paraId="22FFAC2D" w14:textId="77777777" w:rsidR="00F44F66" w:rsidRPr="007550A0" w:rsidRDefault="00F44F66" w:rsidP="00F44F66">
      <w:pPr>
        <w:spacing w:after="0"/>
        <w:rPr>
          <w:rFonts w:ascii="Garamond" w:hAnsi="Garamond" w:cstheme="minorHAnsi"/>
          <w:sz w:val="24"/>
          <w:szCs w:val="24"/>
          <w:u w:val="single"/>
          <w:lang w:val="en-GB"/>
        </w:rPr>
      </w:pPr>
    </w:p>
    <w:p w14:paraId="457D11DD" w14:textId="67BDADD5" w:rsidR="00F44F66" w:rsidRPr="007550A0" w:rsidRDefault="00F44F66" w:rsidP="00F44F66">
      <w:pPr>
        <w:spacing w:after="0"/>
        <w:rPr>
          <w:rFonts w:ascii="Garamond" w:hAnsi="Garamond" w:cstheme="minorHAnsi"/>
          <w:sz w:val="24"/>
          <w:szCs w:val="24"/>
          <w:lang w:val="en-GB"/>
        </w:rPr>
      </w:pPr>
      <w:r w:rsidRPr="007550A0">
        <w:rPr>
          <w:rFonts w:ascii="Garamond" w:hAnsi="Garamond" w:cstheme="minorHAnsi"/>
          <w:sz w:val="24"/>
          <w:szCs w:val="24"/>
          <w:lang w:val="en-GB"/>
        </w:rPr>
        <w:t>There is only one step in this process where the application consists of a full project proposal.</w:t>
      </w:r>
    </w:p>
    <w:p w14:paraId="6A232B1E" w14:textId="77777777" w:rsidR="00F44F66" w:rsidRPr="007550A0" w:rsidRDefault="00F44F66" w:rsidP="00F44F66">
      <w:pPr>
        <w:spacing w:after="0"/>
        <w:rPr>
          <w:rFonts w:ascii="Garamond" w:hAnsi="Garamond" w:cstheme="minorHAnsi"/>
          <w:sz w:val="24"/>
          <w:szCs w:val="24"/>
          <w:lang w:val="en-GB"/>
        </w:rPr>
      </w:pPr>
    </w:p>
    <w:p w14:paraId="623A03F3" w14:textId="2FBABC11" w:rsidR="00F44F66" w:rsidRPr="007550A0" w:rsidRDefault="00F44F66" w:rsidP="00F44F66">
      <w:pPr>
        <w:spacing w:after="0"/>
        <w:rPr>
          <w:rFonts w:ascii="Garamond" w:hAnsi="Garamond" w:cstheme="minorHAnsi"/>
          <w:b/>
          <w:bCs/>
          <w:sz w:val="24"/>
          <w:szCs w:val="24"/>
          <w:lang w:val="en-GB"/>
        </w:rPr>
      </w:pPr>
      <w:r w:rsidRPr="007550A0">
        <w:rPr>
          <w:rFonts w:ascii="Garamond" w:hAnsi="Garamond" w:cstheme="minorHAnsi"/>
          <w:sz w:val="24"/>
          <w:szCs w:val="24"/>
          <w:lang w:val="en-GB"/>
        </w:rPr>
        <w:t xml:space="preserve">In accordance with the formats presented in Annex </w:t>
      </w:r>
      <w:r w:rsidR="00CE5528" w:rsidRPr="007550A0">
        <w:rPr>
          <w:rFonts w:ascii="Garamond" w:hAnsi="Garamond" w:cstheme="minorHAnsi"/>
          <w:sz w:val="24"/>
          <w:szCs w:val="24"/>
          <w:lang w:val="en-GB"/>
        </w:rPr>
        <w:t>1</w:t>
      </w:r>
      <w:r w:rsidRPr="007550A0">
        <w:rPr>
          <w:rFonts w:ascii="Garamond" w:hAnsi="Garamond" w:cstheme="minorHAnsi"/>
          <w:sz w:val="24"/>
          <w:szCs w:val="24"/>
          <w:lang w:val="en-GB"/>
        </w:rPr>
        <w:t>, the applicant is invited to submit a full project proposal with annexes</w:t>
      </w:r>
      <w:r w:rsidR="001941C3">
        <w:rPr>
          <w:rFonts w:ascii="Garamond" w:hAnsi="Garamond" w:cstheme="minorHAnsi"/>
          <w:sz w:val="24"/>
          <w:szCs w:val="24"/>
          <w:lang w:val="en-GB"/>
        </w:rPr>
        <w:t xml:space="preserve"> 2-5</w:t>
      </w:r>
      <w:r w:rsidR="00CE5528" w:rsidRPr="007550A0">
        <w:rPr>
          <w:rFonts w:ascii="Garamond" w:hAnsi="Garamond" w:cstheme="minorHAnsi"/>
          <w:sz w:val="24"/>
          <w:szCs w:val="24"/>
          <w:lang w:val="en-GB"/>
        </w:rPr>
        <w:t>.</w:t>
      </w:r>
    </w:p>
    <w:p w14:paraId="66B66A40" w14:textId="77777777" w:rsidR="00F44F66" w:rsidRPr="007550A0" w:rsidRDefault="00F44F66" w:rsidP="00F44F66">
      <w:pPr>
        <w:spacing w:after="0"/>
        <w:rPr>
          <w:rFonts w:ascii="Garamond" w:hAnsi="Garamond" w:cstheme="minorHAnsi"/>
          <w:sz w:val="24"/>
          <w:szCs w:val="24"/>
          <w:lang w:val="en-GB"/>
        </w:rPr>
      </w:pPr>
    </w:p>
    <w:p w14:paraId="7F170571" w14:textId="359CDBED" w:rsidR="00F44F66" w:rsidRPr="007550A0" w:rsidRDefault="00F44F66" w:rsidP="00F44F66">
      <w:pPr>
        <w:autoSpaceDE w:val="0"/>
        <w:autoSpaceDN w:val="0"/>
        <w:adjustRightInd w:val="0"/>
        <w:spacing w:after="0"/>
        <w:rPr>
          <w:rFonts w:ascii="Garamond" w:hAnsi="Garamond" w:cstheme="minorHAnsi"/>
          <w:sz w:val="24"/>
          <w:szCs w:val="24"/>
          <w:lang w:val="en-GB"/>
        </w:rPr>
      </w:pPr>
      <w:r w:rsidRPr="007550A0">
        <w:rPr>
          <w:rFonts w:ascii="Garamond" w:hAnsi="Garamond" w:cstheme="minorHAnsi"/>
          <w:sz w:val="24"/>
          <w:szCs w:val="24"/>
          <w:lang w:val="en-GB"/>
        </w:rPr>
        <w:t xml:space="preserve">The deadline for the submission of the full proposal is </w:t>
      </w:r>
      <w:r w:rsidR="00CB3C02">
        <w:rPr>
          <w:rFonts w:ascii="Garamond" w:hAnsi="Garamond" w:cstheme="minorHAnsi"/>
          <w:sz w:val="24"/>
          <w:szCs w:val="24"/>
          <w:lang w:val="en-GB"/>
        </w:rPr>
        <w:t>20</w:t>
      </w:r>
      <w:r w:rsidR="005A04E3" w:rsidRPr="007550A0">
        <w:rPr>
          <w:rFonts w:ascii="Garamond" w:hAnsi="Garamond" w:cstheme="minorHAnsi"/>
          <w:sz w:val="24"/>
          <w:szCs w:val="24"/>
          <w:lang w:val="en-GB"/>
        </w:rPr>
        <w:t xml:space="preserve"> March </w:t>
      </w:r>
      <w:r w:rsidR="00F12A6B" w:rsidRPr="007550A0">
        <w:rPr>
          <w:rFonts w:ascii="Garamond" w:hAnsi="Garamond" w:cstheme="minorHAnsi"/>
          <w:sz w:val="24"/>
          <w:szCs w:val="24"/>
          <w:lang w:val="en-GB"/>
        </w:rPr>
        <w:t>2026</w:t>
      </w:r>
      <w:r w:rsidRPr="007550A0">
        <w:rPr>
          <w:rFonts w:ascii="Garamond" w:hAnsi="Garamond" w:cstheme="minorHAnsi"/>
          <w:sz w:val="24"/>
          <w:szCs w:val="24"/>
          <w:lang w:val="en-GB"/>
        </w:rPr>
        <w:t xml:space="preserve">, </w:t>
      </w:r>
      <w:r w:rsidR="00F30C65" w:rsidRPr="007550A0">
        <w:rPr>
          <w:rFonts w:ascii="Garamond" w:hAnsi="Garamond" w:cstheme="minorHAnsi"/>
          <w:sz w:val="24"/>
          <w:szCs w:val="24"/>
          <w:lang w:val="en-GB"/>
        </w:rPr>
        <w:t>12AM</w:t>
      </w:r>
      <w:r w:rsidRPr="007550A0">
        <w:rPr>
          <w:rFonts w:ascii="Garamond" w:hAnsi="Garamond" w:cstheme="minorHAnsi"/>
          <w:sz w:val="24"/>
          <w:szCs w:val="24"/>
          <w:lang w:val="en-GB"/>
        </w:rPr>
        <w:t xml:space="preserve"> </w:t>
      </w:r>
      <w:r w:rsidR="00F30C65" w:rsidRPr="007550A0">
        <w:rPr>
          <w:rFonts w:ascii="Garamond" w:hAnsi="Garamond" w:cstheme="minorHAnsi"/>
          <w:sz w:val="24"/>
          <w:szCs w:val="24"/>
          <w:lang w:val="en-GB"/>
        </w:rPr>
        <w:t>–</w:t>
      </w:r>
      <w:r w:rsidRPr="007550A0">
        <w:rPr>
          <w:rFonts w:ascii="Garamond" w:hAnsi="Garamond" w:cstheme="minorHAnsi"/>
          <w:sz w:val="24"/>
          <w:szCs w:val="24"/>
          <w:lang w:val="en-GB"/>
        </w:rPr>
        <w:t xml:space="preserve"> </w:t>
      </w:r>
      <w:r w:rsidR="00F30C65" w:rsidRPr="007550A0">
        <w:rPr>
          <w:rFonts w:ascii="Garamond" w:hAnsi="Garamond" w:cstheme="minorHAnsi"/>
          <w:sz w:val="24"/>
          <w:szCs w:val="24"/>
          <w:lang w:val="en-GB"/>
        </w:rPr>
        <w:t>GMT-3</w:t>
      </w:r>
      <w:r w:rsidRPr="007550A0">
        <w:rPr>
          <w:rFonts w:ascii="Garamond" w:hAnsi="Garamond" w:cstheme="minorHAnsi"/>
          <w:sz w:val="24"/>
          <w:szCs w:val="24"/>
          <w:lang w:val="en-GB"/>
        </w:rPr>
        <w:t xml:space="preserve"> and the proposal should be addressed to</w:t>
      </w:r>
      <w:r w:rsidR="00AC5264" w:rsidRPr="007550A0">
        <w:rPr>
          <w:rFonts w:ascii="Garamond" w:hAnsi="Garamond" w:cstheme="minorHAnsi"/>
          <w:sz w:val="24"/>
          <w:szCs w:val="24"/>
          <w:lang w:val="en-GB"/>
        </w:rPr>
        <w:t xml:space="preserve"> the Danish E</w:t>
      </w:r>
      <w:r w:rsidR="00F12A6B" w:rsidRPr="007550A0">
        <w:rPr>
          <w:rFonts w:ascii="Garamond" w:hAnsi="Garamond" w:cstheme="minorHAnsi"/>
          <w:sz w:val="24"/>
          <w:szCs w:val="24"/>
          <w:lang w:val="en-GB"/>
        </w:rPr>
        <w:t>mbassy in Brasilia</w:t>
      </w:r>
      <w:r w:rsidR="00AC5264" w:rsidRPr="007550A0">
        <w:rPr>
          <w:rFonts w:ascii="Garamond" w:hAnsi="Garamond" w:cstheme="minorHAnsi"/>
          <w:sz w:val="24"/>
          <w:szCs w:val="24"/>
          <w:lang w:val="en-GB"/>
        </w:rPr>
        <w:t xml:space="preserve"> at </w:t>
      </w:r>
      <w:r w:rsidR="00F12A6B" w:rsidRPr="007550A0">
        <w:rPr>
          <w:rFonts w:ascii="Garamond" w:hAnsi="Garamond" w:cstheme="minorHAnsi"/>
          <w:sz w:val="24"/>
          <w:szCs w:val="24"/>
          <w:lang w:val="en-GB"/>
        </w:rPr>
        <w:t>bsbamb</w:t>
      </w:r>
      <w:r w:rsidR="00F30C65" w:rsidRPr="007550A0">
        <w:rPr>
          <w:rFonts w:ascii="Garamond" w:hAnsi="Garamond" w:cstheme="minorHAnsi"/>
          <w:sz w:val="24"/>
          <w:szCs w:val="24"/>
          <w:lang w:val="en-GB"/>
        </w:rPr>
        <w:t>@um.dk</w:t>
      </w:r>
      <w:r w:rsidRPr="007550A0">
        <w:rPr>
          <w:rFonts w:ascii="Garamond" w:hAnsi="Garamond" w:cstheme="minorHAnsi"/>
          <w:sz w:val="24"/>
          <w:szCs w:val="24"/>
          <w:lang w:val="en-GB"/>
        </w:rPr>
        <w:t xml:space="preserve">. </w:t>
      </w:r>
    </w:p>
    <w:p w14:paraId="3138CB58" w14:textId="77777777" w:rsidR="00F44F66" w:rsidRPr="007550A0" w:rsidRDefault="00F44F66" w:rsidP="00F44F66">
      <w:pPr>
        <w:autoSpaceDE w:val="0"/>
        <w:autoSpaceDN w:val="0"/>
        <w:adjustRightInd w:val="0"/>
        <w:spacing w:after="0"/>
        <w:rPr>
          <w:rFonts w:ascii="Garamond" w:hAnsi="Garamond" w:cstheme="minorHAnsi"/>
          <w:sz w:val="24"/>
          <w:szCs w:val="24"/>
          <w:lang w:val="en-GB"/>
        </w:rPr>
      </w:pPr>
    </w:p>
    <w:p w14:paraId="6ADDBC38" w14:textId="5C705509" w:rsidR="00F44F66" w:rsidRPr="007550A0" w:rsidRDefault="00F44F66" w:rsidP="00F44F66">
      <w:pPr>
        <w:autoSpaceDE w:val="0"/>
        <w:autoSpaceDN w:val="0"/>
        <w:adjustRightInd w:val="0"/>
        <w:spacing w:after="0"/>
        <w:rPr>
          <w:rFonts w:ascii="Garamond" w:hAnsi="Garamond" w:cstheme="minorHAnsi"/>
          <w:sz w:val="24"/>
          <w:szCs w:val="24"/>
          <w:lang w:val="en-GB"/>
        </w:rPr>
      </w:pPr>
      <w:r w:rsidRPr="007550A0">
        <w:rPr>
          <w:rFonts w:ascii="Garamond" w:hAnsi="Garamond" w:cstheme="minorHAnsi"/>
          <w:sz w:val="24"/>
          <w:szCs w:val="24"/>
          <w:lang w:val="en-GB"/>
        </w:rPr>
        <w:t>Documentation that clearly confirms that the application meets the eligibility criteria should be provided separately.</w:t>
      </w:r>
    </w:p>
    <w:p w14:paraId="578A9499" w14:textId="77777777" w:rsidR="00F44F66" w:rsidRPr="007550A0" w:rsidRDefault="00F44F66" w:rsidP="00F44F66">
      <w:pPr>
        <w:autoSpaceDE w:val="0"/>
        <w:autoSpaceDN w:val="0"/>
        <w:adjustRightInd w:val="0"/>
        <w:spacing w:after="0"/>
        <w:rPr>
          <w:rFonts w:ascii="Garamond" w:hAnsi="Garamond" w:cstheme="minorHAnsi"/>
          <w:sz w:val="24"/>
          <w:szCs w:val="24"/>
          <w:lang w:val="en-GB"/>
        </w:rPr>
      </w:pPr>
    </w:p>
    <w:p w14:paraId="7A738CEB" w14:textId="75A87327" w:rsidR="00F44F66" w:rsidRPr="007550A0" w:rsidRDefault="00F44F66" w:rsidP="00F44F66">
      <w:pPr>
        <w:autoSpaceDE w:val="0"/>
        <w:autoSpaceDN w:val="0"/>
        <w:adjustRightInd w:val="0"/>
        <w:spacing w:after="0"/>
        <w:rPr>
          <w:rFonts w:ascii="Garamond" w:hAnsi="Garamond" w:cstheme="minorHAnsi"/>
          <w:sz w:val="24"/>
          <w:szCs w:val="24"/>
          <w:lang w:val="en-GB"/>
        </w:rPr>
      </w:pPr>
      <w:r w:rsidRPr="007550A0">
        <w:rPr>
          <w:rFonts w:ascii="Garamond" w:hAnsi="Garamond" w:cstheme="minorHAnsi"/>
          <w:sz w:val="24"/>
          <w:szCs w:val="24"/>
          <w:lang w:val="en-GB"/>
        </w:rPr>
        <w:lastRenderedPageBreak/>
        <w:t xml:space="preserve">The proposal should be submitted as PDF-files as well as in original formats (Word, Excel, etc). All documents should be drafted in </w:t>
      </w:r>
      <w:r w:rsidR="00F12A6B" w:rsidRPr="007550A0">
        <w:rPr>
          <w:rFonts w:ascii="Garamond" w:hAnsi="Garamond" w:cstheme="minorHAnsi"/>
          <w:sz w:val="24"/>
          <w:szCs w:val="24"/>
          <w:lang w:val="en-GB"/>
        </w:rPr>
        <w:t>English</w:t>
      </w:r>
      <w:r w:rsidRPr="007550A0">
        <w:rPr>
          <w:rFonts w:ascii="Garamond" w:hAnsi="Garamond" w:cstheme="minorHAnsi"/>
          <w:sz w:val="24"/>
          <w:szCs w:val="24"/>
          <w:lang w:val="en-GB"/>
        </w:rPr>
        <w:t xml:space="preserve">. </w:t>
      </w:r>
      <w:r w:rsidR="005A04E3" w:rsidRPr="007550A0">
        <w:rPr>
          <w:rFonts w:ascii="Garamond" w:hAnsi="Garamond" w:cstheme="minorHAnsi"/>
          <w:sz w:val="24"/>
          <w:szCs w:val="24"/>
          <w:lang w:val="en-GB"/>
        </w:rPr>
        <w:t>The length of the application should be no more than 15 pages excl. annexes.</w:t>
      </w:r>
    </w:p>
    <w:p w14:paraId="3B5B5882" w14:textId="77777777" w:rsidR="00F44F66" w:rsidRPr="007550A0" w:rsidRDefault="00F44F66" w:rsidP="00F44F66">
      <w:pPr>
        <w:autoSpaceDE w:val="0"/>
        <w:autoSpaceDN w:val="0"/>
        <w:adjustRightInd w:val="0"/>
        <w:spacing w:after="0"/>
        <w:rPr>
          <w:rFonts w:ascii="Garamond" w:hAnsi="Garamond" w:cstheme="minorHAnsi"/>
          <w:sz w:val="24"/>
          <w:szCs w:val="24"/>
          <w:lang w:val="en-GB"/>
        </w:rPr>
      </w:pPr>
    </w:p>
    <w:p w14:paraId="3A5F3D08" w14:textId="0D8543AC" w:rsidR="00F44F66" w:rsidRPr="007550A0" w:rsidRDefault="00F44F66" w:rsidP="00F44F66">
      <w:pPr>
        <w:autoSpaceDE w:val="0"/>
        <w:autoSpaceDN w:val="0"/>
        <w:adjustRightInd w:val="0"/>
        <w:spacing w:after="0" w:line="240" w:lineRule="auto"/>
        <w:rPr>
          <w:rFonts w:ascii="Garamond" w:hAnsi="Garamond" w:cstheme="minorHAnsi"/>
          <w:sz w:val="24"/>
          <w:szCs w:val="24"/>
          <w:lang w:val="en-GB"/>
        </w:rPr>
      </w:pPr>
      <w:r w:rsidRPr="007550A0">
        <w:rPr>
          <w:rFonts w:ascii="Garamond" w:hAnsi="Garamond" w:cstheme="minorHAnsi"/>
          <w:sz w:val="24"/>
          <w:szCs w:val="24"/>
          <w:lang w:val="en-GB"/>
        </w:rPr>
        <w:t xml:space="preserve">Questions in relation to the Call for Proposals from potential applicants may be submitted in writing no later than </w:t>
      </w:r>
      <w:r w:rsidR="00CB3C02">
        <w:rPr>
          <w:rFonts w:ascii="Garamond" w:hAnsi="Garamond" w:cstheme="minorHAnsi"/>
          <w:sz w:val="24"/>
          <w:szCs w:val="24"/>
          <w:lang w:val="en-GB"/>
        </w:rPr>
        <w:t>27</w:t>
      </w:r>
      <w:r w:rsidR="002E47BA">
        <w:rPr>
          <w:rFonts w:ascii="Garamond" w:hAnsi="Garamond" w:cstheme="minorHAnsi"/>
          <w:sz w:val="24"/>
          <w:szCs w:val="24"/>
          <w:lang w:val="en-GB"/>
        </w:rPr>
        <w:t xml:space="preserve"> </w:t>
      </w:r>
      <w:r w:rsidR="00CB3C02">
        <w:rPr>
          <w:rFonts w:ascii="Garamond" w:hAnsi="Garamond" w:cstheme="minorHAnsi"/>
          <w:sz w:val="24"/>
          <w:szCs w:val="24"/>
          <w:lang w:val="en-GB"/>
        </w:rPr>
        <w:t>February</w:t>
      </w:r>
      <w:r w:rsidR="00F12A6B" w:rsidRPr="007550A0">
        <w:rPr>
          <w:rFonts w:ascii="Garamond" w:hAnsi="Garamond" w:cstheme="minorHAnsi"/>
          <w:sz w:val="24"/>
          <w:szCs w:val="24"/>
          <w:lang w:val="en-GB"/>
        </w:rPr>
        <w:t xml:space="preserve"> 2026</w:t>
      </w:r>
      <w:r w:rsidRPr="007550A0">
        <w:rPr>
          <w:rFonts w:ascii="Garamond" w:hAnsi="Garamond" w:cstheme="minorHAnsi"/>
          <w:sz w:val="24"/>
          <w:szCs w:val="24"/>
          <w:lang w:val="en-GB"/>
        </w:rPr>
        <w:t xml:space="preserve">, </w:t>
      </w:r>
      <w:r w:rsidR="00F30C65" w:rsidRPr="007550A0">
        <w:rPr>
          <w:rFonts w:ascii="Garamond" w:hAnsi="Garamond" w:cstheme="minorHAnsi"/>
          <w:sz w:val="24"/>
          <w:szCs w:val="24"/>
          <w:lang w:val="en-GB"/>
        </w:rPr>
        <w:t>12AM</w:t>
      </w:r>
      <w:r w:rsidRPr="007550A0">
        <w:rPr>
          <w:rFonts w:ascii="Garamond" w:hAnsi="Garamond" w:cstheme="minorHAnsi"/>
          <w:sz w:val="24"/>
          <w:szCs w:val="24"/>
          <w:lang w:val="en-GB"/>
        </w:rPr>
        <w:t xml:space="preserve"> </w:t>
      </w:r>
      <w:r w:rsidR="00F30C65" w:rsidRPr="007550A0">
        <w:rPr>
          <w:rFonts w:ascii="Garamond" w:hAnsi="Garamond" w:cstheme="minorHAnsi"/>
          <w:sz w:val="24"/>
          <w:szCs w:val="24"/>
          <w:lang w:val="en-GB"/>
        </w:rPr>
        <w:t>–</w:t>
      </w:r>
      <w:r w:rsidRPr="007550A0">
        <w:rPr>
          <w:rFonts w:ascii="Garamond" w:hAnsi="Garamond" w:cstheme="minorHAnsi"/>
          <w:sz w:val="24"/>
          <w:szCs w:val="24"/>
          <w:lang w:val="en-GB"/>
        </w:rPr>
        <w:t xml:space="preserve"> </w:t>
      </w:r>
      <w:r w:rsidR="00F30C65" w:rsidRPr="007550A0">
        <w:rPr>
          <w:rFonts w:ascii="Garamond" w:hAnsi="Garamond" w:cstheme="minorHAnsi"/>
          <w:sz w:val="24"/>
          <w:szCs w:val="24"/>
          <w:lang w:val="en-GB"/>
        </w:rPr>
        <w:t>GMT-3</w:t>
      </w:r>
      <w:r w:rsidRPr="007550A0">
        <w:rPr>
          <w:rFonts w:ascii="Garamond" w:hAnsi="Garamond" w:cstheme="minorHAnsi"/>
          <w:sz w:val="24"/>
          <w:szCs w:val="24"/>
          <w:lang w:val="en-GB"/>
        </w:rPr>
        <w:t xml:space="preserve"> to the following e-mail address: </w:t>
      </w:r>
      <w:r w:rsidR="00F12A6B" w:rsidRPr="007550A0">
        <w:rPr>
          <w:rFonts w:ascii="Garamond" w:hAnsi="Garamond" w:cstheme="minorHAnsi"/>
          <w:sz w:val="24"/>
          <w:szCs w:val="24"/>
          <w:lang w:val="en-GB"/>
        </w:rPr>
        <w:t>bsbamb</w:t>
      </w:r>
      <w:r w:rsidR="00F30C65" w:rsidRPr="007550A0">
        <w:rPr>
          <w:rFonts w:ascii="Garamond" w:hAnsi="Garamond" w:cstheme="minorHAnsi"/>
          <w:sz w:val="24"/>
          <w:szCs w:val="24"/>
          <w:lang w:val="en-GB"/>
        </w:rPr>
        <w:t>@um.dk</w:t>
      </w:r>
      <w:r w:rsidRPr="007550A0">
        <w:rPr>
          <w:rFonts w:ascii="Garamond" w:hAnsi="Garamond" w:cstheme="minorHAnsi"/>
          <w:sz w:val="24"/>
          <w:szCs w:val="24"/>
          <w:lang w:val="en-GB"/>
        </w:rPr>
        <w:t xml:space="preserve">.  For the sake of transparency, all answers to questions received in writing from potential applicants will be shared </w:t>
      </w:r>
      <w:r w:rsidR="00F30C65" w:rsidRPr="007550A0">
        <w:rPr>
          <w:rFonts w:ascii="Garamond" w:hAnsi="Garamond" w:cstheme="minorHAnsi"/>
          <w:sz w:val="24"/>
          <w:szCs w:val="24"/>
          <w:lang w:val="en-GB"/>
        </w:rPr>
        <w:t>on</w:t>
      </w:r>
      <w:r w:rsidRPr="007550A0">
        <w:rPr>
          <w:rFonts w:ascii="Garamond" w:hAnsi="Garamond" w:cstheme="minorHAnsi"/>
          <w:sz w:val="24"/>
          <w:szCs w:val="24"/>
          <w:lang w:val="en-GB"/>
        </w:rPr>
        <w:t xml:space="preserve"> the </w:t>
      </w:r>
      <w:r w:rsidR="00F30C65" w:rsidRPr="007550A0">
        <w:rPr>
          <w:rFonts w:ascii="Garamond" w:hAnsi="Garamond" w:cstheme="minorHAnsi"/>
          <w:sz w:val="24"/>
          <w:szCs w:val="24"/>
          <w:lang w:val="en-GB"/>
        </w:rPr>
        <w:t xml:space="preserve">website of the Danish </w:t>
      </w:r>
      <w:r w:rsidRPr="007550A0">
        <w:rPr>
          <w:rFonts w:ascii="Garamond" w:hAnsi="Garamond" w:cstheme="minorHAnsi"/>
          <w:sz w:val="24"/>
          <w:szCs w:val="24"/>
          <w:lang w:val="en-GB"/>
        </w:rPr>
        <w:t xml:space="preserve">Embassy </w:t>
      </w:r>
      <w:r w:rsidR="00F30C65" w:rsidRPr="007550A0">
        <w:rPr>
          <w:rFonts w:ascii="Garamond" w:hAnsi="Garamond" w:cstheme="minorHAnsi"/>
          <w:sz w:val="24"/>
          <w:szCs w:val="24"/>
          <w:lang w:val="en-GB"/>
        </w:rPr>
        <w:t>in Brasilia</w:t>
      </w:r>
      <w:r w:rsidRPr="007550A0">
        <w:rPr>
          <w:rFonts w:ascii="Garamond" w:hAnsi="Garamond" w:cstheme="minorHAnsi"/>
          <w:sz w:val="24"/>
          <w:szCs w:val="24"/>
          <w:lang w:val="en-GB"/>
        </w:rPr>
        <w:t xml:space="preserve"> no later than </w:t>
      </w:r>
      <w:r w:rsidR="00CB3C02">
        <w:rPr>
          <w:rFonts w:ascii="Garamond" w:hAnsi="Garamond" w:cstheme="minorHAnsi"/>
          <w:sz w:val="24"/>
          <w:szCs w:val="24"/>
          <w:lang w:val="en-GB"/>
        </w:rPr>
        <w:t>6</w:t>
      </w:r>
      <w:r w:rsidR="002E47BA">
        <w:rPr>
          <w:rFonts w:ascii="Garamond" w:hAnsi="Garamond" w:cstheme="minorHAnsi"/>
          <w:sz w:val="24"/>
          <w:szCs w:val="24"/>
          <w:lang w:val="en-GB"/>
        </w:rPr>
        <w:t xml:space="preserve"> March</w:t>
      </w:r>
      <w:r w:rsidR="00F12A6B" w:rsidRPr="007550A0">
        <w:rPr>
          <w:rFonts w:ascii="Garamond" w:hAnsi="Garamond" w:cstheme="minorHAnsi"/>
          <w:sz w:val="24"/>
          <w:szCs w:val="24"/>
          <w:lang w:val="en-GB"/>
        </w:rPr>
        <w:t xml:space="preserve"> 2026</w:t>
      </w:r>
      <w:r w:rsidRPr="007550A0">
        <w:rPr>
          <w:rFonts w:ascii="Garamond" w:hAnsi="Garamond" w:cstheme="minorHAnsi"/>
          <w:sz w:val="24"/>
          <w:szCs w:val="24"/>
          <w:lang w:val="en-GB"/>
        </w:rPr>
        <w:t>. No individual replies will be given to questions received from potential applicants. To ensure equal treatment of applicants, the MFA cannot give a prior opinion on eligibility to potential applicants.</w:t>
      </w:r>
    </w:p>
    <w:p w14:paraId="72B53285" w14:textId="77777777" w:rsidR="00F44F66" w:rsidRPr="007550A0" w:rsidRDefault="00F44F66" w:rsidP="00F44F66">
      <w:pPr>
        <w:autoSpaceDE w:val="0"/>
        <w:autoSpaceDN w:val="0"/>
        <w:adjustRightInd w:val="0"/>
        <w:spacing w:after="0"/>
        <w:rPr>
          <w:rFonts w:ascii="Garamond" w:hAnsi="Garamond" w:cstheme="minorHAnsi"/>
          <w:sz w:val="24"/>
          <w:szCs w:val="24"/>
          <w:lang w:val="en-GB"/>
        </w:rPr>
      </w:pPr>
    </w:p>
    <w:p w14:paraId="2C60179F" w14:textId="10E0D976" w:rsidR="00F44F66" w:rsidRPr="007550A0" w:rsidRDefault="00F44F66" w:rsidP="00F44F66">
      <w:pPr>
        <w:autoSpaceDE w:val="0"/>
        <w:autoSpaceDN w:val="0"/>
        <w:adjustRightInd w:val="0"/>
        <w:spacing w:after="0"/>
        <w:rPr>
          <w:rFonts w:ascii="Garamond" w:hAnsi="Garamond" w:cstheme="minorHAnsi"/>
          <w:sz w:val="24"/>
          <w:szCs w:val="24"/>
          <w:lang w:val="en-GB"/>
        </w:rPr>
      </w:pPr>
      <w:r w:rsidRPr="007550A0">
        <w:rPr>
          <w:rFonts w:ascii="Garamond" w:hAnsi="Garamond" w:cstheme="minorHAnsi"/>
          <w:sz w:val="24"/>
          <w:szCs w:val="24"/>
          <w:lang w:val="en-GB"/>
        </w:rPr>
        <w:t>An evaluation committee will be established to evaluate the proposals received under the call for proposals.</w:t>
      </w:r>
    </w:p>
    <w:p w14:paraId="7D76F99D" w14:textId="77777777" w:rsidR="00F44F66" w:rsidRPr="007550A0" w:rsidRDefault="00F44F66" w:rsidP="00F44F66">
      <w:pPr>
        <w:autoSpaceDE w:val="0"/>
        <w:autoSpaceDN w:val="0"/>
        <w:adjustRightInd w:val="0"/>
        <w:spacing w:after="0"/>
        <w:rPr>
          <w:rFonts w:ascii="Garamond" w:hAnsi="Garamond" w:cstheme="minorHAnsi"/>
          <w:sz w:val="24"/>
          <w:szCs w:val="24"/>
          <w:lang w:val="en-GB"/>
        </w:rPr>
      </w:pPr>
    </w:p>
    <w:p w14:paraId="5852E77B" w14:textId="77777777" w:rsidR="00F44F66" w:rsidRPr="007550A0" w:rsidRDefault="00F44F66" w:rsidP="00F44F66">
      <w:pPr>
        <w:autoSpaceDE w:val="0"/>
        <w:autoSpaceDN w:val="0"/>
        <w:adjustRightInd w:val="0"/>
        <w:spacing w:after="0" w:line="240" w:lineRule="auto"/>
        <w:rPr>
          <w:rFonts w:ascii="Garamond" w:hAnsi="Garamond" w:cstheme="minorHAnsi"/>
          <w:b/>
          <w:sz w:val="24"/>
          <w:szCs w:val="24"/>
          <w:lang w:val="en-GB"/>
        </w:rPr>
      </w:pPr>
      <w:r w:rsidRPr="007550A0">
        <w:rPr>
          <w:rFonts w:ascii="Garamond" w:hAnsi="Garamond" w:cstheme="minorHAnsi"/>
          <w:b/>
          <w:sz w:val="24"/>
          <w:szCs w:val="24"/>
          <w:lang w:val="en-GB"/>
        </w:rPr>
        <w:t>Administrative checks</w:t>
      </w:r>
    </w:p>
    <w:p w14:paraId="7F8745CD" w14:textId="77777777" w:rsidR="00F44F66" w:rsidRPr="007550A0" w:rsidRDefault="00F44F66" w:rsidP="00F44F66">
      <w:pPr>
        <w:autoSpaceDE w:val="0"/>
        <w:autoSpaceDN w:val="0"/>
        <w:adjustRightInd w:val="0"/>
        <w:spacing w:after="0" w:line="240" w:lineRule="auto"/>
        <w:rPr>
          <w:rFonts w:ascii="Garamond" w:hAnsi="Garamond" w:cstheme="minorHAnsi"/>
          <w:sz w:val="24"/>
          <w:szCs w:val="24"/>
          <w:lang w:val="en-GB"/>
        </w:rPr>
      </w:pPr>
      <w:r w:rsidRPr="007550A0">
        <w:rPr>
          <w:rFonts w:ascii="Garamond" w:hAnsi="Garamond" w:cstheme="minorHAnsi"/>
          <w:sz w:val="24"/>
          <w:szCs w:val="24"/>
          <w:lang w:val="en-GB"/>
        </w:rPr>
        <w:t xml:space="preserve">During this step, members of the Evaluation Committee will ascertain that:  </w:t>
      </w:r>
    </w:p>
    <w:p w14:paraId="038DCDCD" w14:textId="77777777" w:rsidR="00F44F66" w:rsidRPr="007550A0" w:rsidRDefault="00F44F66" w:rsidP="00F44F66">
      <w:pPr>
        <w:pStyle w:val="Listeafsnit"/>
        <w:numPr>
          <w:ilvl w:val="0"/>
          <w:numId w:val="34"/>
        </w:numPr>
        <w:autoSpaceDE w:val="0"/>
        <w:autoSpaceDN w:val="0"/>
        <w:adjustRightInd w:val="0"/>
        <w:spacing w:after="0" w:line="240" w:lineRule="auto"/>
        <w:rPr>
          <w:rFonts w:ascii="Garamond" w:hAnsi="Garamond" w:cstheme="minorHAnsi"/>
          <w:sz w:val="24"/>
          <w:szCs w:val="24"/>
          <w:lang w:val="en-GB"/>
        </w:rPr>
      </w:pPr>
      <w:r w:rsidRPr="007550A0">
        <w:rPr>
          <w:rFonts w:ascii="Garamond" w:hAnsi="Garamond" w:cstheme="minorHAnsi"/>
          <w:sz w:val="24"/>
          <w:szCs w:val="24"/>
          <w:lang w:val="en-GB"/>
        </w:rPr>
        <w:t xml:space="preserve">The deadline has been met and formal requirements regarding the proposal format have been respected. </w:t>
      </w:r>
      <w:r w:rsidRPr="007550A0">
        <w:rPr>
          <w:rFonts w:ascii="Garamond" w:eastAsia="Times New Roman" w:hAnsi="Garamond" w:cstheme="minorHAnsi"/>
          <w:sz w:val="24"/>
          <w:szCs w:val="24"/>
          <w:lang w:val="en-GB" w:eastAsia="da-DK"/>
        </w:rPr>
        <w:t xml:space="preserve">All instructions </w:t>
      </w:r>
      <w:r w:rsidRPr="007550A0">
        <w:rPr>
          <w:rFonts w:ascii="Garamond" w:eastAsia="Times New Roman" w:hAnsi="Garamond" w:cstheme="minorHAnsi"/>
          <w:b/>
          <w:sz w:val="24"/>
          <w:szCs w:val="24"/>
          <w:lang w:val="en-GB" w:eastAsia="da-DK"/>
        </w:rPr>
        <w:t>must</w:t>
      </w:r>
      <w:r w:rsidRPr="007550A0">
        <w:rPr>
          <w:rFonts w:ascii="Garamond" w:eastAsia="Times New Roman" w:hAnsi="Garamond" w:cstheme="minorHAnsi"/>
          <w:sz w:val="24"/>
          <w:szCs w:val="24"/>
          <w:lang w:val="en-GB" w:eastAsia="da-DK"/>
        </w:rPr>
        <w:t xml:space="preserve"> be adhered to, otherwise the application may be rejected on technical grounds.</w:t>
      </w:r>
    </w:p>
    <w:p w14:paraId="721CDC8E" w14:textId="77777777" w:rsidR="00F44F66" w:rsidRPr="007550A0" w:rsidRDefault="00F44F66" w:rsidP="00F44F66">
      <w:pPr>
        <w:pStyle w:val="Listeafsnit"/>
        <w:numPr>
          <w:ilvl w:val="0"/>
          <w:numId w:val="34"/>
        </w:numPr>
        <w:autoSpaceDE w:val="0"/>
        <w:autoSpaceDN w:val="0"/>
        <w:adjustRightInd w:val="0"/>
        <w:spacing w:after="0" w:line="240" w:lineRule="auto"/>
        <w:rPr>
          <w:rFonts w:ascii="Garamond" w:hAnsi="Garamond" w:cstheme="minorHAnsi"/>
          <w:sz w:val="24"/>
          <w:szCs w:val="24"/>
          <w:lang w:val="en-GB"/>
        </w:rPr>
      </w:pPr>
      <w:r w:rsidRPr="007550A0">
        <w:rPr>
          <w:rFonts w:ascii="Garamond" w:hAnsi="Garamond" w:cstheme="minorHAnsi"/>
          <w:sz w:val="24"/>
          <w:szCs w:val="24"/>
          <w:lang w:val="en-GB"/>
        </w:rPr>
        <w:t xml:space="preserve">The proposal satisfies all the Eligibility Criteria listed above. If any of the mentioned criteria are not met or if any information is missing/incorrect, the application may be rejected on that </w:t>
      </w:r>
      <w:r w:rsidRPr="007550A0">
        <w:rPr>
          <w:rFonts w:ascii="Garamond" w:hAnsi="Garamond" w:cstheme="minorHAnsi"/>
          <w:b/>
          <w:bCs/>
          <w:sz w:val="24"/>
          <w:szCs w:val="24"/>
          <w:lang w:val="en-GB"/>
        </w:rPr>
        <w:t xml:space="preserve">sole </w:t>
      </w:r>
      <w:r w:rsidRPr="007550A0">
        <w:rPr>
          <w:rFonts w:ascii="Garamond" w:hAnsi="Garamond" w:cstheme="minorHAnsi"/>
          <w:sz w:val="24"/>
          <w:szCs w:val="24"/>
          <w:lang w:val="en-GB"/>
        </w:rPr>
        <w:t xml:space="preserve">basis and the application will not be evaluated further. </w:t>
      </w:r>
    </w:p>
    <w:p w14:paraId="58461E6F" w14:textId="77777777" w:rsidR="00F44F66" w:rsidRPr="007550A0" w:rsidRDefault="00F44F66" w:rsidP="00F44F66">
      <w:pPr>
        <w:autoSpaceDE w:val="0"/>
        <w:autoSpaceDN w:val="0"/>
        <w:adjustRightInd w:val="0"/>
        <w:spacing w:after="0"/>
        <w:rPr>
          <w:rFonts w:ascii="Garamond" w:hAnsi="Garamond" w:cstheme="minorHAnsi"/>
          <w:sz w:val="24"/>
          <w:szCs w:val="24"/>
          <w:lang w:val="en-GB"/>
        </w:rPr>
      </w:pPr>
    </w:p>
    <w:p w14:paraId="150A6311" w14:textId="77777777" w:rsidR="00F44F66" w:rsidRPr="007550A0" w:rsidRDefault="00F44F66" w:rsidP="00F44F66">
      <w:pPr>
        <w:autoSpaceDE w:val="0"/>
        <w:autoSpaceDN w:val="0"/>
        <w:adjustRightInd w:val="0"/>
        <w:spacing w:after="0"/>
        <w:rPr>
          <w:rFonts w:ascii="Garamond" w:hAnsi="Garamond" w:cstheme="minorHAnsi"/>
          <w:b/>
          <w:sz w:val="24"/>
          <w:szCs w:val="24"/>
          <w:lang w:val="en-GB"/>
        </w:rPr>
      </w:pPr>
      <w:r w:rsidRPr="007550A0">
        <w:rPr>
          <w:rFonts w:ascii="Garamond" w:hAnsi="Garamond" w:cstheme="minorHAnsi"/>
          <w:b/>
          <w:sz w:val="24"/>
          <w:szCs w:val="24"/>
          <w:lang w:val="en-GB"/>
        </w:rPr>
        <w:t>Evaluation of proposals</w:t>
      </w:r>
    </w:p>
    <w:p w14:paraId="4A873561" w14:textId="77777777" w:rsidR="00F44F66" w:rsidRPr="007550A0" w:rsidRDefault="00F44F66" w:rsidP="00F44F66">
      <w:pPr>
        <w:autoSpaceDE w:val="0"/>
        <w:autoSpaceDN w:val="0"/>
        <w:adjustRightInd w:val="0"/>
        <w:spacing w:after="0"/>
        <w:rPr>
          <w:rFonts w:ascii="Garamond" w:hAnsi="Garamond" w:cstheme="minorHAnsi"/>
          <w:sz w:val="24"/>
          <w:szCs w:val="24"/>
          <w:lang w:val="en-GB"/>
        </w:rPr>
      </w:pPr>
      <w:r w:rsidRPr="007550A0">
        <w:rPr>
          <w:rFonts w:ascii="Garamond" w:hAnsi="Garamond" w:cstheme="minorHAnsi"/>
          <w:sz w:val="24"/>
          <w:szCs w:val="24"/>
          <w:lang w:val="en-GB"/>
        </w:rPr>
        <w:t>Proposals that have passed the administrative checks will be assessed by the Evaluation Committee. The assessment of the proposals will be based on the Eligibility and Evaluation Grid.</w:t>
      </w:r>
    </w:p>
    <w:p w14:paraId="4017988A" w14:textId="77777777" w:rsidR="00F44F66" w:rsidRPr="007550A0" w:rsidRDefault="00F44F66" w:rsidP="00F44F66">
      <w:pPr>
        <w:autoSpaceDE w:val="0"/>
        <w:autoSpaceDN w:val="0"/>
        <w:adjustRightInd w:val="0"/>
        <w:spacing w:after="0"/>
        <w:rPr>
          <w:rFonts w:ascii="Garamond" w:hAnsi="Garamond" w:cstheme="minorHAnsi"/>
          <w:sz w:val="24"/>
          <w:szCs w:val="24"/>
          <w:lang w:val="en-GB"/>
        </w:rPr>
      </w:pPr>
    </w:p>
    <w:p w14:paraId="6443B8DA" w14:textId="73984C8F" w:rsidR="00F44F66" w:rsidRPr="007550A0" w:rsidRDefault="00F44F66" w:rsidP="00F44F66">
      <w:pPr>
        <w:spacing w:after="0"/>
        <w:rPr>
          <w:rFonts w:ascii="Garamond" w:hAnsi="Garamond" w:cstheme="minorHAnsi"/>
          <w:sz w:val="24"/>
          <w:szCs w:val="24"/>
          <w:lang w:val="en-GB"/>
        </w:rPr>
      </w:pPr>
      <w:r w:rsidRPr="007550A0">
        <w:rPr>
          <w:rFonts w:ascii="Garamond" w:hAnsi="Garamond" w:cstheme="minorHAnsi"/>
          <w:sz w:val="24"/>
          <w:szCs w:val="24"/>
          <w:lang w:val="en-GB"/>
        </w:rPr>
        <w:t xml:space="preserve">The </w:t>
      </w:r>
      <w:r w:rsidR="00F30C65" w:rsidRPr="007550A0">
        <w:rPr>
          <w:rFonts w:ascii="Garamond" w:hAnsi="Garamond" w:cstheme="minorHAnsi"/>
          <w:sz w:val="24"/>
          <w:szCs w:val="24"/>
          <w:lang w:val="en-GB"/>
        </w:rPr>
        <w:t xml:space="preserve">Danish Embassy in Brasilia </w:t>
      </w:r>
      <w:r w:rsidRPr="007550A0">
        <w:rPr>
          <w:rFonts w:ascii="Garamond" w:hAnsi="Garamond" w:cstheme="minorHAnsi"/>
          <w:sz w:val="24"/>
          <w:szCs w:val="24"/>
          <w:lang w:val="en-GB"/>
        </w:rPr>
        <w:t xml:space="preserve">will make the final selection of 1 application(s) based on the scoring of the full project proposals. The MFA will inform the applicants about the outcome of the evaluation by </w:t>
      </w:r>
      <w:r w:rsidR="00CB3C02">
        <w:rPr>
          <w:rFonts w:ascii="Garamond" w:hAnsi="Garamond" w:cstheme="minorHAnsi"/>
          <w:sz w:val="24"/>
          <w:szCs w:val="24"/>
          <w:lang w:val="en-GB"/>
        </w:rPr>
        <w:t>3</w:t>
      </w:r>
      <w:r w:rsidR="003160F9" w:rsidRPr="007550A0">
        <w:rPr>
          <w:rFonts w:ascii="Garamond" w:hAnsi="Garamond" w:cstheme="minorHAnsi"/>
          <w:sz w:val="24"/>
          <w:szCs w:val="24"/>
          <w:lang w:val="en-GB"/>
        </w:rPr>
        <w:t xml:space="preserve"> </w:t>
      </w:r>
      <w:r w:rsidR="00CB3C02">
        <w:rPr>
          <w:rFonts w:ascii="Garamond" w:hAnsi="Garamond" w:cstheme="minorHAnsi"/>
          <w:sz w:val="24"/>
          <w:szCs w:val="24"/>
          <w:lang w:val="en-GB"/>
        </w:rPr>
        <w:t>April</w:t>
      </w:r>
      <w:r w:rsidR="003160F9" w:rsidRPr="007550A0">
        <w:rPr>
          <w:rFonts w:ascii="Garamond" w:hAnsi="Garamond" w:cstheme="minorHAnsi"/>
          <w:sz w:val="24"/>
          <w:szCs w:val="24"/>
          <w:lang w:val="en-GB"/>
        </w:rPr>
        <w:t xml:space="preserve"> 2026</w:t>
      </w:r>
      <w:r w:rsidRPr="007550A0">
        <w:rPr>
          <w:rFonts w:ascii="Garamond" w:hAnsi="Garamond" w:cstheme="minorHAnsi"/>
          <w:sz w:val="24"/>
          <w:szCs w:val="24"/>
          <w:lang w:val="en-GB"/>
        </w:rPr>
        <w:t xml:space="preserve">. </w:t>
      </w:r>
      <w:r w:rsidR="005A04E3" w:rsidRPr="007550A0">
        <w:rPr>
          <w:rFonts w:ascii="Garamond" w:hAnsi="Garamond" w:cstheme="minorHAnsi"/>
          <w:sz w:val="24"/>
          <w:szCs w:val="24"/>
          <w:lang w:val="en-GB"/>
        </w:rPr>
        <w:t>The a</w:t>
      </w:r>
      <w:r w:rsidRPr="007550A0">
        <w:rPr>
          <w:rFonts w:ascii="Garamond" w:hAnsi="Garamond" w:cstheme="minorHAnsi"/>
          <w:sz w:val="24"/>
          <w:szCs w:val="24"/>
          <w:lang w:val="en-GB"/>
        </w:rPr>
        <w:t xml:space="preserve">pplicant with </w:t>
      </w:r>
      <w:r w:rsidR="005A04E3" w:rsidRPr="007550A0">
        <w:rPr>
          <w:rFonts w:ascii="Garamond" w:hAnsi="Garamond" w:cstheme="minorHAnsi"/>
          <w:sz w:val="24"/>
          <w:szCs w:val="24"/>
          <w:lang w:val="en-GB"/>
        </w:rPr>
        <w:t xml:space="preserve">the </w:t>
      </w:r>
      <w:r w:rsidRPr="007550A0">
        <w:rPr>
          <w:rFonts w:ascii="Garamond" w:hAnsi="Garamond" w:cstheme="minorHAnsi"/>
          <w:sz w:val="24"/>
          <w:szCs w:val="24"/>
          <w:lang w:val="en-GB"/>
        </w:rPr>
        <w:t xml:space="preserve">approved application </w:t>
      </w:r>
      <w:r w:rsidR="005A04E3" w:rsidRPr="007550A0">
        <w:rPr>
          <w:rFonts w:ascii="Garamond" w:hAnsi="Garamond" w:cstheme="minorHAnsi"/>
          <w:sz w:val="24"/>
          <w:szCs w:val="24"/>
          <w:lang w:val="en-GB"/>
        </w:rPr>
        <w:t>will be</w:t>
      </w:r>
      <w:r w:rsidRPr="007550A0">
        <w:rPr>
          <w:rFonts w:ascii="Garamond" w:hAnsi="Garamond" w:cstheme="minorHAnsi"/>
          <w:sz w:val="24"/>
          <w:szCs w:val="24"/>
          <w:lang w:val="en-GB"/>
        </w:rPr>
        <w:t xml:space="preserve"> informed about the level of funding. Unsuccessful applicants shall be informed about the reasons why they were unsuccessful.  </w:t>
      </w:r>
    </w:p>
    <w:p w14:paraId="586E6FF8" w14:textId="77777777" w:rsidR="000E4B78" w:rsidRPr="007550A0" w:rsidRDefault="000E4B78" w:rsidP="000E4B78">
      <w:pPr>
        <w:spacing w:after="0"/>
        <w:rPr>
          <w:rFonts w:ascii="Garamond" w:hAnsi="Garamond"/>
          <w:sz w:val="24"/>
          <w:szCs w:val="24"/>
          <w:lang w:val="en-GB"/>
        </w:rPr>
      </w:pPr>
    </w:p>
    <w:p w14:paraId="1FCA6193" w14:textId="77777777" w:rsidR="000E4B78" w:rsidRPr="007550A0" w:rsidRDefault="000E4B78"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lastRenderedPageBreak/>
        <w:t>Final eligibility assessment</w:t>
      </w:r>
    </w:p>
    <w:p w14:paraId="320E0E22" w14:textId="6E192F7C" w:rsidR="000E4B78" w:rsidRPr="007550A0" w:rsidRDefault="000E4B78" w:rsidP="000E4B78">
      <w:pPr>
        <w:spacing w:after="0"/>
        <w:rPr>
          <w:rFonts w:ascii="Garamond" w:hAnsi="Garamond" w:cstheme="minorHAnsi"/>
          <w:sz w:val="24"/>
          <w:szCs w:val="24"/>
          <w:lang w:val="en-GB"/>
        </w:rPr>
      </w:pPr>
      <w:r w:rsidRPr="007550A0">
        <w:rPr>
          <w:rFonts w:ascii="Garamond" w:hAnsi="Garamond" w:cstheme="minorHAnsi"/>
          <w:sz w:val="24"/>
          <w:szCs w:val="24"/>
          <w:lang w:val="en-GB"/>
        </w:rPr>
        <w:t xml:space="preserve">Before the final award of grant, the </w:t>
      </w:r>
      <w:r w:rsidR="00527FEB" w:rsidRPr="007550A0">
        <w:rPr>
          <w:rFonts w:ascii="Garamond" w:hAnsi="Garamond" w:cstheme="minorHAnsi"/>
          <w:sz w:val="24"/>
          <w:szCs w:val="24"/>
          <w:lang w:val="en-GB"/>
        </w:rPr>
        <w:t xml:space="preserve">Danish Embassy in Brasília </w:t>
      </w:r>
      <w:r w:rsidRPr="007550A0">
        <w:rPr>
          <w:rFonts w:ascii="Garamond" w:hAnsi="Garamond" w:cstheme="minorHAnsi"/>
          <w:sz w:val="24"/>
          <w:szCs w:val="24"/>
          <w:lang w:val="en-GB"/>
        </w:rPr>
        <w:t>must conduct a final eligibility assessment</w:t>
      </w:r>
      <w:r w:rsidR="00FD346A" w:rsidRPr="007550A0">
        <w:rPr>
          <w:rFonts w:ascii="Garamond" w:hAnsi="Garamond" w:cstheme="minorHAnsi"/>
          <w:sz w:val="24"/>
          <w:szCs w:val="24"/>
          <w:lang w:val="en-GB"/>
        </w:rPr>
        <w:t>,</w:t>
      </w:r>
      <w:r w:rsidRPr="007550A0">
        <w:rPr>
          <w:rFonts w:ascii="Garamond" w:hAnsi="Garamond" w:cstheme="minorHAnsi"/>
          <w:sz w:val="24"/>
          <w:szCs w:val="24"/>
          <w:lang w:val="en-GB"/>
        </w:rPr>
        <w:t xml:space="preserve"> e.g.</w:t>
      </w:r>
      <w:r w:rsidR="00FD346A" w:rsidRPr="007550A0">
        <w:rPr>
          <w:rFonts w:ascii="Garamond" w:hAnsi="Garamond" w:cstheme="minorHAnsi"/>
          <w:sz w:val="24"/>
          <w:szCs w:val="24"/>
          <w:lang w:val="en-GB"/>
        </w:rPr>
        <w:t>,</w:t>
      </w:r>
      <w:r w:rsidRPr="007550A0">
        <w:rPr>
          <w:rFonts w:ascii="Garamond" w:hAnsi="Garamond" w:cstheme="minorHAnsi"/>
          <w:sz w:val="24"/>
          <w:szCs w:val="24"/>
          <w:lang w:val="en-GB"/>
        </w:rPr>
        <w:t xml:space="preserve"> by requiring supporting documents and initiating further inquiries as part of the </w:t>
      </w:r>
      <w:r w:rsidR="00527FEB" w:rsidRPr="007550A0">
        <w:rPr>
          <w:rFonts w:ascii="Garamond" w:hAnsi="Garamond" w:cstheme="minorHAnsi"/>
          <w:sz w:val="24"/>
          <w:szCs w:val="24"/>
          <w:lang w:val="en-GB"/>
        </w:rPr>
        <w:t>Embassy</w:t>
      </w:r>
      <w:r w:rsidRPr="007550A0">
        <w:rPr>
          <w:rFonts w:ascii="Garamond" w:hAnsi="Garamond" w:cstheme="minorHAnsi"/>
          <w:sz w:val="24"/>
          <w:szCs w:val="24"/>
          <w:lang w:val="en-GB"/>
        </w:rPr>
        <w:t>’s obligation to carry out a partner assessment/ due diligence review (cf. MFA Financial Management Guidelines for Development Cooperation)</w:t>
      </w:r>
      <w:r w:rsidRPr="007550A0">
        <w:rPr>
          <w:rStyle w:val="Fodnotehenvisning"/>
          <w:rFonts w:ascii="Garamond" w:hAnsi="Garamond" w:cstheme="minorHAnsi"/>
          <w:sz w:val="24"/>
          <w:szCs w:val="24"/>
          <w:lang w:val="en-GB"/>
        </w:rPr>
        <w:footnoteReference w:id="1"/>
      </w:r>
      <w:r w:rsidRPr="007550A0">
        <w:rPr>
          <w:rFonts w:ascii="Garamond" w:hAnsi="Garamond" w:cstheme="minorHAnsi"/>
          <w:sz w:val="24"/>
          <w:szCs w:val="24"/>
          <w:lang w:val="en-GB"/>
        </w:rPr>
        <w:t xml:space="preserve">.  The purpose of this assessment is to ascertain grant recipients’ financial, operational, organisational capacity and compliance with general safeguards and MFA requirements. The level of detail of the final eligibility assessment prior to the grant award may vary according to the specific situation and the context. The </w:t>
      </w:r>
      <w:r w:rsidR="00050E36" w:rsidRPr="007550A0">
        <w:rPr>
          <w:rFonts w:ascii="Garamond" w:hAnsi="Garamond" w:cstheme="minorHAnsi"/>
          <w:sz w:val="24"/>
          <w:szCs w:val="24"/>
          <w:lang w:val="en-GB"/>
        </w:rPr>
        <w:t xml:space="preserve">Danish Embassy in Brasília </w:t>
      </w:r>
      <w:r w:rsidRPr="007550A0">
        <w:rPr>
          <w:rFonts w:ascii="Garamond" w:hAnsi="Garamond" w:cstheme="minorHAnsi"/>
          <w:sz w:val="24"/>
          <w:szCs w:val="24"/>
          <w:lang w:val="en-GB"/>
        </w:rPr>
        <w:t xml:space="preserve">may also decide to check eligibility at any previous step of the evaluation of applications.  </w:t>
      </w:r>
    </w:p>
    <w:p w14:paraId="6040FE00" w14:textId="77777777" w:rsidR="000E4B78" w:rsidRPr="007550A0" w:rsidRDefault="000E4B78" w:rsidP="000E4B78">
      <w:pPr>
        <w:spacing w:after="0"/>
        <w:rPr>
          <w:rFonts w:ascii="Garamond" w:hAnsi="Garamond"/>
          <w:sz w:val="24"/>
          <w:szCs w:val="24"/>
          <w:lang w:val="en-GB"/>
        </w:rPr>
      </w:pPr>
    </w:p>
    <w:p w14:paraId="385D2310" w14:textId="77777777" w:rsidR="000E4B78" w:rsidRPr="007550A0" w:rsidRDefault="000E4B78"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Administration and dialogue with the MFA</w:t>
      </w:r>
    </w:p>
    <w:p w14:paraId="6816E737" w14:textId="4BB07DC7" w:rsidR="000E4B78" w:rsidRPr="007550A0" w:rsidRDefault="000E4B78" w:rsidP="000E4B78">
      <w:pPr>
        <w:spacing w:after="0"/>
        <w:rPr>
          <w:rFonts w:ascii="Garamond" w:hAnsi="Garamond" w:cstheme="minorHAnsi"/>
          <w:sz w:val="24"/>
          <w:szCs w:val="24"/>
          <w:lang w:val="en-GB"/>
        </w:rPr>
      </w:pPr>
      <w:r w:rsidRPr="007550A0">
        <w:rPr>
          <w:rFonts w:ascii="Garamond" w:hAnsi="Garamond" w:cstheme="minorHAnsi"/>
          <w:sz w:val="24"/>
          <w:szCs w:val="24"/>
          <w:lang w:val="en-GB"/>
        </w:rPr>
        <w:t xml:space="preserve">The call for proposals and the subsequent project/grant will be managed by </w:t>
      </w:r>
      <w:r w:rsidR="004E2986" w:rsidRPr="007550A0">
        <w:rPr>
          <w:rFonts w:ascii="Garamond" w:hAnsi="Garamond" w:cstheme="minorHAnsi"/>
          <w:sz w:val="24"/>
          <w:szCs w:val="24"/>
          <w:lang w:val="en-GB"/>
        </w:rPr>
        <w:t>the Danish Embassy in Brasília</w:t>
      </w:r>
      <w:r w:rsidRPr="007550A0">
        <w:rPr>
          <w:rFonts w:ascii="Garamond" w:hAnsi="Garamond" w:cstheme="minorHAnsi"/>
          <w:sz w:val="24"/>
          <w:szCs w:val="24"/>
          <w:lang w:val="en-GB"/>
        </w:rPr>
        <w:t>.</w:t>
      </w:r>
    </w:p>
    <w:p w14:paraId="51B110FB" w14:textId="77777777" w:rsidR="000E4B78" w:rsidRPr="007550A0" w:rsidRDefault="000E4B78" w:rsidP="000E4B78">
      <w:pPr>
        <w:spacing w:after="0"/>
        <w:rPr>
          <w:rFonts w:ascii="Garamond" w:hAnsi="Garamond" w:cstheme="minorHAnsi"/>
          <w:sz w:val="24"/>
          <w:szCs w:val="24"/>
          <w:lang w:val="en-GB"/>
        </w:rPr>
      </w:pPr>
    </w:p>
    <w:p w14:paraId="10E54B86" w14:textId="5DFA3C86" w:rsidR="000E4B78" w:rsidRPr="007550A0" w:rsidRDefault="000E4B78" w:rsidP="000E4B78">
      <w:pPr>
        <w:spacing w:after="0"/>
        <w:rPr>
          <w:rFonts w:ascii="Garamond" w:hAnsi="Garamond" w:cstheme="minorHAnsi"/>
          <w:sz w:val="24"/>
          <w:szCs w:val="24"/>
          <w:lang w:val="en-GB"/>
        </w:rPr>
      </w:pPr>
      <w:r w:rsidRPr="007550A0">
        <w:rPr>
          <w:rFonts w:ascii="Garamond" w:hAnsi="Garamond" w:cstheme="minorHAnsi"/>
          <w:sz w:val="24"/>
          <w:szCs w:val="24"/>
          <w:lang w:val="en-GB"/>
        </w:rPr>
        <w:t xml:space="preserve">The grant will be administered according to </w:t>
      </w:r>
      <w:r w:rsidR="00FD346A" w:rsidRPr="007550A0">
        <w:rPr>
          <w:rFonts w:ascii="Garamond" w:hAnsi="Garamond" w:cstheme="minorHAnsi"/>
          <w:sz w:val="24"/>
          <w:szCs w:val="24"/>
          <w:lang w:val="en-GB"/>
        </w:rPr>
        <w:t>the</w:t>
      </w:r>
      <w:r w:rsidRPr="007550A0">
        <w:rPr>
          <w:rFonts w:ascii="Garamond" w:hAnsi="Garamond" w:cstheme="minorHAnsi"/>
          <w:sz w:val="24"/>
          <w:szCs w:val="24"/>
          <w:lang w:val="en-GB"/>
        </w:rPr>
        <w:t xml:space="preserve"> Guidelines for bilateral cooperation</w:t>
      </w:r>
      <w:r w:rsidR="00812BDF" w:rsidRPr="007550A0">
        <w:rPr>
          <w:rFonts w:ascii="Garamond" w:hAnsi="Garamond" w:cstheme="minorHAnsi"/>
          <w:sz w:val="24"/>
          <w:szCs w:val="24"/>
          <w:lang w:val="en-GB"/>
        </w:rPr>
        <w:t>:</w:t>
      </w:r>
      <w:r w:rsidR="00E36D45" w:rsidRPr="00E36D45">
        <w:rPr>
          <w:lang w:val="en-US"/>
        </w:rPr>
        <w:t xml:space="preserve"> </w:t>
      </w:r>
      <w:r w:rsidR="00E36D45" w:rsidRPr="00E36D45">
        <w:rPr>
          <w:rFonts w:ascii="Garamond" w:hAnsi="Garamond" w:cstheme="minorHAnsi"/>
          <w:sz w:val="24"/>
          <w:szCs w:val="24"/>
          <w:lang w:val="en-GB"/>
        </w:rPr>
        <w:t>https://amg.um.dk/bilateral-cooperation/guidelines-for-programmes-projects-country-strategic-frameworks-and-hard-earmarked-multilat-support</w:t>
      </w:r>
      <w:r w:rsidRPr="007550A0">
        <w:rPr>
          <w:rFonts w:ascii="Garamond" w:hAnsi="Garamond" w:cstheme="minorHAnsi"/>
          <w:sz w:val="24"/>
          <w:szCs w:val="24"/>
          <w:lang w:val="en-GB"/>
        </w:rPr>
        <w:t xml:space="preserve"> </w:t>
      </w:r>
    </w:p>
    <w:p w14:paraId="61F91AE2" w14:textId="77777777" w:rsidR="000E4B78" w:rsidRPr="007550A0" w:rsidRDefault="000E4B78" w:rsidP="00737AAA">
      <w:pPr>
        <w:spacing w:after="0"/>
        <w:rPr>
          <w:rFonts w:ascii="Garamond" w:hAnsi="Garamond"/>
          <w:sz w:val="24"/>
          <w:szCs w:val="24"/>
          <w:lang w:val="en-GB"/>
        </w:rPr>
      </w:pPr>
    </w:p>
    <w:p w14:paraId="25D2CBF3" w14:textId="7A3E051B" w:rsidR="000E4B78" w:rsidRPr="007550A0" w:rsidRDefault="000E4B78" w:rsidP="000E4B78">
      <w:pPr>
        <w:pStyle w:val="Listeafsnit"/>
        <w:numPr>
          <w:ilvl w:val="0"/>
          <w:numId w:val="2"/>
        </w:numPr>
        <w:spacing w:after="0"/>
        <w:rPr>
          <w:rFonts w:ascii="Garamond" w:hAnsi="Garamond"/>
          <w:b/>
          <w:bCs/>
          <w:sz w:val="28"/>
          <w:szCs w:val="28"/>
          <w:lang w:val="en-GB"/>
        </w:rPr>
      </w:pPr>
      <w:r w:rsidRPr="007550A0">
        <w:rPr>
          <w:rFonts w:ascii="Garamond" w:hAnsi="Garamond"/>
          <w:b/>
          <w:bCs/>
          <w:sz w:val="28"/>
          <w:szCs w:val="28"/>
          <w:lang w:val="en-GB"/>
        </w:rPr>
        <w:t>Tentative timetable for the application and selection process</w:t>
      </w:r>
      <w:r w:rsidRPr="007550A0">
        <w:rPr>
          <w:rFonts w:ascii="Garamond" w:hAnsi="Garamond" w:cstheme="minorHAnsi"/>
          <w:sz w:val="24"/>
          <w:szCs w:val="24"/>
          <w:lang w:val="en-GB"/>
        </w:rPr>
        <w:t xml:space="preserve"> </w:t>
      </w:r>
    </w:p>
    <w:p w14:paraId="3856DBE3" w14:textId="60AD9ED4" w:rsidR="00F30C65" w:rsidRPr="007550A0" w:rsidRDefault="00F30C65" w:rsidP="00F30C65">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4815"/>
        <w:gridCol w:w="2551"/>
        <w:gridCol w:w="2262"/>
      </w:tblGrid>
      <w:tr w:rsidR="007550A0" w:rsidRPr="007550A0" w14:paraId="1F837F22" w14:textId="77777777" w:rsidTr="000E4B78">
        <w:tc>
          <w:tcPr>
            <w:tcW w:w="4815" w:type="dxa"/>
            <w:tcBorders>
              <w:bottom w:val="single" w:sz="4" w:space="0" w:color="auto"/>
            </w:tcBorders>
          </w:tcPr>
          <w:p w14:paraId="22E6E11A" w14:textId="77777777" w:rsidR="000E4B78" w:rsidRPr="007550A0" w:rsidRDefault="000E4B78" w:rsidP="000E4B78">
            <w:pPr>
              <w:rPr>
                <w:rFonts w:ascii="Garamond" w:hAnsi="Garamond" w:cstheme="minorHAnsi"/>
                <w:sz w:val="24"/>
                <w:szCs w:val="24"/>
                <w:lang w:val="en-GB"/>
              </w:rPr>
            </w:pPr>
          </w:p>
        </w:tc>
        <w:tc>
          <w:tcPr>
            <w:tcW w:w="2551" w:type="dxa"/>
            <w:shd w:val="clear" w:color="auto" w:fill="D9D9D9" w:themeFill="background1" w:themeFillShade="D9"/>
          </w:tcPr>
          <w:p w14:paraId="0E56624A" w14:textId="77777777" w:rsidR="000E4B78" w:rsidRPr="007550A0" w:rsidRDefault="000E4B78" w:rsidP="000E4B78">
            <w:pPr>
              <w:jc w:val="center"/>
              <w:rPr>
                <w:rFonts w:ascii="Garamond" w:hAnsi="Garamond" w:cstheme="minorHAnsi"/>
                <w:b/>
                <w:sz w:val="24"/>
                <w:szCs w:val="24"/>
                <w:lang w:val="en-GB"/>
              </w:rPr>
            </w:pPr>
            <w:r w:rsidRPr="007550A0">
              <w:rPr>
                <w:rFonts w:ascii="Garamond" w:hAnsi="Garamond" w:cstheme="minorHAnsi"/>
                <w:b/>
                <w:sz w:val="24"/>
                <w:szCs w:val="24"/>
                <w:lang w:val="en-GB"/>
              </w:rPr>
              <w:t>Date</w:t>
            </w:r>
          </w:p>
        </w:tc>
        <w:tc>
          <w:tcPr>
            <w:tcW w:w="2262" w:type="dxa"/>
            <w:shd w:val="clear" w:color="auto" w:fill="D9D9D9" w:themeFill="background1" w:themeFillShade="D9"/>
          </w:tcPr>
          <w:p w14:paraId="23055B12" w14:textId="278CE255" w:rsidR="000E4B78" w:rsidRPr="007550A0" w:rsidRDefault="000E4B78" w:rsidP="000E4B78">
            <w:pPr>
              <w:jc w:val="center"/>
              <w:rPr>
                <w:rFonts w:ascii="Garamond" w:hAnsi="Garamond" w:cstheme="minorHAnsi"/>
                <w:b/>
                <w:sz w:val="24"/>
                <w:szCs w:val="24"/>
                <w:lang w:val="en-GB"/>
              </w:rPr>
            </w:pPr>
            <w:r w:rsidRPr="007550A0">
              <w:rPr>
                <w:rFonts w:ascii="Garamond" w:hAnsi="Garamond" w:cstheme="minorHAnsi"/>
                <w:b/>
                <w:sz w:val="24"/>
                <w:szCs w:val="24"/>
                <w:lang w:val="en-GB"/>
              </w:rPr>
              <w:t>Time (</w:t>
            </w:r>
            <w:bookmarkStart w:id="1" w:name="_Hlk219881041"/>
            <w:r w:rsidR="00CD6CE8" w:rsidRPr="007550A0">
              <w:rPr>
                <w:rFonts w:ascii="Garamond" w:hAnsi="Garamond" w:cstheme="minorHAnsi"/>
                <w:b/>
                <w:sz w:val="24"/>
                <w:szCs w:val="24"/>
                <w:lang w:val="en-GB"/>
              </w:rPr>
              <w:t>GMT-3</w:t>
            </w:r>
            <w:bookmarkEnd w:id="1"/>
            <w:r w:rsidRPr="007550A0">
              <w:rPr>
                <w:rFonts w:ascii="Garamond" w:hAnsi="Garamond" w:cstheme="minorHAnsi"/>
                <w:b/>
                <w:sz w:val="24"/>
                <w:szCs w:val="24"/>
                <w:lang w:val="en-GB"/>
              </w:rPr>
              <w:t>)</w:t>
            </w:r>
          </w:p>
        </w:tc>
      </w:tr>
      <w:tr w:rsidR="007550A0" w:rsidRPr="007550A0" w14:paraId="400D05C7" w14:textId="77777777" w:rsidTr="000E4B78">
        <w:tc>
          <w:tcPr>
            <w:tcW w:w="4815" w:type="dxa"/>
            <w:shd w:val="clear" w:color="auto" w:fill="D9D9D9" w:themeFill="background1" w:themeFillShade="D9"/>
          </w:tcPr>
          <w:p w14:paraId="12B0FAAB" w14:textId="77777777" w:rsidR="000E4B78" w:rsidRPr="007550A0" w:rsidRDefault="000E4B78" w:rsidP="000E4B78">
            <w:pPr>
              <w:pStyle w:val="Listeafsnit"/>
              <w:numPr>
                <w:ilvl w:val="0"/>
                <w:numId w:val="6"/>
              </w:numPr>
              <w:rPr>
                <w:rFonts w:ascii="Garamond" w:hAnsi="Garamond" w:cstheme="minorHAnsi"/>
                <w:sz w:val="24"/>
                <w:szCs w:val="24"/>
                <w:lang w:val="en-GB"/>
              </w:rPr>
            </w:pPr>
            <w:r w:rsidRPr="007550A0">
              <w:rPr>
                <w:rFonts w:ascii="Garamond" w:hAnsi="Garamond" w:cstheme="minorHAnsi"/>
                <w:sz w:val="24"/>
                <w:szCs w:val="24"/>
                <w:lang w:val="en-GB"/>
              </w:rPr>
              <w:t xml:space="preserve">Call for proposals published/forwarded </w:t>
            </w:r>
          </w:p>
        </w:tc>
        <w:tc>
          <w:tcPr>
            <w:tcW w:w="2551" w:type="dxa"/>
          </w:tcPr>
          <w:p w14:paraId="2A8D3841" w14:textId="70B67408" w:rsidR="000E4B78" w:rsidRPr="007550A0" w:rsidRDefault="002E47BA" w:rsidP="000E4B78">
            <w:pPr>
              <w:rPr>
                <w:rFonts w:ascii="Garamond" w:hAnsi="Garamond" w:cstheme="minorHAnsi"/>
                <w:sz w:val="24"/>
                <w:szCs w:val="24"/>
                <w:lang w:val="en-GB"/>
              </w:rPr>
            </w:pPr>
            <w:r>
              <w:rPr>
                <w:rFonts w:ascii="Garamond" w:hAnsi="Garamond" w:cstheme="minorHAnsi"/>
                <w:sz w:val="24"/>
                <w:szCs w:val="24"/>
                <w:lang w:val="en-GB"/>
              </w:rPr>
              <w:t>1</w:t>
            </w:r>
            <w:r w:rsidR="00CB3C02">
              <w:rPr>
                <w:rFonts w:ascii="Garamond" w:hAnsi="Garamond" w:cstheme="minorHAnsi"/>
                <w:sz w:val="24"/>
                <w:szCs w:val="24"/>
                <w:lang w:val="en-GB"/>
              </w:rPr>
              <w:t>2</w:t>
            </w:r>
            <w:r w:rsidR="003160F9" w:rsidRPr="007550A0">
              <w:rPr>
                <w:rFonts w:ascii="Garamond" w:hAnsi="Garamond" w:cstheme="minorHAnsi"/>
                <w:sz w:val="24"/>
                <w:szCs w:val="24"/>
                <w:lang w:val="en-GB"/>
              </w:rPr>
              <w:t xml:space="preserve"> </w:t>
            </w:r>
            <w:r w:rsidR="00CD6CE8" w:rsidRPr="007550A0">
              <w:rPr>
                <w:rFonts w:ascii="Garamond" w:hAnsi="Garamond" w:cstheme="minorHAnsi"/>
                <w:sz w:val="24"/>
                <w:szCs w:val="24"/>
                <w:lang w:val="en-GB"/>
              </w:rPr>
              <w:t xml:space="preserve">February </w:t>
            </w:r>
            <w:r w:rsidR="003160F9" w:rsidRPr="007550A0">
              <w:rPr>
                <w:rFonts w:ascii="Garamond" w:hAnsi="Garamond" w:cstheme="minorHAnsi"/>
                <w:sz w:val="24"/>
                <w:szCs w:val="24"/>
                <w:lang w:val="en-GB"/>
              </w:rPr>
              <w:t>2026</w:t>
            </w:r>
          </w:p>
        </w:tc>
        <w:tc>
          <w:tcPr>
            <w:tcW w:w="2262" w:type="dxa"/>
          </w:tcPr>
          <w:p w14:paraId="06B3F00E" w14:textId="6D91A1E6" w:rsidR="000E4B78" w:rsidRPr="007550A0" w:rsidRDefault="00CD6CE8" w:rsidP="000E4B78">
            <w:pPr>
              <w:rPr>
                <w:rFonts w:ascii="Garamond" w:hAnsi="Garamond" w:cstheme="minorHAnsi"/>
                <w:sz w:val="24"/>
                <w:szCs w:val="24"/>
                <w:lang w:val="en-GB"/>
              </w:rPr>
            </w:pPr>
            <w:r w:rsidRPr="007550A0">
              <w:rPr>
                <w:rFonts w:ascii="Garamond" w:hAnsi="Garamond" w:cstheme="minorHAnsi"/>
                <w:sz w:val="24"/>
                <w:szCs w:val="24"/>
                <w:lang w:val="en-GB"/>
              </w:rPr>
              <w:t>12AM</w:t>
            </w:r>
          </w:p>
        </w:tc>
      </w:tr>
      <w:tr w:rsidR="007550A0" w:rsidRPr="007550A0" w14:paraId="2DD3EAB9" w14:textId="77777777" w:rsidTr="000E4B78">
        <w:tc>
          <w:tcPr>
            <w:tcW w:w="4815" w:type="dxa"/>
            <w:shd w:val="clear" w:color="auto" w:fill="D9D9D9" w:themeFill="background1" w:themeFillShade="D9"/>
          </w:tcPr>
          <w:p w14:paraId="4EA38214" w14:textId="77777777" w:rsidR="000E4B78" w:rsidRPr="007550A0" w:rsidRDefault="000E4B78" w:rsidP="000E4B78">
            <w:pPr>
              <w:pStyle w:val="Listeafsnit"/>
              <w:numPr>
                <w:ilvl w:val="0"/>
                <w:numId w:val="6"/>
              </w:numPr>
              <w:rPr>
                <w:rFonts w:ascii="Garamond" w:hAnsi="Garamond" w:cstheme="minorHAnsi"/>
                <w:sz w:val="24"/>
                <w:szCs w:val="24"/>
                <w:lang w:val="en-GB"/>
              </w:rPr>
            </w:pPr>
            <w:r w:rsidRPr="007550A0">
              <w:rPr>
                <w:rFonts w:ascii="Garamond" w:hAnsi="Garamond" w:cstheme="minorHAnsi"/>
                <w:sz w:val="24"/>
                <w:szCs w:val="24"/>
                <w:lang w:val="en-GB"/>
              </w:rPr>
              <w:t>Deadline for requesting clarifications</w:t>
            </w:r>
          </w:p>
        </w:tc>
        <w:tc>
          <w:tcPr>
            <w:tcW w:w="2551" w:type="dxa"/>
          </w:tcPr>
          <w:p w14:paraId="71C20A7C" w14:textId="347EE8BF" w:rsidR="000E4B78" w:rsidRPr="007550A0" w:rsidRDefault="00CB3C02" w:rsidP="000E4B78">
            <w:pPr>
              <w:rPr>
                <w:rFonts w:ascii="Garamond" w:hAnsi="Garamond" w:cstheme="minorHAnsi"/>
                <w:sz w:val="24"/>
                <w:szCs w:val="24"/>
                <w:lang w:val="en-GB"/>
              </w:rPr>
            </w:pPr>
            <w:r>
              <w:rPr>
                <w:rFonts w:ascii="Garamond" w:hAnsi="Garamond" w:cstheme="minorHAnsi"/>
                <w:sz w:val="24"/>
                <w:szCs w:val="24"/>
                <w:lang w:val="en-GB"/>
              </w:rPr>
              <w:t>27</w:t>
            </w:r>
            <w:r w:rsidR="002E47BA">
              <w:rPr>
                <w:rFonts w:ascii="Garamond" w:hAnsi="Garamond" w:cstheme="minorHAnsi"/>
                <w:sz w:val="24"/>
                <w:szCs w:val="24"/>
                <w:lang w:val="en-GB"/>
              </w:rPr>
              <w:t xml:space="preserve"> </w:t>
            </w:r>
            <w:r>
              <w:rPr>
                <w:rFonts w:ascii="Garamond" w:hAnsi="Garamond" w:cstheme="minorHAnsi"/>
                <w:sz w:val="24"/>
                <w:szCs w:val="24"/>
                <w:lang w:val="en-GB"/>
              </w:rPr>
              <w:t>February</w:t>
            </w:r>
            <w:r w:rsidR="00CD6CE8" w:rsidRPr="007550A0">
              <w:rPr>
                <w:rFonts w:ascii="Garamond" w:hAnsi="Garamond" w:cstheme="minorHAnsi"/>
                <w:sz w:val="24"/>
                <w:szCs w:val="24"/>
                <w:lang w:val="en-GB"/>
              </w:rPr>
              <w:t xml:space="preserve"> </w:t>
            </w:r>
            <w:r w:rsidR="003160F9" w:rsidRPr="007550A0">
              <w:rPr>
                <w:rFonts w:ascii="Garamond" w:hAnsi="Garamond" w:cstheme="minorHAnsi"/>
                <w:sz w:val="24"/>
                <w:szCs w:val="24"/>
                <w:lang w:val="en-GB"/>
              </w:rPr>
              <w:t>2026</w:t>
            </w:r>
          </w:p>
        </w:tc>
        <w:tc>
          <w:tcPr>
            <w:tcW w:w="2262" w:type="dxa"/>
          </w:tcPr>
          <w:p w14:paraId="3C19335A" w14:textId="0D86453D" w:rsidR="000E4B78" w:rsidRPr="007550A0" w:rsidRDefault="00CD6CE8" w:rsidP="000E4B78">
            <w:pPr>
              <w:rPr>
                <w:rFonts w:ascii="Garamond" w:hAnsi="Garamond" w:cstheme="minorHAnsi"/>
                <w:sz w:val="24"/>
                <w:szCs w:val="24"/>
                <w:lang w:val="en-GB"/>
              </w:rPr>
            </w:pPr>
            <w:r w:rsidRPr="007550A0">
              <w:rPr>
                <w:rFonts w:ascii="Garamond" w:hAnsi="Garamond" w:cstheme="minorHAnsi"/>
                <w:sz w:val="24"/>
                <w:szCs w:val="24"/>
                <w:lang w:val="en-GB"/>
              </w:rPr>
              <w:t>12AM</w:t>
            </w:r>
          </w:p>
        </w:tc>
      </w:tr>
      <w:tr w:rsidR="007550A0" w:rsidRPr="007550A0" w14:paraId="24A25B7E" w14:textId="77777777" w:rsidTr="000E4B78">
        <w:tc>
          <w:tcPr>
            <w:tcW w:w="4815" w:type="dxa"/>
            <w:shd w:val="clear" w:color="auto" w:fill="D9D9D9" w:themeFill="background1" w:themeFillShade="D9"/>
          </w:tcPr>
          <w:p w14:paraId="35E08BAE" w14:textId="77777777" w:rsidR="000E4B78" w:rsidRPr="007550A0" w:rsidRDefault="000E4B78" w:rsidP="000E4B78">
            <w:pPr>
              <w:pStyle w:val="Listeafsnit"/>
              <w:numPr>
                <w:ilvl w:val="0"/>
                <w:numId w:val="6"/>
              </w:numPr>
              <w:rPr>
                <w:rFonts w:ascii="Garamond" w:hAnsi="Garamond" w:cstheme="minorHAnsi"/>
                <w:sz w:val="24"/>
                <w:szCs w:val="24"/>
                <w:lang w:val="en-GB"/>
              </w:rPr>
            </w:pPr>
            <w:r w:rsidRPr="007550A0">
              <w:rPr>
                <w:rFonts w:ascii="Garamond" w:hAnsi="Garamond" w:cstheme="minorHAnsi"/>
                <w:sz w:val="24"/>
                <w:szCs w:val="24"/>
                <w:lang w:val="en-GB"/>
              </w:rPr>
              <w:t>Deadline for issuing Q&amp;A</w:t>
            </w:r>
          </w:p>
        </w:tc>
        <w:tc>
          <w:tcPr>
            <w:tcW w:w="2551" w:type="dxa"/>
          </w:tcPr>
          <w:p w14:paraId="025B6F33" w14:textId="204833EB" w:rsidR="000E4B78" w:rsidRPr="007550A0" w:rsidRDefault="00CB3C02" w:rsidP="000E4B78">
            <w:pPr>
              <w:rPr>
                <w:rFonts w:ascii="Garamond" w:hAnsi="Garamond" w:cstheme="minorHAnsi"/>
                <w:sz w:val="24"/>
                <w:szCs w:val="24"/>
                <w:lang w:val="en-GB"/>
              </w:rPr>
            </w:pPr>
            <w:r>
              <w:rPr>
                <w:rFonts w:ascii="Garamond" w:hAnsi="Garamond" w:cstheme="minorHAnsi"/>
                <w:sz w:val="24"/>
                <w:szCs w:val="24"/>
                <w:lang w:val="en-GB"/>
              </w:rPr>
              <w:t>6</w:t>
            </w:r>
            <w:r w:rsidR="002E47BA">
              <w:rPr>
                <w:rFonts w:ascii="Garamond" w:hAnsi="Garamond" w:cstheme="minorHAnsi"/>
                <w:sz w:val="24"/>
                <w:szCs w:val="24"/>
                <w:lang w:val="en-GB"/>
              </w:rPr>
              <w:t xml:space="preserve"> March</w:t>
            </w:r>
            <w:r w:rsidR="003160F9" w:rsidRPr="007550A0">
              <w:rPr>
                <w:rFonts w:ascii="Garamond" w:hAnsi="Garamond" w:cstheme="minorHAnsi"/>
                <w:sz w:val="24"/>
                <w:szCs w:val="24"/>
                <w:lang w:val="en-GB"/>
              </w:rPr>
              <w:t xml:space="preserve"> 2026</w:t>
            </w:r>
            <w:r w:rsidR="00CD6CE8" w:rsidRPr="007550A0">
              <w:rPr>
                <w:rFonts w:ascii="Garamond" w:hAnsi="Garamond" w:cstheme="minorHAnsi"/>
                <w:sz w:val="24"/>
                <w:szCs w:val="24"/>
                <w:lang w:val="en-GB"/>
              </w:rPr>
              <w:t xml:space="preserve"> </w:t>
            </w:r>
          </w:p>
        </w:tc>
        <w:tc>
          <w:tcPr>
            <w:tcW w:w="2262" w:type="dxa"/>
          </w:tcPr>
          <w:p w14:paraId="08C5BAF7" w14:textId="69CBA429" w:rsidR="000E4B78" w:rsidRPr="007550A0" w:rsidRDefault="00CD6CE8" w:rsidP="000E4B78">
            <w:pPr>
              <w:rPr>
                <w:rFonts w:ascii="Garamond" w:hAnsi="Garamond" w:cstheme="minorHAnsi"/>
                <w:sz w:val="24"/>
                <w:szCs w:val="24"/>
                <w:lang w:val="en-GB"/>
              </w:rPr>
            </w:pPr>
            <w:r w:rsidRPr="007550A0">
              <w:rPr>
                <w:rFonts w:ascii="Garamond" w:hAnsi="Garamond" w:cstheme="minorHAnsi"/>
                <w:sz w:val="24"/>
                <w:szCs w:val="24"/>
                <w:lang w:val="en-GB"/>
              </w:rPr>
              <w:t>12AM</w:t>
            </w:r>
          </w:p>
        </w:tc>
      </w:tr>
      <w:tr w:rsidR="007550A0" w:rsidRPr="007550A0" w14:paraId="1ABD09CD" w14:textId="77777777" w:rsidTr="000E4B78">
        <w:tc>
          <w:tcPr>
            <w:tcW w:w="4815" w:type="dxa"/>
            <w:shd w:val="clear" w:color="auto" w:fill="D9D9D9" w:themeFill="background1" w:themeFillShade="D9"/>
          </w:tcPr>
          <w:p w14:paraId="0C089F70" w14:textId="77777777" w:rsidR="000E4B78" w:rsidRPr="007550A0" w:rsidRDefault="000E4B78" w:rsidP="000E4B78">
            <w:pPr>
              <w:pStyle w:val="Listeafsnit"/>
              <w:numPr>
                <w:ilvl w:val="0"/>
                <w:numId w:val="6"/>
              </w:numPr>
              <w:rPr>
                <w:rFonts w:ascii="Garamond" w:hAnsi="Garamond" w:cstheme="minorHAnsi"/>
                <w:sz w:val="24"/>
                <w:szCs w:val="24"/>
                <w:lang w:val="en-GB"/>
              </w:rPr>
            </w:pPr>
            <w:r w:rsidRPr="007550A0">
              <w:rPr>
                <w:rFonts w:ascii="Garamond" w:hAnsi="Garamond" w:cstheme="minorHAnsi"/>
                <w:sz w:val="24"/>
                <w:szCs w:val="24"/>
                <w:lang w:val="en-GB"/>
              </w:rPr>
              <w:t>Deadline for submission of full project proposals</w:t>
            </w:r>
          </w:p>
        </w:tc>
        <w:tc>
          <w:tcPr>
            <w:tcW w:w="2551" w:type="dxa"/>
          </w:tcPr>
          <w:p w14:paraId="41D9338D" w14:textId="3DC7AA4C" w:rsidR="000E4B78" w:rsidRPr="007550A0" w:rsidRDefault="00CB3C02" w:rsidP="000E4B78">
            <w:pPr>
              <w:rPr>
                <w:rFonts w:ascii="Garamond" w:hAnsi="Garamond" w:cstheme="minorHAnsi"/>
                <w:sz w:val="24"/>
                <w:szCs w:val="24"/>
                <w:lang w:val="en-GB"/>
              </w:rPr>
            </w:pPr>
            <w:r>
              <w:rPr>
                <w:rFonts w:ascii="Garamond" w:hAnsi="Garamond" w:cstheme="minorHAnsi"/>
                <w:sz w:val="24"/>
                <w:szCs w:val="24"/>
                <w:lang w:val="en-GB"/>
              </w:rPr>
              <w:t>20</w:t>
            </w:r>
            <w:r w:rsidR="003160F9" w:rsidRPr="007550A0">
              <w:rPr>
                <w:rFonts w:ascii="Garamond" w:hAnsi="Garamond" w:cstheme="minorHAnsi"/>
                <w:sz w:val="24"/>
                <w:szCs w:val="24"/>
                <w:lang w:val="en-GB"/>
              </w:rPr>
              <w:t xml:space="preserve"> </w:t>
            </w:r>
            <w:r w:rsidR="00C07647" w:rsidRPr="007550A0">
              <w:rPr>
                <w:rFonts w:ascii="Garamond" w:hAnsi="Garamond" w:cstheme="minorHAnsi"/>
                <w:sz w:val="24"/>
                <w:szCs w:val="24"/>
                <w:lang w:val="en-GB"/>
              </w:rPr>
              <w:t xml:space="preserve">March </w:t>
            </w:r>
            <w:r w:rsidR="00633DF0" w:rsidRPr="007550A0">
              <w:rPr>
                <w:rFonts w:ascii="Garamond" w:hAnsi="Garamond" w:cstheme="minorHAnsi"/>
                <w:sz w:val="24"/>
                <w:szCs w:val="24"/>
                <w:lang w:val="en-GB"/>
              </w:rPr>
              <w:t>2</w:t>
            </w:r>
            <w:r w:rsidR="003160F9" w:rsidRPr="007550A0">
              <w:rPr>
                <w:rFonts w:ascii="Garamond" w:hAnsi="Garamond" w:cstheme="minorHAnsi"/>
                <w:sz w:val="24"/>
                <w:szCs w:val="24"/>
                <w:lang w:val="en-GB"/>
              </w:rPr>
              <w:t>026</w:t>
            </w:r>
          </w:p>
        </w:tc>
        <w:tc>
          <w:tcPr>
            <w:tcW w:w="2262" w:type="dxa"/>
          </w:tcPr>
          <w:p w14:paraId="449B73FA" w14:textId="401AB72B" w:rsidR="000E4B78" w:rsidRPr="007550A0" w:rsidRDefault="00CD6CE8" w:rsidP="000E4B78">
            <w:pPr>
              <w:rPr>
                <w:rFonts w:ascii="Garamond" w:hAnsi="Garamond" w:cstheme="minorHAnsi"/>
                <w:sz w:val="24"/>
                <w:szCs w:val="24"/>
                <w:lang w:val="en-GB"/>
              </w:rPr>
            </w:pPr>
            <w:r w:rsidRPr="007550A0">
              <w:rPr>
                <w:rFonts w:ascii="Garamond" w:hAnsi="Garamond" w:cstheme="minorHAnsi"/>
                <w:sz w:val="24"/>
                <w:szCs w:val="24"/>
                <w:lang w:val="en-GB"/>
              </w:rPr>
              <w:t>12AM</w:t>
            </w:r>
          </w:p>
        </w:tc>
      </w:tr>
      <w:tr w:rsidR="007550A0" w:rsidRPr="007550A0" w14:paraId="609DFB68" w14:textId="77777777" w:rsidTr="000E4B78">
        <w:tc>
          <w:tcPr>
            <w:tcW w:w="4815" w:type="dxa"/>
            <w:shd w:val="clear" w:color="auto" w:fill="D9D9D9" w:themeFill="background1" w:themeFillShade="D9"/>
          </w:tcPr>
          <w:p w14:paraId="612DB7FD" w14:textId="77777777" w:rsidR="000E4B78" w:rsidRPr="007550A0" w:rsidRDefault="000E4B78" w:rsidP="000E4B78">
            <w:pPr>
              <w:pStyle w:val="Listeafsnit"/>
              <w:numPr>
                <w:ilvl w:val="0"/>
                <w:numId w:val="6"/>
              </w:numPr>
              <w:rPr>
                <w:rFonts w:ascii="Garamond" w:hAnsi="Garamond" w:cstheme="minorHAnsi"/>
                <w:sz w:val="24"/>
                <w:szCs w:val="24"/>
                <w:lang w:val="en-GB"/>
              </w:rPr>
            </w:pPr>
            <w:r w:rsidRPr="007550A0">
              <w:rPr>
                <w:rFonts w:ascii="Garamond" w:hAnsi="Garamond" w:cstheme="minorHAnsi"/>
                <w:sz w:val="24"/>
                <w:szCs w:val="24"/>
                <w:lang w:val="en-GB"/>
              </w:rPr>
              <w:t>Information to applications on evaluation of full project proposals/notification of award of grant</w:t>
            </w:r>
          </w:p>
        </w:tc>
        <w:tc>
          <w:tcPr>
            <w:tcW w:w="2551" w:type="dxa"/>
          </w:tcPr>
          <w:p w14:paraId="31F85FCB" w14:textId="65ACCDC4" w:rsidR="000E4B78" w:rsidRPr="007550A0" w:rsidRDefault="00CB3C02" w:rsidP="000E4B78">
            <w:pPr>
              <w:rPr>
                <w:rFonts w:ascii="Garamond" w:hAnsi="Garamond" w:cstheme="minorHAnsi"/>
                <w:sz w:val="24"/>
                <w:szCs w:val="24"/>
                <w:lang w:val="en-GB"/>
              </w:rPr>
            </w:pPr>
            <w:r>
              <w:rPr>
                <w:rFonts w:ascii="Garamond" w:hAnsi="Garamond" w:cstheme="minorHAnsi"/>
                <w:sz w:val="24"/>
                <w:szCs w:val="24"/>
                <w:lang w:val="en-GB"/>
              </w:rPr>
              <w:t>3</w:t>
            </w:r>
            <w:r w:rsidR="003160F9" w:rsidRPr="007550A0">
              <w:rPr>
                <w:rFonts w:ascii="Garamond" w:hAnsi="Garamond" w:cstheme="minorHAnsi"/>
                <w:sz w:val="24"/>
                <w:szCs w:val="24"/>
                <w:lang w:val="en-GB"/>
              </w:rPr>
              <w:t xml:space="preserve"> </w:t>
            </w:r>
            <w:r>
              <w:rPr>
                <w:rFonts w:ascii="Garamond" w:hAnsi="Garamond" w:cstheme="minorHAnsi"/>
                <w:sz w:val="24"/>
                <w:szCs w:val="24"/>
                <w:lang w:val="en-GB"/>
              </w:rPr>
              <w:t>April</w:t>
            </w:r>
            <w:r w:rsidR="003160F9" w:rsidRPr="007550A0">
              <w:rPr>
                <w:rFonts w:ascii="Garamond" w:hAnsi="Garamond" w:cstheme="minorHAnsi"/>
                <w:sz w:val="24"/>
                <w:szCs w:val="24"/>
                <w:lang w:val="en-GB"/>
              </w:rPr>
              <w:t xml:space="preserve"> 2026</w:t>
            </w:r>
          </w:p>
        </w:tc>
        <w:tc>
          <w:tcPr>
            <w:tcW w:w="2262" w:type="dxa"/>
          </w:tcPr>
          <w:p w14:paraId="207FC464" w14:textId="2DD33515" w:rsidR="000E4B78" w:rsidRPr="007550A0" w:rsidRDefault="00CD6CE8" w:rsidP="000E4B78">
            <w:pPr>
              <w:rPr>
                <w:rFonts w:ascii="Garamond" w:hAnsi="Garamond" w:cstheme="minorHAnsi"/>
                <w:sz w:val="24"/>
                <w:szCs w:val="24"/>
                <w:lang w:val="en-GB"/>
              </w:rPr>
            </w:pPr>
            <w:r w:rsidRPr="007550A0">
              <w:rPr>
                <w:rFonts w:ascii="Garamond" w:hAnsi="Garamond" w:cstheme="minorHAnsi"/>
                <w:sz w:val="24"/>
                <w:szCs w:val="24"/>
                <w:lang w:val="en-GB"/>
              </w:rPr>
              <w:t>12AM</w:t>
            </w:r>
          </w:p>
        </w:tc>
      </w:tr>
      <w:tr w:rsidR="007550A0" w:rsidRPr="007550A0" w14:paraId="608C2D2F" w14:textId="77777777" w:rsidTr="000E4B78">
        <w:tc>
          <w:tcPr>
            <w:tcW w:w="4815" w:type="dxa"/>
            <w:shd w:val="clear" w:color="auto" w:fill="D9D9D9" w:themeFill="background1" w:themeFillShade="D9"/>
          </w:tcPr>
          <w:p w14:paraId="27C29EC6" w14:textId="77777777" w:rsidR="000E4B78" w:rsidRPr="007550A0" w:rsidRDefault="000E4B78" w:rsidP="000E4B78">
            <w:pPr>
              <w:pStyle w:val="Listeafsnit"/>
              <w:numPr>
                <w:ilvl w:val="0"/>
                <w:numId w:val="6"/>
              </w:numPr>
              <w:rPr>
                <w:rFonts w:ascii="Garamond" w:hAnsi="Garamond" w:cstheme="minorHAnsi"/>
                <w:sz w:val="24"/>
                <w:szCs w:val="24"/>
                <w:lang w:val="en-GB"/>
              </w:rPr>
            </w:pPr>
            <w:r w:rsidRPr="007550A0">
              <w:rPr>
                <w:rFonts w:ascii="Garamond" w:hAnsi="Garamond" w:cstheme="minorHAnsi"/>
                <w:sz w:val="24"/>
                <w:szCs w:val="24"/>
                <w:lang w:val="en-GB"/>
              </w:rPr>
              <w:t>Signature of grant agreement</w:t>
            </w:r>
          </w:p>
        </w:tc>
        <w:tc>
          <w:tcPr>
            <w:tcW w:w="2551" w:type="dxa"/>
          </w:tcPr>
          <w:p w14:paraId="7051CB2C" w14:textId="600789DC" w:rsidR="000E4B78" w:rsidRPr="007550A0" w:rsidRDefault="003160F9" w:rsidP="000E4B78">
            <w:pPr>
              <w:rPr>
                <w:rFonts w:ascii="Garamond" w:hAnsi="Garamond" w:cstheme="minorHAnsi"/>
                <w:sz w:val="24"/>
                <w:szCs w:val="24"/>
                <w:lang w:val="en-GB"/>
              </w:rPr>
            </w:pPr>
            <w:r w:rsidRPr="007550A0">
              <w:rPr>
                <w:rFonts w:ascii="Garamond" w:hAnsi="Garamond" w:cstheme="minorHAnsi"/>
                <w:sz w:val="24"/>
                <w:szCs w:val="24"/>
                <w:lang w:val="en-GB"/>
              </w:rPr>
              <w:t xml:space="preserve">31 </w:t>
            </w:r>
            <w:r w:rsidR="00CB3C02">
              <w:rPr>
                <w:rFonts w:ascii="Garamond" w:hAnsi="Garamond" w:cstheme="minorHAnsi"/>
                <w:sz w:val="24"/>
                <w:szCs w:val="24"/>
                <w:lang w:val="en-GB"/>
              </w:rPr>
              <w:t>April</w:t>
            </w:r>
            <w:r w:rsidRPr="007550A0">
              <w:rPr>
                <w:rFonts w:ascii="Garamond" w:hAnsi="Garamond" w:cstheme="minorHAnsi"/>
                <w:sz w:val="24"/>
                <w:szCs w:val="24"/>
                <w:lang w:val="en-GB"/>
              </w:rPr>
              <w:t xml:space="preserve"> 2026</w:t>
            </w:r>
            <w:r w:rsidR="00CD6CE8" w:rsidRPr="007550A0">
              <w:rPr>
                <w:rFonts w:ascii="Garamond" w:hAnsi="Garamond" w:cstheme="minorHAnsi"/>
                <w:sz w:val="24"/>
                <w:szCs w:val="24"/>
                <w:lang w:val="en-GB"/>
              </w:rPr>
              <w:t xml:space="preserve"> (tentative)</w:t>
            </w:r>
          </w:p>
        </w:tc>
        <w:tc>
          <w:tcPr>
            <w:tcW w:w="2262" w:type="dxa"/>
          </w:tcPr>
          <w:p w14:paraId="0CEC4E80" w14:textId="0917FA00" w:rsidR="000E4B78" w:rsidRPr="007550A0" w:rsidRDefault="00CD6CE8" w:rsidP="000E4B78">
            <w:pPr>
              <w:rPr>
                <w:rFonts w:ascii="Garamond" w:hAnsi="Garamond" w:cstheme="minorHAnsi"/>
                <w:sz w:val="24"/>
                <w:szCs w:val="24"/>
                <w:lang w:val="en-GB"/>
              </w:rPr>
            </w:pPr>
            <w:r w:rsidRPr="007550A0">
              <w:rPr>
                <w:rFonts w:ascii="Garamond" w:hAnsi="Garamond" w:cstheme="minorHAnsi"/>
                <w:sz w:val="24"/>
                <w:szCs w:val="24"/>
                <w:lang w:val="en-GB"/>
              </w:rPr>
              <w:t>12AM</w:t>
            </w:r>
          </w:p>
        </w:tc>
      </w:tr>
    </w:tbl>
    <w:p w14:paraId="72F34843" w14:textId="77777777" w:rsidR="00C00066" w:rsidRPr="00C00066" w:rsidRDefault="00C00066" w:rsidP="00BF6C6B">
      <w:pPr>
        <w:tabs>
          <w:tab w:val="left" w:pos="4920"/>
        </w:tabs>
        <w:rPr>
          <w:rFonts w:ascii="Garamond" w:hAnsi="Garamond" w:cstheme="minorHAnsi"/>
          <w:sz w:val="24"/>
          <w:szCs w:val="24"/>
          <w:lang w:val="en-GB"/>
        </w:rPr>
      </w:pPr>
    </w:p>
    <w:sectPr w:rsidR="00C00066" w:rsidRPr="00C00066">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CED" w14:textId="77777777" w:rsidR="009D713C" w:rsidRDefault="009D713C" w:rsidP="006254F7">
      <w:pPr>
        <w:spacing w:after="0" w:line="240" w:lineRule="auto"/>
      </w:pPr>
      <w:r>
        <w:separator/>
      </w:r>
    </w:p>
  </w:endnote>
  <w:endnote w:type="continuationSeparator" w:id="0">
    <w:p w14:paraId="19359220" w14:textId="77777777" w:rsidR="009D713C" w:rsidRDefault="009D713C" w:rsidP="0062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0C" w14:textId="07311A72" w:rsidR="00387B54" w:rsidRPr="00740DA0" w:rsidRDefault="00740DA0" w:rsidP="00740DA0">
    <w:pPr>
      <w:pStyle w:val="Sidefod"/>
      <w:tabs>
        <w:tab w:val="left" w:pos="5447"/>
      </w:tabs>
      <w:rPr>
        <w:rFonts w:ascii="Garamond" w:hAnsi="Garamond"/>
        <w:sz w:val="24"/>
        <w:szCs w:val="24"/>
      </w:rPr>
    </w:pPr>
    <w:r>
      <w:rPr>
        <w:rFonts w:ascii="Garamond" w:hAnsi="Garamond"/>
        <w:sz w:val="24"/>
        <w:szCs w:val="24"/>
      </w:rPr>
      <w:tab/>
    </w:r>
    <w:sdt>
      <w:sdtPr>
        <w:rPr>
          <w:rFonts w:ascii="Garamond" w:hAnsi="Garamond"/>
          <w:sz w:val="24"/>
          <w:szCs w:val="24"/>
        </w:rPr>
        <w:id w:val="-1334367530"/>
        <w:docPartObj>
          <w:docPartGallery w:val="Page Numbers (Bottom of Page)"/>
          <w:docPartUnique/>
        </w:docPartObj>
      </w:sdtPr>
      <w:sdtEndPr>
        <w:rPr>
          <w:sz w:val="20"/>
          <w:szCs w:val="20"/>
        </w:rPr>
      </w:sdtEndPr>
      <w:sdtContent>
        <w:r w:rsidR="00387B54" w:rsidRPr="00740DA0">
          <w:rPr>
            <w:rFonts w:ascii="Garamond" w:hAnsi="Garamond"/>
          </w:rPr>
          <w:fldChar w:fldCharType="begin"/>
        </w:r>
        <w:r w:rsidR="00387B54" w:rsidRPr="00740DA0">
          <w:rPr>
            <w:rFonts w:ascii="Garamond" w:hAnsi="Garamond"/>
          </w:rPr>
          <w:instrText>PAGE   \* MERGEFORMAT</w:instrText>
        </w:r>
        <w:r w:rsidR="00387B54" w:rsidRPr="00740DA0">
          <w:rPr>
            <w:rFonts w:ascii="Garamond" w:hAnsi="Garamond"/>
          </w:rPr>
          <w:fldChar w:fldCharType="separate"/>
        </w:r>
        <w:r w:rsidR="00C2494F" w:rsidRPr="00740DA0">
          <w:rPr>
            <w:rFonts w:ascii="Garamond" w:hAnsi="Garamond"/>
            <w:noProof/>
          </w:rPr>
          <w:t>28</w:t>
        </w:r>
        <w:r w:rsidR="00387B54" w:rsidRPr="00740DA0">
          <w:rPr>
            <w:rFonts w:ascii="Garamond" w:hAnsi="Garamon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604D" w14:textId="77777777" w:rsidR="009D713C" w:rsidRDefault="009D713C" w:rsidP="006254F7">
      <w:pPr>
        <w:spacing w:after="0" w:line="240" w:lineRule="auto"/>
      </w:pPr>
      <w:r>
        <w:separator/>
      </w:r>
    </w:p>
  </w:footnote>
  <w:footnote w:type="continuationSeparator" w:id="0">
    <w:p w14:paraId="1944D292" w14:textId="77777777" w:rsidR="009D713C" w:rsidRDefault="009D713C" w:rsidP="006254F7">
      <w:pPr>
        <w:spacing w:after="0" w:line="240" w:lineRule="auto"/>
      </w:pPr>
      <w:r>
        <w:continuationSeparator/>
      </w:r>
    </w:p>
  </w:footnote>
  <w:footnote w:id="1">
    <w:p w14:paraId="41DE6500" w14:textId="0ACC77A9" w:rsidR="00387B54" w:rsidRPr="009D77A1" w:rsidRDefault="00387B54" w:rsidP="000E4B78">
      <w:pPr>
        <w:pStyle w:val="Fodnotetekst"/>
        <w:rPr>
          <w:rFonts w:ascii="Garamond" w:hAnsi="Garamond"/>
          <w:lang w:val="en-US"/>
        </w:rPr>
      </w:pPr>
      <w:r w:rsidRPr="009D77A1">
        <w:rPr>
          <w:rStyle w:val="Fodnotehenvisning"/>
          <w:rFonts w:ascii="Garamond" w:hAnsi="Garamond"/>
        </w:rPr>
        <w:footnoteRef/>
      </w:r>
      <w:r w:rsidRPr="009D77A1">
        <w:rPr>
          <w:rFonts w:ascii="Garamond" w:hAnsi="Garamond" w:cstheme="minorHAnsi"/>
          <w:lang w:val="en-US"/>
        </w:rPr>
        <w:t xml:space="preserve"> </w:t>
      </w:r>
      <w:hyperlink r:id="rId1" w:history="1">
        <w:r w:rsidR="009D77A1" w:rsidRPr="009D77A1">
          <w:rPr>
            <w:rStyle w:val="Hyperlink"/>
            <w:rFonts w:ascii="Garamond" w:hAnsi="Garamond" w:cstheme="minorHAnsi"/>
            <w:lang w:val="en-US"/>
          </w:rPr>
          <w:t>https://amg.um.dk/bilateral-cooperation/financial-management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3D3" w14:textId="22B11743" w:rsidR="00387B54" w:rsidRPr="009A12DA" w:rsidRDefault="00387B54" w:rsidP="00BF6C6B">
    <w:pPr>
      <w:tabs>
        <w:tab w:val="center" w:pos="4819"/>
        <w:tab w:val="right" w:pos="9638"/>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B3421"/>
    <w:multiLevelType w:val="hybridMultilevel"/>
    <w:tmpl w:val="18C210B8"/>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08184F"/>
    <w:multiLevelType w:val="hybridMultilevel"/>
    <w:tmpl w:val="FA948682"/>
    <w:lvl w:ilvl="0" w:tplc="43EAC56C">
      <w:numFmt w:val="bullet"/>
      <w:lvlText w:val="•"/>
      <w:lvlJc w:val="left"/>
      <w:pPr>
        <w:ind w:left="756" w:hanging="396"/>
      </w:pPr>
      <w:rPr>
        <w:rFonts w:ascii="Verdana" w:eastAsia="Calibri" w:hAnsi="Verdan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25FF6BF9"/>
    <w:multiLevelType w:val="hybridMultilevel"/>
    <w:tmpl w:val="1E32A9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7C3283A"/>
    <w:multiLevelType w:val="hybridMultilevel"/>
    <w:tmpl w:val="B7A60648"/>
    <w:lvl w:ilvl="0" w:tplc="4FBC516C">
      <w:start w:val="3"/>
      <w:numFmt w:val="decimal"/>
      <w:lvlText w:val="%1."/>
      <w:lvlJc w:val="left"/>
      <w:pPr>
        <w:ind w:left="720" w:hanging="360"/>
      </w:pPr>
      <w:rPr>
        <w:rFonts w:ascii="Diplomacy Office Bold" w:hAnsi="Diplomacy Office Bold"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E8908CF"/>
    <w:multiLevelType w:val="hybridMultilevel"/>
    <w:tmpl w:val="8BB087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1E9710D"/>
    <w:multiLevelType w:val="hybridMultilevel"/>
    <w:tmpl w:val="C574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300086C"/>
    <w:multiLevelType w:val="hybridMultilevel"/>
    <w:tmpl w:val="491E843A"/>
    <w:lvl w:ilvl="0" w:tplc="040C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5BAA604D"/>
    <w:multiLevelType w:val="hybridMultilevel"/>
    <w:tmpl w:val="41F0F6AE"/>
    <w:lvl w:ilvl="0" w:tplc="43EAC56C">
      <w:numFmt w:val="bullet"/>
      <w:lvlText w:val="•"/>
      <w:lvlJc w:val="left"/>
      <w:pPr>
        <w:ind w:left="756" w:hanging="396"/>
      </w:pPr>
      <w:rPr>
        <w:rFonts w:ascii="Verdana" w:eastAsia="Calibri" w:hAnsi="Verdan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64C228AB"/>
    <w:multiLevelType w:val="hybridMultilevel"/>
    <w:tmpl w:val="A6F22A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687C38D1"/>
    <w:multiLevelType w:val="hybridMultilevel"/>
    <w:tmpl w:val="C06EB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A1730D2"/>
    <w:multiLevelType w:val="hybridMultilevel"/>
    <w:tmpl w:val="347E3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8715516"/>
    <w:multiLevelType w:val="hybridMultilevel"/>
    <w:tmpl w:val="CE647D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87F6F28"/>
    <w:multiLevelType w:val="hybridMultilevel"/>
    <w:tmpl w:val="894CB33C"/>
    <w:lvl w:ilvl="0" w:tplc="826846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7E82261E"/>
    <w:multiLevelType w:val="hybridMultilevel"/>
    <w:tmpl w:val="C3ECE3F6"/>
    <w:lvl w:ilvl="0" w:tplc="E48669A8">
      <w:start w:val="7"/>
      <w:numFmt w:val="bullet"/>
      <w:lvlText w:val="-"/>
      <w:lvlJc w:val="left"/>
      <w:pPr>
        <w:ind w:left="360" w:hanging="360"/>
      </w:pPr>
      <w:rPr>
        <w:rFonts w:ascii="Verdana" w:eastAsiaTheme="minorHAnsi" w:hAnsi="Verdana"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32"/>
  </w:num>
  <w:num w:numId="2">
    <w:abstractNumId w:val="31"/>
  </w:num>
  <w:num w:numId="3">
    <w:abstractNumId w:val="30"/>
  </w:num>
  <w:num w:numId="4">
    <w:abstractNumId w:val="28"/>
  </w:num>
  <w:num w:numId="5">
    <w:abstractNumId w:val="1"/>
  </w:num>
  <w:num w:numId="6">
    <w:abstractNumId w:val="11"/>
  </w:num>
  <w:num w:numId="7">
    <w:abstractNumId w:val="14"/>
  </w:num>
  <w:num w:numId="8">
    <w:abstractNumId w:val="8"/>
  </w:num>
  <w:num w:numId="9">
    <w:abstractNumId w:val="23"/>
  </w:num>
  <w:num w:numId="10">
    <w:abstractNumId w:val="9"/>
  </w:num>
  <w:num w:numId="11">
    <w:abstractNumId w:val="25"/>
  </w:num>
  <w:num w:numId="12">
    <w:abstractNumId w:val="10"/>
  </w:num>
  <w:num w:numId="13">
    <w:abstractNumId w:val="17"/>
  </w:num>
  <w:num w:numId="14">
    <w:abstractNumId w:val="24"/>
  </w:num>
  <w:num w:numId="15">
    <w:abstractNumId w:val="15"/>
  </w:num>
  <w:num w:numId="16">
    <w:abstractNumId w:val="27"/>
  </w:num>
  <w:num w:numId="17">
    <w:abstractNumId w:val="5"/>
  </w:num>
  <w:num w:numId="18">
    <w:abstractNumId w:val="0"/>
  </w:num>
  <w:num w:numId="19">
    <w:abstractNumId w:val="4"/>
  </w:num>
  <w:num w:numId="20">
    <w:abstractNumId w:val="16"/>
  </w:num>
  <w:num w:numId="21">
    <w:abstractNumId w:val="26"/>
  </w:num>
  <w:num w:numId="22">
    <w:abstractNumId w:val="12"/>
  </w:num>
  <w:num w:numId="23">
    <w:abstractNumId w:val="3"/>
  </w:num>
  <w:num w:numId="24">
    <w:abstractNumId w:val="20"/>
  </w:num>
  <w:num w:numId="25">
    <w:abstractNumId w:val="19"/>
  </w:num>
  <w:num w:numId="26">
    <w:abstractNumId w:val="22"/>
  </w:num>
  <w:num w:numId="27">
    <w:abstractNumId w:val="2"/>
  </w:num>
  <w:num w:numId="28">
    <w:abstractNumId w:val="13"/>
  </w:num>
  <w:num w:numId="29">
    <w:abstractNumId w:val="21"/>
  </w:num>
  <w:num w:numId="30">
    <w:abstractNumId w:val="29"/>
  </w:num>
  <w:num w:numId="31">
    <w:abstractNumId w:val="6"/>
  </w:num>
  <w:num w:numId="32">
    <w:abstractNumId w:val="18"/>
  </w:num>
  <w:num w:numId="33">
    <w:abstractNumId w:val="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2"/>
    <w:rsid w:val="00017FE1"/>
    <w:rsid w:val="000233E8"/>
    <w:rsid w:val="00044787"/>
    <w:rsid w:val="00050E36"/>
    <w:rsid w:val="00070F3B"/>
    <w:rsid w:val="00084627"/>
    <w:rsid w:val="000A4923"/>
    <w:rsid w:val="000E4B78"/>
    <w:rsid w:val="000E4F91"/>
    <w:rsid w:val="000E6112"/>
    <w:rsid w:val="001044C1"/>
    <w:rsid w:val="001146CD"/>
    <w:rsid w:val="00121CE3"/>
    <w:rsid w:val="001754CD"/>
    <w:rsid w:val="001941C3"/>
    <w:rsid w:val="001B200E"/>
    <w:rsid w:val="001D5197"/>
    <w:rsid w:val="001E7BA5"/>
    <w:rsid w:val="001F4F79"/>
    <w:rsid w:val="00202E98"/>
    <w:rsid w:val="00214323"/>
    <w:rsid w:val="00222518"/>
    <w:rsid w:val="00223917"/>
    <w:rsid w:val="00245BDD"/>
    <w:rsid w:val="002476E7"/>
    <w:rsid w:val="00254424"/>
    <w:rsid w:val="00260448"/>
    <w:rsid w:val="00280791"/>
    <w:rsid w:val="00283B31"/>
    <w:rsid w:val="00287765"/>
    <w:rsid w:val="002A62CE"/>
    <w:rsid w:val="002B4BDD"/>
    <w:rsid w:val="002D0C5B"/>
    <w:rsid w:val="002E34ED"/>
    <w:rsid w:val="002E47BA"/>
    <w:rsid w:val="002E4C06"/>
    <w:rsid w:val="002F1B0A"/>
    <w:rsid w:val="002F5E39"/>
    <w:rsid w:val="00311D72"/>
    <w:rsid w:val="003160F9"/>
    <w:rsid w:val="003500E9"/>
    <w:rsid w:val="00364130"/>
    <w:rsid w:val="00371000"/>
    <w:rsid w:val="00387B54"/>
    <w:rsid w:val="00393686"/>
    <w:rsid w:val="00394064"/>
    <w:rsid w:val="003979A8"/>
    <w:rsid w:val="003D7CF9"/>
    <w:rsid w:val="003E5FAA"/>
    <w:rsid w:val="003E6B76"/>
    <w:rsid w:val="00401BE7"/>
    <w:rsid w:val="004023AE"/>
    <w:rsid w:val="004026A3"/>
    <w:rsid w:val="00404B7A"/>
    <w:rsid w:val="0040705B"/>
    <w:rsid w:val="00435178"/>
    <w:rsid w:val="00446B0B"/>
    <w:rsid w:val="00460F93"/>
    <w:rsid w:val="0047337D"/>
    <w:rsid w:val="00481CBE"/>
    <w:rsid w:val="004862DF"/>
    <w:rsid w:val="004B7B3D"/>
    <w:rsid w:val="004D56FF"/>
    <w:rsid w:val="004E049E"/>
    <w:rsid w:val="004E2986"/>
    <w:rsid w:val="005163F3"/>
    <w:rsid w:val="00516E9E"/>
    <w:rsid w:val="00517BCE"/>
    <w:rsid w:val="00527FEB"/>
    <w:rsid w:val="00547F70"/>
    <w:rsid w:val="0055480A"/>
    <w:rsid w:val="005611AA"/>
    <w:rsid w:val="005631E1"/>
    <w:rsid w:val="005A04E3"/>
    <w:rsid w:val="005B6FF2"/>
    <w:rsid w:val="005C048B"/>
    <w:rsid w:val="005F1D6D"/>
    <w:rsid w:val="00611D99"/>
    <w:rsid w:val="006254F7"/>
    <w:rsid w:val="00633DF0"/>
    <w:rsid w:val="00667843"/>
    <w:rsid w:val="006678B8"/>
    <w:rsid w:val="00670028"/>
    <w:rsid w:val="006F3FC4"/>
    <w:rsid w:val="007000AD"/>
    <w:rsid w:val="00703FD5"/>
    <w:rsid w:val="00706BA0"/>
    <w:rsid w:val="00734A8D"/>
    <w:rsid w:val="00736937"/>
    <w:rsid w:val="007371EE"/>
    <w:rsid w:val="00737AAA"/>
    <w:rsid w:val="00740DA0"/>
    <w:rsid w:val="00742629"/>
    <w:rsid w:val="007550A0"/>
    <w:rsid w:val="00760A23"/>
    <w:rsid w:val="00760FD0"/>
    <w:rsid w:val="00761621"/>
    <w:rsid w:val="00765A43"/>
    <w:rsid w:val="0077599A"/>
    <w:rsid w:val="00785648"/>
    <w:rsid w:val="007A439C"/>
    <w:rsid w:val="007C46DA"/>
    <w:rsid w:val="007D2987"/>
    <w:rsid w:val="007D6D48"/>
    <w:rsid w:val="007E2B22"/>
    <w:rsid w:val="007F250D"/>
    <w:rsid w:val="00804871"/>
    <w:rsid w:val="008104B7"/>
    <w:rsid w:val="00812BDF"/>
    <w:rsid w:val="00826DED"/>
    <w:rsid w:val="00843DD4"/>
    <w:rsid w:val="00844467"/>
    <w:rsid w:val="00851764"/>
    <w:rsid w:val="008639DB"/>
    <w:rsid w:val="00865C3C"/>
    <w:rsid w:val="008B66C7"/>
    <w:rsid w:val="008C6536"/>
    <w:rsid w:val="008E3AB1"/>
    <w:rsid w:val="00902E4A"/>
    <w:rsid w:val="00911F8E"/>
    <w:rsid w:val="00922ECD"/>
    <w:rsid w:val="00946B2B"/>
    <w:rsid w:val="0095619E"/>
    <w:rsid w:val="009609B7"/>
    <w:rsid w:val="009854F8"/>
    <w:rsid w:val="0098596C"/>
    <w:rsid w:val="00986206"/>
    <w:rsid w:val="00994741"/>
    <w:rsid w:val="00997EB6"/>
    <w:rsid w:val="009A2F43"/>
    <w:rsid w:val="009A687B"/>
    <w:rsid w:val="009B0360"/>
    <w:rsid w:val="009B1A1F"/>
    <w:rsid w:val="009B36AF"/>
    <w:rsid w:val="009C11B4"/>
    <w:rsid w:val="009D2BBE"/>
    <w:rsid w:val="009D713C"/>
    <w:rsid w:val="009D74F8"/>
    <w:rsid w:val="009D77A1"/>
    <w:rsid w:val="009F0CED"/>
    <w:rsid w:val="009F5A4F"/>
    <w:rsid w:val="00A01166"/>
    <w:rsid w:val="00A0214B"/>
    <w:rsid w:val="00A15B64"/>
    <w:rsid w:val="00A215BF"/>
    <w:rsid w:val="00A248AB"/>
    <w:rsid w:val="00A30075"/>
    <w:rsid w:val="00A429DD"/>
    <w:rsid w:val="00A46CFF"/>
    <w:rsid w:val="00A6724C"/>
    <w:rsid w:val="00A67D6E"/>
    <w:rsid w:val="00A76863"/>
    <w:rsid w:val="00A90A44"/>
    <w:rsid w:val="00A9625A"/>
    <w:rsid w:val="00A96E91"/>
    <w:rsid w:val="00AC5264"/>
    <w:rsid w:val="00AE023A"/>
    <w:rsid w:val="00B17D22"/>
    <w:rsid w:val="00B270E4"/>
    <w:rsid w:val="00B43991"/>
    <w:rsid w:val="00B47910"/>
    <w:rsid w:val="00BA1035"/>
    <w:rsid w:val="00BB1B78"/>
    <w:rsid w:val="00BB69CD"/>
    <w:rsid w:val="00BF6C6B"/>
    <w:rsid w:val="00C00066"/>
    <w:rsid w:val="00C02F66"/>
    <w:rsid w:val="00C07647"/>
    <w:rsid w:val="00C14D2B"/>
    <w:rsid w:val="00C17BFF"/>
    <w:rsid w:val="00C2494F"/>
    <w:rsid w:val="00C25601"/>
    <w:rsid w:val="00C30F76"/>
    <w:rsid w:val="00C91316"/>
    <w:rsid w:val="00C94F8D"/>
    <w:rsid w:val="00CB3C02"/>
    <w:rsid w:val="00CB48C1"/>
    <w:rsid w:val="00CB7217"/>
    <w:rsid w:val="00CD18F8"/>
    <w:rsid w:val="00CD4902"/>
    <w:rsid w:val="00CD6CE8"/>
    <w:rsid w:val="00CD6E5C"/>
    <w:rsid w:val="00CE5528"/>
    <w:rsid w:val="00D00955"/>
    <w:rsid w:val="00D048D5"/>
    <w:rsid w:val="00D32C42"/>
    <w:rsid w:val="00D33822"/>
    <w:rsid w:val="00D359FE"/>
    <w:rsid w:val="00D5111E"/>
    <w:rsid w:val="00D56003"/>
    <w:rsid w:val="00D5708F"/>
    <w:rsid w:val="00D61A50"/>
    <w:rsid w:val="00D75293"/>
    <w:rsid w:val="00D83152"/>
    <w:rsid w:val="00D83EF6"/>
    <w:rsid w:val="00D907D8"/>
    <w:rsid w:val="00DC2AE4"/>
    <w:rsid w:val="00DD1A7D"/>
    <w:rsid w:val="00DD3D19"/>
    <w:rsid w:val="00DE0CAF"/>
    <w:rsid w:val="00DE5F0E"/>
    <w:rsid w:val="00E10791"/>
    <w:rsid w:val="00E2614F"/>
    <w:rsid w:val="00E36D45"/>
    <w:rsid w:val="00E47143"/>
    <w:rsid w:val="00E5715F"/>
    <w:rsid w:val="00E710B8"/>
    <w:rsid w:val="00E72535"/>
    <w:rsid w:val="00EA0D84"/>
    <w:rsid w:val="00EB2CDC"/>
    <w:rsid w:val="00EE05BE"/>
    <w:rsid w:val="00EE5DCA"/>
    <w:rsid w:val="00EF2375"/>
    <w:rsid w:val="00F12A6B"/>
    <w:rsid w:val="00F30C65"/>
    <w:rsid w:val="00F44F66"/>
    <w:rsid w:val="00F5067D"/>
    <w:rsid w:val="00F5380D"/>
    <w:rsid w:val="00F61A4F"/>
    <w:rsid w:val="00F92479"/>
    <w:rsid w:val="00FA0572"/>
    <w:rsid w:val="00FA2673"/>
    <w:rsid w:val="00FC5644"/>
    <w:rsid w:val="00FD335C"/>
    <w:rsid w:val="00FD346A"/>
    <w:rsid w:val="00FD7B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16B0618"/>
  <w15:chartTrackingRefBased/>
  <w15:docId w15:val="{A64A37C2-7CC1-4C2C-A64C-6134390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02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5715F"/>
    <w:pPr>
      <w:spacing w:after="10"/>
      <w:jc w:val="center"/>
      <w:outlineLvl w:val="1"/>
    </w:pPr>
    <w:rPr>
      <w:rFonts w:ascii="Garamond" w:hAnsi="Garamond"/>
      <w:b/>
      <w:sz w:val="32"/>
      <w:szCs w:val="32"/>
      <w:lang w:val="en-GB"/>
    </w:rPr>
  </w:style>
  <w:style w:type="paragraph" w:styleId="Overskrift3">
    <w:name w:val="heading 3"/>
    <w:basedOn w:val="Normal"/>
    <w:next w:val="Normal"/>
    <w:link w:val="Overskrift3Tegn"/>
    <w:uiPriority w:val="9"/>
    <w:unhideWhenUsed/>
    <w:qFormat/>
    <w:rsid w:val="00D83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9">
    <w:name w:val="heading 9"/>
    <w:basedOn w:val="Normal"/>
    <w:next w:val="Normal"/>
    <w:link w:val="Overskrift9Tegn"/>
    <w:qFormat/>
    <w:rsid w:val="000E4B78"/>
    <w:pPr>
      <w:keepNext/>
      <w:spacing w:after="0" w:line="240" w:lineRule="auto"/>
      <w:outlineLvl w:val="8"/>
    </w:pPr>
    <w:rPr>
      <w:rFonts w:ascii="Arial" w:eastAsia="Times New Roman" w:hAnsi="Arial" w:cs="Arial"/>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7E2B22"/>
    <w:pPr>
      <w:ind w:left="720"/>
      <w:contextualSpacing/>
    </w:pPr>
  </w:style>
  <w:style w:type="table" w:styleId="Tabel-Gitter">
    <w:name w:val="Table Grid"/>
    <w:basedOn w:val="Tabel-Normal"/>
    <w:uiPriority w:val="59"/>
    <w:rsid w:val="00D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254F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254F7"/>
  </w:style>
  <w:style w:type="paragraph" w:styleId="Sidefod">
    <w:name w:val="footer"/>
    <w:basedOn w:val="Normal"/>
    <w:link w:val="SidefodTegn"/>
    <w:uiPriority w:val="99"/>
    <w:unhideWhenUsed/>
    <w:rsid w:val="006254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54F7"/>
  </w:style>
  <w:style w:type="paragraph" w:styleId="Fodnotetekst">
    <w:name w:val="footnote text"/>
    <w:basedOn w:val="Normal"/>
    <w:link w:val="FodnotetekstTegn"/>
    <w:semiHidden/>
    <w:unhideWhenUsed/>
    <w:rsid w:val="000E4B78"/>
    <w:pPr>
      <w:spacing w:after="0" w:line="240" w:lineRule="auto"/>
    </w:pPr>
  </w:style>
  <w:style w:type="character" w:customStyle="1" w:styleId="FodnotetekstTegn">
    <w:name w:val="Fodnotetekst Tegn"/>
    <w:basedOn w:val="Standardskrifttypeiafsnit"/>
    <w:link w:val="Fodnotetekst"/>
    <w:semiHidden/>
    <w:rsid w:val="000E4B78"/>
  </w:style>
  <w:style w:type="character" w:styleId="Fodnotehenvisning">
    <w:name w:val="footnote reference"/>
    <w:basedOn w:val="Standardskrifttypeiafsnit"/>
    <w:uiPriority w:val="99"/>
    <w:semiHidden/>
    <w:unhideWhenUsed/>
    <w:rsid w:val="000E4B78"/>
    <w:rPr>
      <w:vertAlign w:val="superscript"/>
    </w:rPr>
  </w:style>
  <w:style w:type="character" w:customStyle="1" w:styleId="Overskrift9Tegn">
    <w:name w:val="Overskrift 9 Tegn"/>
    <w:basedOn w:val="Standardskrifttypeiafsnit"/>
    <w:link w:val="Overskrift9"/>
    <w:rsid w:val="000E4B78"/>
    <w:rPr>
      <w:rFonts w:ascii="Arial" w:eastAsia="Times New Roman" w:hAnsi="Arial" w:cs="Arial"/>
      <w:b/>
      <w:bCs/>
      <w:lang w:eastAsia="da-DK"/>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0E4B78"/>
  </w:style>
  <w:style w:type="paragraph" w:styleId="Brdtekst2">
    <w:name w:val="Body Text 2"/>
    <w:basedOn w:val="Normal"/>
    <w:link w:val="Brdtekst2Tegn"/>
    <w:semiHidden/>
    <w:rsid w:val="000E4B78"/>
    <w:pPr>
      <w:spacing w:after="0" w:line="240" w:lineRule="auto"/>
    </w:pPr>
    <w:rPr>
      <w:rFonts w:ascii="Arial" w:eastAsia="Times New Roman" w:hAnsi="Arial" w:cs="Arial"/>
      <w:lang w:eastAsia="da-DK"/>
    </w:rPr>
  </w:style>
  <w:style w:type="character" w:customStyle="1" w:styleId="Brdtekst2Tegn">
    <w:name w:val="Brødtekst 2 Tegn"/>
    <w:basedOn w:val="Standardskrifttypeiafsnit"/>
    <w:link w:val="Brdtekst2"/>
    <w:semiHidden/>
    <w:rsid w:val="000E4B78"/>
    <w:rPr>
      <w:rFonts w:ascii="Arial" w:eastAsia="Times New Roman" w:hAnsi="Arial" w:cs="Arial"/>
      <w:lang w:eastAsia="da-DK"/>
    </w:rPr>
  </w:style>
  <w:style w:type="table" w:customStyle="1" w:styleId="Tabel-Gitter2">
    <w:name w:val="Tabel - Gitter2"/>
    <w:basedOn w:val="Tabel-Normal"/>
    <w:uiPriority w:val="59"/>
    <w:rsid w:val="000E4B7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E4B78"/>
    <w:rPr>
      <w:color w:val="0000FF" w:themeColor="hyperlink"/>
      <w:u w:val="single"/>
    </w:rPr>
  </w:style>
  <w:style w:type="paragraph" w:styleId="Ingenafstand">
    <w:name w:val="No Spacing"/>
    <w:uiPriority w:val="1"/>
    <w:qFormat/>
    <w:rsid w:val="00BB69CD"/>
    <w:pPr>
      <w:spacing w:after="0" w:line="240" w:lineRule="auto"/>
    </w:pPr>
  </w:style>
  <w:style w:type="paragraph" w:customStyle="1" w:styleId="Default">
    <w:name w:val="Default"/>
    <w:rsid w:val="00BB69CD"/>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706BA0"/>
    <w:rPr>
      <w:sz w:val="16"/>
      <w:szCs w:val="16"/>
    </w:rPr>
  </w:style>
  <w:style w:type="paragraph" w:styleId="Kommentartekst">
    <w:name w:val="annotation text"/>
    <w:basedOn w:val="Normal"/>
    <w:link w:val="KommentartekstTegn"/>
    <w:uiPriority w:val="99"/>
    <w:semiHidden/>
    <w:unhideWhenUsed/>
    <w:rsid w:val="00706BA0"/>
    <w:pPr>
      <w:spacing w:line="240" w:lineRule="auto"/>
    </w:pPr>
  </w:style>
  <w:style w:type="character" w:customStyle="1" w:styleId="KommentartekstTegn">
    <w:name w:val="Kommentartekst Tegn"/>
    <w:basedOn w:val="Standardskrifttypeiafsnit"/>
    <w:link w:val="Kommentartekst"/>
    <w:uiPriority w:val="99"/>
    <w:semiHidden/>
    <w:rsid w:val="00706BA0"/>
  </w:style>
  <w:style w:type="paragraph" w:styleId="Kommentaremne">
    <w:name w:val="annotation subject"/>
    <w:basedOn w:val="Kommentartekst"/>
    <w:next w:val="Kommentartekst"/>
    <w:link w:val="KommentaremneTegn"/>
    <w:uiPriority w:val="99"/>
    <w:semiHidden/>
    <w:unhideWhenUsed/>
    <w:rsid w:val="00706BA0"/>
    <w:rPr>
      <w:b/>
      <w:bCs/>
    </w:rPr>
  </w:style>
  <w:style w:type="character" w:customStyle="1" w:styleId="KommentaremneTegn">
    <w:name w:val="Kommentaremne Tegn"/>
    <w:basedOn w:val="KommentartekstTegn"/>
    <w:link w:val="Kommentaremne"/>
    <w:uiPriority w:val="99"/>
    <w:semiHidden/>
    <w:rsid w:val="00706BA0"/>
    <w:rPr>
      <w:b/>
      <w:bCs/>
    </w:rPr>
  </w:style>
  <w:style w:type="character" w:customStyle="1" w:styleId="Overskrift1Tegn">
    <w:name w:val="Overskrift 1 Tegn"/>
    <w:basedOn w:val="Standardskrifttypeiafsnit"/>
    <w:link w:val="Overskrift1"/>
    <w:uiPriority w:val="9"/>
    <w:rsid w:val="00C02F66"/>
    <w:rPr>
      <w:rFonts w:asciiTheme="majorHAnsi" w:eastAsiaTheme="majorEastAsia" w:hAnsiTheme="majorHAnsi" w:cstheme="majorBidi"/>
      <w:color w:val="365F91" w:themeColor="accent1" w:themeShade="BF"/>
      <w:sz w:val="32"/>
      <w:szCs w:val="32"/>
    </w:rPr>
  </w:style>
  <w:style w:type="character" w:styleId="Ulstomtale">
    <w:name w:val="Unresolved Mention"/>
    <w:basedOn w:val="Standardskrifttypeiafsnit"/>
    <w:uiPriority w:val="99"/>
    <w:semiHidden/>
    <w:unhideWhenUsed/>
    <w:rsid w:val="00E47143"/>
    <w:rPr>
      <w:color w:val="605E5C"/>
      <w:shd w:val="clear" w:color="auto" w:fill="E1DFDD"/>
    </w:rPr>
  </w:style>
  <w:style w:type="character" w:customStyle="1" w:styleId="Overskrift2Tegn">
    <w:name w:val="Overskrift 2 Tegn"/>
    <w:basedOn w:val="Standardskrifttypeiafsnit"/>
    <w:link w:val="Overskrift2"/>
    <w:uiPriority w:val="9"/>
    <w:rsid w:val="00E5715F"/>
    <w:rPr>
      <w:rFonts w:ascii="Garamond" w:hAnsi="Garamond"/>
      <w:b/>
      <w:sz w:val="32"/>
      <w:szCs w:val="32"/>
      <w:lang w:val="en-GB"/>
    </w:rPr>
  </w:style>
  <w:style w:type="character" w:customStyle="1" w:styleId="Overskrift3Tegn">
    <w:name w:val="Overskrift 3 Tegn"/>
    <w:basedOn w:val="Standardskrifttypeiafsnit"/>
    <w:link w:val="Overskrift3"/>
    <w:uiPriority w:val="9"/>
    <w:rsid w:val="00D83EF6"/>
    <w:rPr>
      <w:rFonts w:asciiTheme="majorHAnsi" w:eastAsiaTheme="majorEastAsia" w:hAnsiTheme="majorHAnsi" w:cstheme="majorBidi"/>
      <w:color w:val="243F60" w:themeColor="accent1" w:themeShade="7F"/>
      <w:sz w:val="24"/>
      <w:szCs w:val="24"/>
    </w:rPr>
  </w:style>
  <w:style w:type="character" w:styleId="BesgtLink">
    <w:name w:val="FollowedHyperlink"/>
    <w:basedOn w:val="Standardskrifttypeiafsnit"/>
    <w:uiPriority w:val="99"/>
    <w:semiHidden/>
    <w:unhideWhenUsed/>
    <w:rsid w:val="00812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5974">
      <w:bodyDiv w:val="1"/>
      <w:marLeft w:val="0"/>
      <w:marRight w:val="0"/>
      <w:marTop w:val="0"/>
      <w:marBottom w:val="0"/>
      <w:divBdr>
        <w:top w:val="none" w:sz="0" w:space="0" w:color="auto"/>
        <w:left w:val="none" w:sz="0" w:space="0" w:color="auto"/>
        <w:bottom w:val="none" w:sz="0" w:space="0" w:color="auto"/>
        <w:right w:val="none" w:sz="0" w:space="0" w:color="auto"/>
      </w:divBdr>
    </w:div>
    <w:div w:id="45880456">
      <w:bodyDiv w:val="1"/>
      <w:marLeft w:val="0"/>
      <w:marRight w:val="0"/>
      <w:marTop w:val="0"/>
      <w:marBottom w:val="0"/>
      <w:divBdr>
        <w:top w:val="none" w:sz="0" w:space="0" w:color="auto"/>
        <w:left w:val="none" w:sz="0" w:space="0" w:color="auto"/>
        <w:bottom w:val="none" w:sz="0" w:space="0" w:color="auto"/>
        <w:right w:val="none" w:sz="0" w:space="0" w:color="auto"/>
      </w:divBdr>
    </w:div>
    <w:div w:id="268902269">
      <w:bodyDiv w:val="1"/>
      <w:marLeft w:val="0"/>
      <w:marRight w:val="0"/>
      <w:marTop w:val="0"/>
      <w:marBottom w:val="0"/>
      <w:divBdr>
        <w:top w:val="none" w:sz="0" w:space="0" w:color="auto"/>
        <w:left w:val="none" w:sz="0" w:space="0" w:color="auto"/>
        <w:bottom w:val="none" w:sz="0" w:space="0" w:color="auto"/>
        <w:right w:val="none" w:sz="0" w:space="0" w:color="auto"/>
      </w:divBdr>
    </w:div>
    <w:div w:id="381906782">
      <w:bodyDiv w:val="1"/>
      <w:marLeft w:val="0"/>
      <w:marRight w:val="0"/>
      <w:marTop w:val="0"/>
      <w:marBottom w:val="0"/>
      <w:divBdr>
        <w:top w:val="none" w:sz="0" w:space="0" w:color="auto"/>
        <w:left w:val="none" w:sz="0" w:space="0" w:color="auto"/>
        <w:bottom w:val="none" w:sz="0" w:space="0" w:color="auto"/>
        <w:right w:val="none" w:sz="0" w:space="0" w:color="auto"/>
      </w:divBdr>
    </w:div>
    <w:div w:id="569653788">
      <w:bodyDiv w:val="1"/>
      <w:marLeft w:val="0"/>
      <w:marRight w:val="0"/>
      <w:marTop w:val="0"/>
      <w:marBottom w:val="0"/>
      <w:divBdr>
        <w:top w:val="none" w:sz="0" w:space="0" w:color="auto"/>
        <w:left w:val="none" w:sz="0" w:space="0" w:color="auto"/>
        <w:bottom w:val="none" w:sz="0" w:space="0" w:color="auto"/>
        <w:right w:val="none" w:sz="0" w:space="0" w:color="auto"/>
      </w:divBdr>
    </w:div>
    <w:div w:id="639264850">
      <w:bodyDiv w:val="1"/>
      <w:marLeft w:val="0"/>
      <w:marRight w:val="0"/>
      <w:marTop w:val="0"/>
      <w:marBottom w:val="0"/>
      <w:divBdr>
        <w:top w:val="none" w:sz="0" w:space="0" w:color="auto"/>
        <w:left w:val="none" w:sz="0" w:space="0" w:color="auto"/>
        <w:bottom w:val="none" w:sz="0" w:space="0" w:color="auto"/>
        <w:right w:val="none" w:sz="0" w:space="0" w:color="auto"/>
      </w:divBdr>
    </w:div>
    <w:div w:id="700132925">
      <w:bodyDiv w:val="1"/>
      <w:marLeft w:val="0"/>
      <w:marRight w:val="0"/>
      <w:marTop w:val="0"/>
      <w:marBottom w:val="0"/>
      <w:divBdr>
        <w:top w:val="none" w:sz="0" w:space="0" w:color="auto"/>
        <w:left w:val="none" w:sz="0" w:space="0" w:color="auto"/>
        <w:bottom w:val="none" w:sz="0" w:space="0" w:color="auto"/>
        <w:right w:val="none" w:sz="0" w:space="0" w:color="auto"/>
      </w:divBdr>
    </w:div>
    <w:div w:id="700590722">
      <w:bodyDiv w:val="1"/>
      <w:marLeft w:val="0"/>
      <w:marRight w:val="0"/>
      <w:marTop w:val="0"/>
      <w:marBottom w:val="0"/>
      <w:divBdr>
        <w:top w:val="none" w:sz="0" w:space="0" w:color="auto"/>
        <w:left w:val="none" w:sz="0" w:space="0" w:color="auto"/>
        <w:bottom w:val="none" w:sz="0" w:space="0" w:color="auto"/>
        <w:right w:val="none" w:sz="0" w:space="0" w:color="auto"/>
      </w:divBdr>
    </w:div>
    <w:div w:id="815415224">
      <w:bodyDiv w:val="1"/>
      <w:marLeft w:val="0"/>
      <w:marRight w:val="0"/>
      <w:marTop w:val="0"/>
      <w:marBottom w:val="0"/>
      <w:divBdr>
        <w:top w:val="none" w:sz="0" w:space="0" w:color="auto"/>
        <w:left w:val="none" w:sz="0" w:space="0" w:color="auto"/>
        <w:bottom w:val="none" w:sz="0" w:space="0" w:color="auto"/>
        <w:right w:val="none" w:sz="0" w:space="0" w:color="auto"/>
      </w:divBdr>
    </w:div>
    <w:div w:id="1110509037">
      <w:bodyDiv w:val="1"/>
      <w:marLeft w:val="0"/>
      <w:marRight w:val="0"/>
      <w:marTop w:val="0"/>
      <w:marBottom w:val="0"/>
      <w:divBdr>
        <w:top w:val="none" w:sz="0" w:space="0" w:color="auto"/>
        <w:left w:val="none" w:sz="0" w:space="0" w:color="auto"/>
        <w:bottom w:val="none" w:sz="0" w:space="0" w:color="auto"/>
        <w:right w:val="none" w:sz="0" w:space="0" w:color="auto"/>
      </w:divBdr>
    </w:div>
    <w:div w:id="1327974367">
      <w:bodyDiv w:val="1"/>
      <w:marLeft w:val="0"/>
      <w:marRight w:val="0"/>
      <w:marTop w:val="0"/>
      <w:marBottom w:val="0"/>
      <w:divBdr>
        <w:top w:val="none" w:sz="0" w:space="0" w:color="auto"/>
        <w:left w:val="none" w:sz="0" w:space="0" w:color="auto"/>
        <w:bottom w:val="none" w:sz="0" w:space="0" w:color="auto"/>
        <w:right w:val="none" w:sz="0" w:space="0" w:color="auto"/>
      </w:divBdr>
    </w:div>
    <w:div w:id="1439838363">
      <w:bodyDiv w:val="1"/>
      <w:marLeft w:val="0"/>
      <w:marRight w:val="0"/>
      <w:marTop w:val="0"/>
      <w:marBottom w:val="0"/>
      <w:divBdr>
        <w:top w:val="none" w:sz="0" w:space="0" w:color="auto"/>
        <w:left w:val="none" w:sz="0" w:space="0" w:color="auto"/>
        <w:bottom w:val="none" w:sz="0" w:space="0" w:color="auto"/>
        <w:right w:val="none" w:sz="0" w:space="0" w:color="auto"/>
      </w:divBdr>
    </w:div>
    <w:div w:id="1520509042">
      <w:bodyDiv w:val="1"/>
      <w:marLeft w:val="0"/>
      <w:marRight w:val="0"/>
      <w:marTop w:val="0"/>
      <w:marBottom w:val="0"/>
      <w:divBdr>
        <w:top w:val="none" w:sz="0" w:space="0" w:color="auto"/>
        <w:left w:val="none" w:sz="0" w:space="0" w:color="auto"/>
        <w:bottom w:val="none" w:sz="0" w:space="0" w:color="auto"/>
        <w:right w:val="none" w:sz="0" w:space="0" w:color="auto"/>
      </w:divBdr>
    </w:div>
    <w:div w:id="1738047105">
      <w:bodyDiv w:val="1"/>
      <w:marLeft w:val="0"/>
      <w:marRight w:val="0"/>
      <w:marTop w:val="0"/>
      <w:marBottom w:val="0"/>
      <w:divBdr>
        <w:top w:val="none" w:sz="0" w:space="0" w:color="auto"/>
        <w:left w:val="none" w:sz="0" w:space="0" w:color="auto"/>
        <w:bottom w:val="none" w:sz="0" w:space="0" w:color="auto"/>
        <w:right w:val="none" w:sz="0" w:space="0" w:color="auto"/>
      </w:divBdr>
    </w:div>
    <w:div w:id="1753815204">
      <w:bodyDiv w:val="1"/>
      <w:marLeft w:val="0"/>
      <w:marRight w:val="0"/>
      <w:marTop w:val="0"/>
      <w:marBottom w:val="0"/>
      <w:divBdr>
        <w:top w:val="none" w:sz="0" w:space="0" w:color="auto"/>
        <w:left w:val="none" w:sz="0" w:space="0" w:color="auto"/>
        <w:bottom w:val="none" w:sz="0" w:space="0" w:color="auto"/>
        <w:right w:val="none" w:sz="0" w:space="0" w:color="auto"/>
      </w:divBdr>
    </w:div>
    <w:div w:id="1846357512">
      <w:bodyDiv w:val="1"/>
      <w:marLeft w:val="0"/>
      <w:marRight w:val="0"/>
      <w:marTop w:val="0"/>
      <w:marBottom w:val="0"/>
      <w:divBdr>
        <w:top w:val="none" w:sz="0" w:space="0" w:color="auto"/>
        <w:left w:val="none" w:sz="0" w:space="0" w:color="auto"/>
        <w:bottom w:val="none" w:sz="0" w:space="0" w:color="auto"/>
        <w:right w:val="none" w:sz="0" w:space="0" w:color="auto"/>
      </w:divBdr>
    </w:div>
    <w:div w:id="20706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mg.um.dk/bilateral-cooperation/financial-managemen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1E51CC505A654DAA335FE0B3733B62" ma:contentTypeVersion="2" ma:contentTypeDescription="Create a new document." ma:contentTypeScope="" ma:versionID="9dc8d66a363e6d8b97dab7b2f6b242d8">
  <xsd:schema xmlns:xsd="http://www.w3.org/2001/XMLSchema" xmlns:xs="http://www.w3.org/2001/XMLSchema" xmlns:p="http://schemas.microsoft.com/office/2006/metadata/properties" xmlns:ns1="http://schemas.microsoft.com/sharepoint/v3" xmlns:ns2="c7f17b22-ac64-4fc8-a5ef-b34c493c6093" targetNamespace="http://schemas.microsoft.com/office/2006/metadata/properties" ma:root="true" ma:fieldsID="d6e6a7bbfd6df5c496ce4d2840d48f6c" ns1:_="" ns2:_="">
    <xsd:import namespace="http://schemas.microsoft.com/sharepoint/v3"/>
    <xsd:import namespace="c7f17b22-ac64-4fc8-a5ef-b34c493c609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17b22-ac64-4fc8-a5ef-b34c493c6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F03C433-7D37-4B34-9F9A-CC3AD90FAC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7BDBEA-A52F-47A1-8642-35CF7D833B8D}">
  <ds:schemaRefs>
    <ds:schemaRef ds:uri="http://schemas.openxmlformats.org/officeDocument/2006/bibliography"/>
  </ds:schemaRefs>
</ds:datastoreItem>
</file>

<file path=customXml/itemProps3.xml><?xml version="1.0" encoding="utf-8"?>
<ds:datastoreItem xmlns:ds="http://schemas.openxmlformats.org/officeDocument/2006/customXml" ds:itemID="{D4F01B68-91E7-4D84-AB07-AE3F107E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f17b22-ac64-4fc8-a5ef-b34c493c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DD76F-3FB6-4298-B399-05157C456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2546</Words>
  <Characters>15536</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Legendre</dc:creator>
  <cp:keywords/>
  <dc:description/>
  <cp:lastModifiedBy>Linnea Kristine Kansager</cp:lastModifiedBy>
  <cp:revision>8</cp:revision>
  <dcterms:created xsi:type="dcterms:W3CDTF">2026-02-03T14:17:00Z</dcterms:created>
  <dcterms:modified xsi:type="dcterms:W3CDTF">2026-02-10T19:49:00Z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0x010100AA1E51CC505A654DAA335FE0B3733B62</vt:lpwstr>
  </property>
</Properties>
</file>