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98" w:type="dxa"/>
          <w:right w:w="0" w:type="dxa"/>
        </w:tblCellMar>
        <w:tblLook w:val="04A0" w:firstRow="1" w:lastRow="0" w:firstColumn="1" w:lastColumn="0" w:noHBand="0" w:noVBand="1"/>
      </w:tblPr>
      <w:tblGrid>
        <w:gridCol w:w="9856"/>
      </w:tblGrid>
      <w:tr w:rsidR="00087E2D" w14:paraId="55DDF2D6" w14:textId="77777777" w:rsidTr="00F842A7">
        <w:trPr>
          <w:trHeight w:hRule="exact" w:val="1080"/>
        </w:trPr>
        <w:tc>
          <w:tcPr>
            <w:tcW w:w="9856" w:type="dxa"/>
          </w:tcPr>
          <w:tbl>
            <w:tblPr>
              <w:tblStyle w:val="TableGrid"/>
              <w:tblW w:w="0" w:type="auto"/>
              <w:tblLayout w:type="fixed"/>
              <w:tblCellMar>
                <w:left w:w="0" w:type="dxa"/>
                <w:right w:w="0" w:type="dxa"/>
              </w:tblCellMar>
              <w:tblLook w:val="04A0" w:firstRow="1" w:lastRow="0" w:firstColumn="1" w:lastColumn="0" w:noHBand="0" w:noVBand="1"/>
            </w:tblPr>
            <w:tblGrid>
              <w:gridCol w:w="5450"/>
            </w:tblGrid>
            <w:tr w:rsidR="00087E2D" w14:paraId="466AD9DB" w14:textId="77777777" w:rsidTr="00F842A7">
              <w:trPr>
                <w:trHeight w:hRule="exact" w:val="1558"/>
              </w:trPr>
              <w:tc>
                <w:tcPr>
                  <w:tcW w:w="5450" w:type="dxa"/>
                  <w:tcBorders>
                    <w:top w:val="nil"/>
                    <w:left w:val="nil"/>
                    <w:bottom w:val="nil"/>
                    <w:right w:val="nil"/>
                  </w:tcBorders>
                </w:tcPr>
                <w:p w14:paraId="50577686" w14:textId="72A61AD3" w:rsidR="00087E2D" w:rsidRDefault="00087E2D" w:rsidP="00F83BEB">
                  <w:pPr>
                    <w:pStyle w:val="Billedfelt"/>
                  </w:pPr>
                  <w:r>
                    <w:rPr>
                      <w:noProof/>
                      <w:lang w:eastAsia="da-DK"/>
                    </w:rPr>
                    <w:drawing>
                      <wp:anchor distT="0" distB="0" distL="114300" distR="114300" simplePos="0" relativeHeight="251659264" behindDoc="0" locked="0" layoutInCell="1" allowOverlap="1" wp14:anchorId="69600A2F" wp14:editId="6E66B04C">
                        <wp:simplePos x="0" y="0"/>
                        <wp:positionH relativeFrom="page">
                          <wp:posOffset>0</wp:posOffset>
                        </wp:positionH>
                        <wp:positionV relativeFrom="page">
                          <wp:posOffset>8255</wp:posOffset>
                        </wp:positionV>
                        <wp:extent cx="2563200" cy="612000"/>
                        <wp:effectExtent l="0" t="0" r="0" b="0"/>
                        <wp:wrapNone/>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8"/>
                                <a:stretch>
                                  <a:fillRect/>
                                </a:stretch>
                              </pic:blipFill>
                              <pic:spPr>
                                <a:xfrm>
                                  <a:off x="0" y="0"/>
                                  <a:ext cx="2563200" cy="612000"/>
                                </a:xfrm>
                                <a:prstGeom prst="rect">
                                  <a:avLst/>
                                </a:prstGeom>
                              </pic:spPr>
                            </pic:pic>
                          </a:graphicData>
                        </a:graphic>
                        <wp14:sizeRelH relativeFrom="margin">
                          <wp14:pctWidth>0</wp14:pctWidth>
                        </wp14:sizeRelH>
                        <wp14:sizeRelV relativeFrom="margin">
                          <wp14:pctHeight>0</wp14:pctHeight>
                        </wp14:sizeRelV>
                      </wp:anchor>
                    </w:drawing>
                  </w:r>
                </w:p>
              </w:tc>
            </w:tr>
          </w:tbl>
          <w:p w14:paraId="0C3484F9" w14:textId="77777777" w:rsidR="00087E2D" w:rsidRDefault="00087E2D" w:rsidP="00F83BEB">
            <w:pPr>
              <w:pStyle w:val="Udarbejdet"/>
            </w:pPr>
          </w:p>
        </w:tc>
      </w:tr>
      <w:tr w:rsidR="00087E2D" w14:paraId="7CC489F5" w14:textId="77777777" w:rsidTr="00F842A7">
        <w:trPr>
          <w:trHeight w:hRule="exact" w:val="339"/>
        </w:trPr>
        <w:tc>
          <w:tcPr>
            <w:tcW w:w="9856" w:type="dxa"/>
            <w:tcBorders>
              <w:bottom w:val="single" w:sz="4" w:space="0" w:color="E52020"/>
            </w:tcBorders>
          </w:tcPr>
          <w:p w14:paraId="3EB9E64A" w14:textId="57DA9891" w:rsidR="00087E2D" w:rsidRPr="006F14E3" w:rsidRDefault="00087E2D" w:rsidP="00F83BEB">
            <w:pPr>
              <w:pStyle w:val="Forsidedato"/>
              <w:rPr>
                <w:color w:val="E52020"/>
              </w:rPr>
            </w:pPr>
            <w:r w:rsidRPr="006F14E3">
              <w:rPr>
                <w:color w:val="E52020"/>
              </w:rPr>
              <w:t>Template 0</w:t>
            </w:r>
            <w:r w:rsidR="00F842A7">
              <w:rPr>
                <w:color w:val="E52020"/>
              </w:rPr>
              <w:t xml:space="preserve">8 </w:t>
            </w:r>
            <w:r w:rsidRPr="006F14E3">
              <w:rPr>
                <w:color w:val="E52020"/>
              </w:rPr>
              <w:t>-</w:t>
            </w:r>
            <w:r w:rsidR="00F842A7">
              <w:rPr>
                <w:color w:val="E52020"/>
              </w:rPr>
              <w:t xml:space="preserve"> </w:t>
            </w:r>
            <w:r w:rsidR="00AC1C47" w:rsidRPr="00AC1C47">
              <w:rPr>
                <w:color w:val="E52020"/>
              </w:rPr>
              <w:t>[DD/MM/YYYY]</w:t>
            </w:r>
          </w:p>
        </w:tc>
      </w:tr>
      <w:tr w:rsidR="006F14E3" w:rsidRPr="006F14E3" w14:paraId="23F3ACBB" w14:textId="77777777" w:rsidTr="00F842A7">
        <w:trPr>
          <w:trHeight w:hRule="exact" w:val="1399"/>
        </w:trPr>
        <w:tc>
          <w:tcPr>
            <w:tcW w:w="9856" w:type="dxa"/>
            <w:tcBorders>
              <w:top w:val="single" w:sz="4" w:space="0" w:color="E52020"/>
            </w:tcBorders>
            <w:tcMar>
              <w:top w:w="284" w:type="dxa"/>
              <w:bottom w:w="0" w:type="dxa"/>
            </w:tcMar>
            <w:vAlign w:val="center"/>
          </w:tcPr>
          <w:p w14:paraId="1AED7D7C" w14:textId="27F1FD00" w:rsidR="00087E2D" w:rsidRPr="006F14E3" w:rsidRDefault="00F842A7" w:rsidP="00F842A7">
            <w:pPr>
              <w:jc w:val="center"/>
              <w:rPr>
                <w:rFonts w:ascii="Diplomacy Office Bold" w:eastAsiaTheme="minorHAnsi" w:hAnsi="Diplomacy Office Bold" w:cs="Segoe UI"/>
                <w:caps/>
                <w:color w:val="9B0D2B"/>
                <w:sz w:val="100"/>
                <w:szCs w:val="100"/>
                <w:bdr w:val="none" w:sz="0" w:space="0" w:color="auto"/>
                <w:lang w:val="en-GB"/>
              </w:rPr>
            </w:pPr>
            <w:r w:rsidRPr="00F842A7">
              <w:rPr>
                <w:rFonts w:ascii="Diplomacy Office Bold" w:eastAsiaTheme="minorHAnsi" w:hAnsi="Diplomacy Office Bold" w:cs="Segoe UI"/>
                <w:caps/>
                <w:color w:val="9B0D2B"/>
                <w:sz w:val="48"/>
                <w:szCs w:val="48"/>
                <w:bdr w:val="none" w:sz="0" w:space="0" w:color="auto"/>
                <w:lang w:val="en-GB"/>
              </w:rPr>
              <w:t>Partner capacity assessment FRAMEWORK</w:t>
            </w:r>
          </w:p>
        </w:tc>
      </w:tr>
    </w:tbl>
    <w:p w14:paraId="573ACF74" w14:textId="77777777" w:rsidR="00D44E8B" w:rsidRDefault="00D44E8B" w:rsidP="00E27B3F">
      <w:pPr>
        <w:jc w:val="both"/>
        <w:rPr>
          <w:rFonts w:ascii="Noto Sans" w:eastAsia="Calibri" w:hAnsi="Noto Sans" w:cs="Noto Sans"/>
          <w:bdr w:val="none" w:sz="0" w:space="0" w:color="auto"/>
          <w:lang w:val="en-GB"/>
        </w:rPr>
      </w:pPr>
    </w:p>
    <w:p w14:paraId="09E327CA" w14:textId="1CAB0224" w:rsidR="002A52E9" w:rsidRDefault="00D44E8B" w:rsidP="00E27B3F">
      <w:pPr>
        <w:jc w:val="both"/>
        <w:rPr>
          <w:rFonts w:ascii="Noto Sans" w:eastAsia="Calibri" w:hAnsi="Noto Sans" w:cs="Noto Sans"/>
          <w:bdr w:val="none" w:sz="0" w:space="0" w:color="auto"/>
          <w:lang w:val="en-GB"/>
        </w:rPr>
      </w:pPr>
      <w:r>
        <w:rPr>
          <w:rFonts w:ascii="Noto Sans" w:eastAsia="Calibri" w:hAnsi="Noto Sans" w:cs="Noto Sans"/>
          <w:bdr w:val="none" w:sz="0" w:space="0" w:color="auto"/>
          <w:lang w:val="en-GB"/>
        </w:rPr>
        <w:t xml:space="preserve">[Use this annex as inspiration for the partner capacity assessment. I.e., the questionnaire </w:t>
      </w:r>
      <w:r w:rsidR="00D307CB">
        <w:rPr>
          <w:rFonts w:ascii="Noto Sans" w:eastAsia="Calibri" w:hAnsi="Noto Sans" w:cs="Noto Sans"/>
          <w:bdr w:val="none" w:sz="0" w:space="0" w:color="auto"/>
          <w:lang w:val="en-GB"/>
        </w:rPr>
        <w:t>does not need to</w:t>
      </w:r>
      <w:r>
        <w:rPr>
          <w:rFonts w:ascii="Noto Sans" w:eastAsia="Calibri" w:hAnsi="Noto Sans" w:cs="Noto Sans"/>
          <w:bdr w:val="none" w:sz="0" w:space="0" w:color="auto"/>
          <w:lang w:val="en-GB"/>
        </w:rPr>
        <w:t xml:space="preserve"> be followed chronologically, but </w:t>
      </w:r>
      <w:r w:rsidR="00D307CB">
        <w:rPr>
          <w:rFonts w:ascii="Noto Sans" w:eastAsia="Calibri" w:hAnsi="Noto Sans" w:cs="Noto Sans"/>
          <w:bdr w:val="none" w:sz="0" w:space="0" w:color="auto"/>
          <w:lang w:val="en-GB"/>
        </w:rPr>
        <w:t xml:space="preserve">can be </w:t>
      </w:r>
      <w:r>
        <w:rPr>
          <w:rFonts w:ascii="Noto Sans" w:eastAsia="Calibri" w:hAnsi="Noto Sans" w:cs="Noto Sans"/>
          <w:bdr w:val="none" w:sz="0" w:space="0" w:color="auto"/>
          <w:lang w:val="en-GB"/>
        </w:rPr>
        <w:t>used as a starting point and inspiration for the partner dialogue</w:t>
      </w:r>
      <w:r w:rsidR="00D307CB">
        <w:rPr>
          <w:rFonts w:ascii="Noto Sans" w:eastAsia="Calibri" w:hAnsi="Noto Sans" w:cs="Noto Sans"/>
          <w:bdr w:val="none" w:sz="0" w:space="0" w:color="auto"/>
          <w:lang w:val="en-GB"/>
        </w:rPr>
        <w:t>. Delete this after having filled out the framework.</w:t>
      </w:r>
      <w:r>
        <w:rPr>
          <w:rFonts w:ascii="Noto Sans" w:eastAsia="Calibri" w:hAnsi="Noto Sans" w:cs="Noto Sans"/>
          <w:bdr w:val="none" w:sz="0" w:space="0" w:color="auto"/>
          <w:lang w:val="en-GB"/>
        </w:rPr>
        <w:t>]</w:t>
      </w:r>
    </w:p>
    <w:p w14:paraId="3B1EF12E" w14:textId="77777777" w:rsidR="00D44E8B" w:rsidRDefault="00D44E8B" w:rsidP="00E27B3F">
      <w:pPr>
        <w:jc w:val="both"/>
        <w:rPr>
          <w:rFonts w:ascii="Noto Sans" w:hAnsi="Noto Sans" w:cs="Noto Sans"/>
          <w:iCs/>
        </w:rPr>
      </w:pPr>
    </w:p>
    <w:tbl>
      <w:tblPr>
        <w:tblStyle w:val="Tabel-Gitter1"/>
        <w:tblW w:w="5000" w:type="pct"/>
        <w:tblBorders>
          <w:top w:val="double" w:sz="4" w:space="0" w:color="808080"/>
          <w:left w:val="double" w:sz="4" w:space="0" w:color="808080"/>
          <w:bottom w:val="double" w:sz="4" w:space="0" w:color="808080"/>
          <w:right w:val="double" w:sz="4" w:space="0" w:color="808080"/>
          <w:insideH w:val="double" w:sz="4" w:space="0" w:color="808080"/>
          <w:insideV w:val="double" w:sz="4" w:space="0" w:color="808080"/>
        </w:tblBorders>
        <w:tblLook w:val="04A0" w:firstRow="1" w:lastRow="0" w:firstColumn="1" w:lastColumn="0" w:noHBand="0" w:noVBand="1"/>
      </w:tblPr>
      <w:tblGrid>
        <w:gridCol w:w="9628"/>
      </w:tblGrid>
      <w:tr w:rsidR="00F842A7" w:rsidRPr="00F842A7" w14:paraId="57532630" w14:textId="77777777" w:rsidTr="00F842A7">
        <w:tc>
          <w:tcPr>
            <w:tcW w:w="5000" w:type="pct"/>
            <w:tcBorders>
              <w:top w:val="single" w:sz="4" w:space="0" w:color="A6A6A6"/>
              <w:left w:val="single" w:sz="4" w:space="0" w:color="A6A6A6"/>
              <w:bottom w:val="single" w:sz="4" w:space="0" w:color="A6A6A6"/>
              <w:right w:val="single" w:sz="4" w:space="0" w:color="A6A6A6"/>
            </w:tcBorders>
            <w:shd w:val="clear" w:color="auto" w:fill="F2F2F2"/>
          </w:tcPr>
          <w:p w14:paraId="67EC793B" w14:textId="77777777" w:rsidR="00F842A7" w:rsidRPr="00F842A7" w:rsidRDefault="00F842A7" w:rsidP="00F842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contextualSpacing/>
              <w:jc w:val="both"/>
              <w:rPr>
                <w:rFonts w:ascii="Noto Sans" w:eastAsia="Times New Roman" w:hAnsi="Noto Sans" w:cs="Noto Sans"/>
                <w:b/>
                <w:bC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Scoring reference</w:t>
            </w:r>
          </w:p>
          <w:tbl>
            <w:tblPr>
              <w:tblStyle w:val="Tabel-Gitter1"/>
              <w:tblW w:w="5000"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53"/>
              <w:gridCol w:w="2353"/>
              <w:gridCol w:w="2353"/>
              <w:gridCol w:w="2353"/>
            </w:tblGrid>
            <w:tr w:rsidR="00F842A7" w:rsidRPr="00F842A7" w14:paraId="5A2485C4" w14:textId="77777777" w:rsidTr="00F842A7">
              <w:trPr>
                <w:tblHeader/>
              </w:trPr>
              <w:tc>
                <w:tcPr>
                  <w:tcW w:w="1250" w:type="pct"/>
                  <w:shd w:val="clear" w:color="auto" w:fill="0070C0"/>
                </w:tcPr>
                <w:p w14:paraId="75F3AAC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b/>
                      <w:bCs/>
                      <w:color w:val="FFFFFF"/>
                      <w:sz w:val="16"/>
                      <w:szCs w:val="16"/>
                      <w:bdr w:val="none" w:sz="0" w:space="0" w:color="auto"/>
                      <w:lang w:val="en-GB"/>
                    </w:rPr>
                  </w:pPr>
                  <w:r w:rsidRPr="00F842A7">
                    <w:rPr>
                      <w:rFonts w:ascii="Noto Sans" w:eastAsia="Times New Roman" w:hAnsi="Noto Sans" w:cs="Noto Sans"/>
                      <w:b/>
                      <w:bCs/>
                      <w:color w:val="FFFFFF"/>
                      <w:sz w:val="16"/>
                      <w:szCs w:val="16"/>
                      <w:bdr w:val="none" w:sz="0" w:space="0" w:color="auto"/>
                      <w:lang w:val="en-GB"/>
                    </w:rPr>
                    <w:t>Latent</w:t>
                  </w:r>
                </w:p>
              </w:tc>
              <w:tc>
                <w:tcPr>
                  <w:tcW w:w="1250" w:type="pct"/>
                  <w:shd w:val="clear" w:color="auto" w:fill="33CCCC"/>
                </w:tcPr>
                <w:p w14:paraId="1FEB155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b/>
                      <w:bCs/>
                      <w:color w:val="FFFFFF"/>
                      <w:sz w:val="16"/>
                      <w:szCs w:val="16"/>
                      <w:bdr w:val="none" w:sz="0" w:space="0" w:color="auto"/>
                      <w:lang w:val="en-GB"/>
                    </w:rPr>
                  </w:pPr>
                  <w:r w:rsidRPr="00F842A7">
                    <w:rPr>
                      <w:rFonts w:ascii="Noto Sans" w:eastAsia="Times New Roman" w:hAnsi="Noto Sans" w:cs="Noto Sans"/>
                      <w:b/>
                      <w:bCs/>
                      <w:color w:val="FFFFFF"/>
                      <w:sz w:val="16"/>
                      <w:szCs w:val="16"/>
                      <w:bdr w:val="none" w:sz="0" w:space="0" w:color="auto"/>
                      <w:lang w:val="en-GB"/>
                    </w:rPr>
                    <w:t>Emergent</w:t>
                  </w:r>
                </w:p>
              </w:tc>
              <w:tc>
                <w:tcPr>
                  <w:tcW w:w="1250" w:type="pct"/>
                  <w:shd w:val="clear" w:color="auto" w:fill="00CC66"/>
                </w:tcPr>
                <w:p w14:paraId="189E996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b/>
                      <w:bCs/>
                      <w:color w:val="FFFFFF"/>
                      <w:sz w:val="16"/>
                      <w:szCs w:val="16"/>
                      <w:bdr w:val="none" w:sz="0" w:space="0" w:color="auto"/>
                      <w:lang w:val="en-GB"/>
                    </w:rPr>
                  </w:pPr>
                  <w:r w:rsidRPr="00F842A7">
                    <w:rPr>
                      <w:rFonts w:ascii="Noto Sans" w:eastAsia="Times New Roman" w:hAnsi="Noto Sans" w:cs="Noto Sans"/>
                      <w:b/>
                      <w:bCs/>
                      <w:color w:val="FFFFFF"/>
                      <w:sz w:val="16"/>
                      <w:szCs w:val="16"/>
                      <w:bdr w:val="none" w:sz="0" w:space="0" w:color="auto"/>
                      <w:lang w:val="en-GB"/>
                    </w:rPr>
                    <w:t>Moderate</w:t>
                  </w:r>
                </w:p>
              </w:tc>
              <w:tc>
                <w:tcPr>
                  <w:tcW w:w="1250" w:type="pct"/>
                  <w:shd w:val="clear" w:color="auto" w:fill="92D050"/>
                </w:tcPr>
                <w:p w14:paraId="1770B6E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b/>
                      <w:bCs/>
                      <w:color w:val="FFFFFF"/>
                      <w:sz w:val="16"/>
                      <w:szCs w:val="16"/>
                      <w:bdr w:val="none" w:sz="0" w:space="0" w:color="auto"/>
                      <w:lang w:val="en-GB"/>
                    </w:rPr>
                  </w:pPr>
                  <w:r w:rsidRPr="00F842A7">
                    <w:rPr>
                      <w:rFonts w:ascii="Noto Sans" w:eastAsia="Times New Roman" w:hAnsi="Noto Sans" w:cs="Noto Sans"/>
                      <w:b/>
                      <w:bCs/>
                      <w:color w:val="FFFFFF"/>
                      <w:sz w:val="16"/>
                      <w:szCs w:val="16"/>
                      <w:bdr w:val="none" w:sz="0" w:space="0" w:color="auto"/>
                      <w:lang w:val="en-GB"/>
                    </w:rPr>
                    <w:t>Self-sufficient</w:t>
                  </w:r>
                </w:p>
              </w:tc>
            </w:tr>
            <w:tr w:rsidR="00F842A7" w:rsidRPr="00F842A7" w14:paraId="5DF55B3A" w14:textId="77777777" w:rsidTr="00F842A7">
              <w:tc>
                <w:tcPr>
                  <w:tcW w:w="1250" w:type="pct"/>
                  <w:shd w:val="clear" w:color="auto" w:fill="auto"/>
                </w:tcPr>
                <w:p w14:paraId="462C9A9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Has not addressed this and does not have any plans at present to address this.</w:t>
                  </w:r>
                </w:p>
              </w:tc>
              <w:tc>
                <w:tcPr>
                  <w:tcW w:w="1250" w:type="pct"/>
                  <w:shd w:val="clear" w:color="auto" w:fill="auto"/>
                </w:tcPr>
                <w:p w14:paraId="3833DD1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Is aware of the need to address this and has concrete plans to do so in the near future.</w:t>
                  </w:r>
                </w:p>
              </w:tc>
              <w:tc>
                <w:tcPr>
                  <w:tcW w:w="1250" w:type="pct"/>
                  <w:shd w:val="clear" w:color="auto" w:fill="auto"/>
                </w:tcPr>
                <w:p w14:paraId="38B5785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Is in the process of addressing this or has addressed it and is waiting for endorsement.</w:t>
                  </w:r>
                </w:p>
              </w:tc>
              <w:tc>
                <w:tcPr>
                  <w:tcW w:w="1250" w:type="pct"/>
                  <w:shd w:val="clear" w:color="auto" w:fill="auto"/>
                </w:tcPr>
                <w:p w14:paraId="24D6C2A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0" w:after="20" w:line="264" w:lineRule="auto"/>
                    <w:jc w:val="center"/>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This has been addressed or is available, is fully endorsed and ready for implementation or other action.</w:t>
                  </w:r>
                </w:p>
              </w:tc>
            </w:tr>
          </w:tbl>
          <w:p w14:paraId="28B99783" w14:textId="77777777" w:rsidR="00F842A7" w:rsidRPr="00F842A7" w:rsidRDefault="00F842A7" w:rsidP="00F842A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ascii="Noto Sans" w:eastAsia="Times New Roman" w:hAnsi="Noto Sans" w:cs="Noto Sans"/>
                <w:sz w:val="18"/>
                <w:szCs w:val="18"/>
                <w:bdr w:val="none" w:sz="0" w:space="0" w:color="auto"/>
                <w:lang w:val="en-GB"/>
              </w:rPr>
            </w:pPr>
          </w:p>
          <w:p w14:paraId="72F65574" w14:textId="77777777" w:rsidR="00F842A7" w:rsidRPr="00F842A7" w:rsidRDefault="00F842A7" w:rsidP="00F842A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contextualSpacing/>
              <w:jc w:val="both"/>
              <w:rPr>
                <w:rFonts w:ascii="Noto Sans" w:eastAsia="Times New Roman" w:hAnsi="Noto Sans" w:cs="Noto Sans"/>
                <w:b/>
                <w:bC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Approach – how to guide the discussion:</w:t>
            </w:r>
          </w:p>
          <w:p w14:paraId="6F392D50" w14:textId="77777777" w:rsidR="00F842A7" w:rsidRPr="00F842A7" w:rsidRDefault="00F842A7" w:rsidP="00F842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Read the statement. Ask them: Is this true? How does this relate to your context?</w:t>
            </w:r>
          </w:p>
          <w:p w14:paraId="7F8C3EBC" w14:textId="77777777" w:rsidR="00F842A7" w:rsidRPr="00F842A7" w:rsidRDefault="00F842A7" w:rsidP="00F842A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Ask them to consider the response statements above to position their feedback in one of the scoring columns. Place an “X” in the column that they feel most represents their reality today.</w:t>
            </w:r>
          </w:p>
          <w:p w14:paraId="424FA90F" w14:textId="77777777" w:rsidR="00F842A7" w:rsidRPr="00F842A7" w:rsidRDefault="00F842A7" w:rsidP="00F842A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For each answer (unless it is a SS answer) ask the following questions:</w:t>
            </w:r>
          </w:p>
          <w:p w14:paraId="05157A8C" w14:textId="77777777" w:rsidR="00F842A7" w:rsidRPr="00F842A7" w:rsidRDefault="00F842A7" w:rsidP="00F842A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108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“Why did you answer this way? How would you describe the current situation?”</w:t>
            </w:r>
          </w:p>
          <w:p w14:paraId="240AF506" w14:textId="77777777" w:rsidR="00F842A7" w:rsidRPr="00F842A7" w:rsidRDefault="00F842A7" w:rsidP="00F842A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108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“What would need to happen for this to change so you could score it better 2-3+ years from now?”</w:t>
            </w:r>
          </w:p>
          <w:p w14:paraId="5366A871" w14:textId="77777777" w:rsidR="00F842A7" w:rsidRPr="00F842A7" w:rsidRDefault="00F842A7" w:rsidP="00F842A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ind w:left="108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“What do you think would be the first step to make this happen?”</w:t>
            </w:r>
          </w:p>
          <w:p w14:paraId="2458D8E9" w14:textId="77777777" w:rsidR="00F842A7" w:rsidRPr="00F842A7" w:rsidRDefault="00F842A7" w:rsidP="00F842A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Take detailed notes as you discuss with Partners, as this narrative will drive the plan of action that will emerge.</w:t>
            </w:r>
          </w:p>
          <w:p w14:paraId="7F861EA9" w14:textId="77777777" w:rsidR="00F842A7" w:rsidRPr="00F842A7" w:rsidRDefault="00F842A7" w:rsidP="00F842A7">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left="360"/>
              <w:contextualSpacing/>
              <w:jc w:val="both"/>
              <w:rPr>
                <w:rFonts w:ascii="Open Sans" w:eastAsia="Times New Roman" w:hAnsi="Open Sans" w:cs="Arial"/>
                <w:sz w:val="18"/>
                <w:szCs w:val="18"/>
                <w:bdr w:val="none" w:sz="0" w:space="0" w:color="auto"/>
                <w:lang w:val="en-GB"/>
              </w:rPr>
            </w:pPr>
          </w:p>
        </w:tc>
      </w:tr>
    </w:tbl>
    <w:p w14:paraId="287D99E0" w14:textId="03046AA0" w:rsidR="00F842A7" w:rsidRPr="00F842A7" w:rsidRDefault="00F842A7" w:rsidP="00F842A7">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ind w:left="432" w:hanging="432"/>
        <w:outlineLvl w:val="0"/>
        <w:rPr>
          <w:rFonts w:ascii="Noto Sans" w:eastAsia="Calibri" w:hAnsi="Noto Sans" w:cs="Noto Sans"/>
          <w:bdr w:val="none" w:sz="0" w:space="0" w:color="auto"/>
          <w:lang w:val="en-GB"/>
        </w:rPr>
      </w:pPr>
      <w:r>
        <w:rPr>
          <w:rFonts w:ascii="Noto Sans" w:eastAsia="Calibri" w:hAnsi="Noto Sans" w:cs="Noto Sans"/>
          <w:bdr w:val="none" w:sz="0" w:space="0" w:color="auto"/>
          <w:lang w:val="en-GB"/>
        </w:rPr>
        <w:t>1</w:t>
      </w:r>
      <w:r>
        <w:rPr>
          <w:rFonts w:ascii="Noto Sans" w:eastAsia="Calibri" w:hAnsi="Noto Sans" w:cs="Noto Sans"/>
          <w:bdr w:val="none" w:sz="0" w:space="0" w:color="auto"/>
          <w:lang w:val="en-GB"/>
        </w:rPr>
        <w:tab/>
      </w:r>
      <w:r w:rsidRPr="00F842A7">
        <w:rPr>
          <w:rFonts w:ascii="Noto Sans" w:eastAsia="Calibri" w:hAnsi="Noto Sans" w:cs="Noto Sans"/>
          <w:bdr w:val="none" w:sz="0" w:space="0" w:color="auto"/>
          <w:lang w:val="en-GB"/>
        </w:rPr>
        <w:t>Policy and regulatory space</w:t>
      </w:r>
    </w:p>
    <w:tbl>
      <w:tblPr>
        <w:tblStyle w:val="Tabel-Gitter2"/>
        <w:tblW w:w="5001"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7973"/>
        <w:gridCol w:w="418"/>
        <w:gridCol w:w="418"/>
        <w:gridCol w:w="418"/>
        <w:gridCol w:w="413"/>
      </w:tblGrid>
      <w:tr w:rsidR="00F842A7" w:rsidRPr="00F842A7" w14:paraId="3D2A9A63" w14:textId="77777777" w:rsidTr="00F842A7">
        <w:trPr>
          <w:tblHeader/>
        </w:trPr>
        <w:tc>
          <w:tcPr>
            <w:tcW w:w="4135" w:type="pct"/>
            <w:shd w:val="clear" w:color="auto" w:fill="F2F2F2"/>
          </w:tcPr>
          <w:p w14:paraId="7584DF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1.1 Sector-specific (umbrella or institutional) instrument</w:t>
            </w:r>
          </w:p>
        </w:tc>
        <w:tc>
          <w:tcPr>
            <w:tcW w:w="217" w:type="pct"/>
            <w:shd w:val="clear" w:color="auto" w:fill="0070C0"/>
            <w:vAlign w:val="center"/>
          </w:tcPr>
          <w:p w14:paraId="057268B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7" w:type="pct"/>
            <w:shd w:val="clear" w:color="auto" w:fill="33CCCC"/>
            <w:vAlign w:val="center"/>
          </w:tcPr>
          <w:p w14:paraId="1126E95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7" w:type="pct"/>
            <w:shd w:val="clear" w:color="auto" w:fill="00CC66"/>
            <w:vAlign w:val="center"/>
          </w:tcPr>
          <w:p w14:paraId="1CD2EB2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14" w:type="pct"/>
            <w:shd w:val="clear" w:color="auto" w:fill="92D050"/>
            <w:vAlign w:val="center"/>
          </w:tcPr>
          <w:p w14:paraId="629304C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336561E7" w14:textId="77777777" w:rsidTr="00F842A7">
        <w:tc>
          <w:tcPr>
            <w:tcW w:w="4135" w:type="pct"/>
            <w:shd w:val="clear" w:color="auto" w:fill="auto"/>
          </w:tcPr>
          <w:p w14:paraId="267190DF" w14:textId="77777777" w:rsidR="00F842A7" w:rsidRPr="00F842A7" w:rsidRDefault="00F842A7" w:rsidP="00F842A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an institutional regulatory instrument (policy or strategy as relevant) that clearly outlines its commitment to advance sector objectives, priority areas and targets.</w:t>
            </w:r>
          </w:p>
        </w:tc>
        <w:tc>
          <w:tcPr>
            <w:tcW w:w="217" w:type="pct"/>
            <w:vAlign w:val="center"/>
          </w:tcPr>
          <w:p w14:paraId="6DCF8AB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E0A325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83986D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1F8085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0AF79C7A" w14:textId="77777777" w:rsidTr="00F842A7">
        <w:tc>
          <w:tcPr>
            <w:tcW w:w="4135" w:type="pct"/>
            <w:shd w:val="clear" w:color="auto" w:fill="auto"/>
          </w:tcPr>
          <w:p w14:paraId="5369A266" w14:textId="77777777" w:rsidR="00F842A7" w:rsidRPr="00F842A7" w:rsidRDefault="00F842A7" w:rsidP="00F842A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clearly defined institutional and organisational unit areas of work, contributions and responsibilities in relation to identified stated objectives.</w:t>
            </w:r>
          </w:p>
        </w:tc>
        <w:tc>
          <w:tcPr>
            <w:tcW w:w="217" w:type="pct"/>
            <w:vAlign w:val="center"/>
          </w:tcPr>
          <w:p w14:paraId="168807D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BA15BF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85291B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12ACD1C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BDC93BD" w14:textId="77777777" w:rsidTr="00F842A7">
        <w:tc>
          <w:tcPr>
            <w:tcW w:w="4135" w:type="pct"/>
            <w:shd w:val="clear" w:color="auto" w:fill="auto"/>
          </w:tcPr>
          <w:p w14:paraId="583AB31C" w14:textId="77777777" w:rsidR="00F842A7" w:rsidRPr="00F842A7" w:rsidRDefault="00F842A7" w:rsidP="00F842A7">
            <w:pPr>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clearly defined how environmental sustainability is relevant to its portfolio and commits to uphold relevant green objectives as per national policies/plans.</w:t>
            </w:r>
          </w:p>
        </w:tc>
        <w:tc>
          <w:tcPr>
            <w:tcW w:w="217" w:type="pct"/>
            <w:vAlign w:val="center"/>
          </w:tcPr>
          <w:p w14:paraId="5EF61B4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2805D8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191313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A1968F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A752EBF" w14:textId="77777777" w:rsidTr="00F842A7">
        <w:trPr>
          <w:tblHeader/>
        </w:trPr>
        <w:tc>
          <w:tcPr>
            <w:tcW w:w="4135" w:type="pct"/>
            <w:shd w:val="clear" w:color="auto" w:fill="F2F2F2"/>
          </w:tcPr>
          <w:p w14:paraId="481C827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1.2 Multi-sectoral policy coherence</w:t>
            </w:r>
          </w:p>
        </w:tc>
        <w:tc>
          <w:tcPr>
            <w:tcW w:w="217" w:type="pct"/>
            <w:shd w:val="clear" w:color="auto" w:fill="F2F2F2"/>
            <w:vAlign w:val="center"/>
          </w:tcPr>
          <w:p w14:paraId="08C6E48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5139F73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37CCFF1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4E62416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7B2B1A08" w14:textId="77777777" w:rsidTr="00F842A7">
        <w:tc>
          <w:tcPr>
            <w:tcW w:w="4135" w:type="pct"/>
            <w:shd w:val="clear" w:color="auto" w:fill="auto"/>
          </w:tcPr>
          <w:p w14:paraId="6C8F0CAE" w14:textId="77777777" w:rsidR="00F842A7" w:rsidRPr="00F842A7" w:rsidRDefault="00F842A7" w:rsidP="00F842A7">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reviewed – with relevant public sector actors – a range of relevant sector-specific policies and action plans to identify opportunities for policy coherence.</w:t>
            </w:r>
          </w:p>
        </w:tc>
        <w:tc>
          <w:tcPr>
            <w:tcW w:w="217" w:type="pct"/>
            <w:vAlign w:val="center"/>
          </w:tcPr>
          <w:p w14:paraId="46E6715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197C3E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0642EA2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01CC7D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F8C4951" w14:textId="77777777" w:rsidTr="00F842A7">
        <w:tc>
          <w:tcPr>
            <w:tcW w:w="4135" w:type="pct"/>
            <w:shd w:val="clear" w:color="auto" w:fill="auto"/>
          </w:tcPr>
          <w:p w14:paraId="3F929513" w14:textId="77777777" w:rsidR="00F842A7" w:rsidRPr="00F842A7" w:rsidRDefault="00F842A7" w:rsidP="00F842A7">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signed a joint multi-year work plan with the identified public sector actors to advance sector objectives and targets.</w:t>
            </w:r>
          </w:p>
        </w:tc>
        <w:tc>
          <w:tcPr>
            <w:tcW w:w="217" w:type="pct"/>
            <w:vAlign w:val="center"/>
          </w:tcPr>
          <w:p w14:paraId="756DD09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0E8372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797B3A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1D3A5C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30FE382" w14:textId="77777777" w:rsidTr="00F842A7">
        <w:trPr>
          <w:tblHeader/>
        </w:trPr>
        <w:tc>
          <w:tcPr>
            <w:tcW w:w="4135" w:type="pct"/>
            <w:shd w:val="clear" w:color="auto" w:fill="F2F2F2"/>
          </w:tcPr>
          <w:p w14:paraId="03E589D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1.3 Partnerships management</w:t>
            </w:r>
          </w:p>
        </w:tc>
        <w:tc>
          <w:tcPr>
            <w:tcW w:w="217" w:type="pct"/>
            <w:shd w:val="clear" w:color="auto" w:fill="F2F2F2"/>
            <w:vAlign w:val="center"/>
          </w:tcPr>
          <w:p w14:paraId="17E58F5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5CB7CF3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12958B6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0E11FC7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122C1881" w14:textId="77777777" w:rsidTr="00F842A7">
        <w:tc>
          <w:tcPr>
            <w:tcW w:w="4135" w:type="pct"/>
            <w:shd w:val="clear" w:color="auto" w:fill="auto"/>
          </w:tcPr>
          <w:p w14:paraId="7397D07C" w14:textId="77777777" w:rsidR="00F842A7" w:rsidRPr="00F842A7" w:rsidRDefault="00F842A7" w:rsidP="00F842A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 xml:space="preserve">The Partner commits to engaging with private sector and other non-state actors (e.g. civil society, academia, media, etc.) to advance longer-term sector goals. </w:t>
            </w:r>
          </w:p>
        </w:tc>
        <w:tc>
          <w:tcPr>
            <w:tcW w:w="217" w:type="pct"/>
            <w:vAlign w:val="center"/>
          </w:tcPr>
          <w:p w14:paraId="2226123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995BAD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02DDBC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A54CC3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BA28F4F" w14:textId="77777777" w:rsidTr="00F842A7">
        <w:tc>
          <w:tcPr>
            <w:tcW w:w="4135" w:type="pct"/>
            <w:shd w:val="clear" w:color="auto" w:fill="auto"/>
          </w:tcPr>
          <w:p w14:paraId="40B4C642" w14:textId="77777777" w:rsidR="00F842A7" w:rsidRPr="00F842A7" w:rsidRDefault="00F842A7" w:rsidP="00F842A7">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lastRenderedPageBreak/>
              <w:t>The Partner frequently and continuously engages in relevant international and/or regional for a which lead to changes in behaviours and/or practices.</w:t>
            </w:r>
          </w:p>
        </w:tc>
        <w:tc>
          <w:tcPr>
            <w:tcW w:w="217" w:type="pct"/>
            <w:vAlign w:val="center"/>
          </w:tcPr>
          <w:p w14:paraId="7226B10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163798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03AB55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174ACCE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bl>
    <w:p w14:paraId="16608CB0" w14:textId="723A67F0" w:rsidR="00F842A7" w:rsidRPr="00F842A7" w:rsidRDefault="00F842A7" w:rsidP="00F842A7">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ind w:left="432" w:hanging="432"/>
        <w:outlineLvl w:val="0"/>
        <w:rPr>
          <w:rFonts w:ascii="Noto Sans" w:eastAsia="Calibri" w:hAnsi="Noto Sans" w:cs="Noto Sans"/>
          <w:bdr w:val="none" w:sz="0" w:space="0" w:color="auto"/>
          <w:lang w:val="en-GB"/>
        </w:rPr>
      </w:pPr>
      <w:r>
        <w:rPr>
          <w:rFonts w:ascii="Noto Sans" w:eastAsia="Calibri" w:hAnsi="Noto Sans" w:cs="Noto Sans"/>
          <w:bdr w:val="none" w:sz="0" w:space="0" w:color="auto"/>
          <w:lang w:val="en-GB"/>
        </w:rPr>
        <w:t>2</w:t>
      </w:r>
      <w:r>
        <w:rPr>
          <w:rFonts w:ascii="Noto Sans" w:eastAsia="Calibri" w:hAnsi="Noto Sans" w:cs="Noto Sans"/>
          <w:bdr w:val="none" w:sz="0" w:space="0" w:color="auto"/>
          <w:lang w:val="en-GB"/>
        </w:rPr>
        <w:tab/>
      </w:r>
      <w:r w:rsidRPr="00F842A7">
        <w:rPr>
          <w:rFonts w:ascii="Noto Sans" w:eastAsia="Calibri" w:hAnsi="Noto Sans" w:cs="Noto Sans"/>
          <w:bdr w:val="none" w:sz="0" w:space="0" w:color="auto"/>
          <w:lang w:val="en-GB"/>
        </w:rPr>
        <w:t>Institutional effectiveness and accountability</w:t>
      </w:r>
    </w:p>
    <w:tbl>
      <w:tblPr>
        <w:tblStyle w:val="Tabel-Gitter2"/>
        <w:tblW w:w="5001"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7973"/>
        <w:gridCol w:w="418"/>
        <w:gridCol w:w="418"/>
        <w:gridCol w:w="418"/>
        <w:gridCol w:w="413"/>
      </w:tblGrid>
      <w:tr w:rsidR="00F842A7" w:rsidRPr="00F842A7" w14:paraId="2B1C319D" w14:textId="77777777" w:rsidTr="00F842A7">
        <w:tc>
          <w:tcPr>
            <w:tcW w:w="4135" w:type="pct"/>
            <w:shd w:val="clear" w:color="auto" w:fill="F2F2F2"/>
          </w:tcPr>
          <w:p w14:paraId="1101FE4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2.1</w:t>
            </w:r>
            <w:r w:rsidRPr="00F842A7">
              <w:rPr>
                <w:rFonts w:ascii="Noto Sans" w:eastAsia="Times New Roman" w:hAnsi="Noto Sans" w:cs="Noto Sans"/>
                <w:b/>
                <w:bCs/>
                <w:sz w:val="18"/>
                <w:szCs w:val="18"/>
                <w:bdr w:val="none" w:sz="0" w:space="0" w:color="auto"/>
                <w:lang w:val="en-GB"/>
              </w:rPr>
              <w:tab/>
              <w:t>Institutional mandate and recognition</w:t>
            </w:r>
          </w:p>
        </w:tc>
        <w:tc>
          <w:tcPr>
            <w:tcW w:w="217" w:type="pct"/>
            <w:shd w:val="clear" w:color="auto" w:fill="0070C0"/>
            <w:vAlign w:val="center"/>
          </w:tcPr>
          <w:p w14:paraId="1483AD9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7" w:type="pct"/>
            <w:shd w:val="clear" w:color="auto" w:fill="33CCCC"/>
            <w:vAlign w:val="center"/>
          </w:tcPr>
          <w:p w14:paraId="1AA6AF7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7" w:type="pct"/>
            <w:shd w:val="clear" w:color="auto" w:fill="00CC66"/>
            <w:vAlign w:val="center"/>
          </w:tcPr>
          <w:p w14:paraId="07A5C0D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14" w:type="pct"/>
            <w:shd w:val="clear" w:color="auto" w:fill="92D050"/>
            <w:vAlign w:val="center"/>
          </w:tcPr>
          <w:p w14:paraId="7CE2FD4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083BB0E6" w14:textId="77777777" w:rsidTr="00F842A7">
        <w:tc>
          <w:tcPr>
            <w:tcW w:w="4135" w:type="pct"/>
            <w:shd w:val="clear" w:color="auto" w:fill="auto"/>
          </w:tcPr>
          <w:p w14:paraId="73A8282D" w14:textId="77777777" w:rsidR="00F842A7" w:rsidRPr="00F842A7" w:rsidRDefault="00F842A7" w:rsidP="00F842A7">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is formally recognised by all key players and how it will fulfil its mandate in relation to advancing sector objectives is clearly understood.</w:t>
            </w:r>
          </w:p>
        </w:tc>
        <w:tc>
          <w:tcPr>
            <w:tcW w:w="217" w:type="pct"/>
            <w:vAlign w:val="center"/>
          </w:tcPr>
          <w:p w14:paraId="151A45E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BF7823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14B114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47E3C64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119C29F9" w14:textId="77777777" w:rsidTr="00F842A7">
        <w:tc>
          <w:tcPr>
            <w:tcW w:w="4135" w:type="pct"/>
            <w:shd w:val="clear" w:color="auto" w:fill="auto"/>
          </w:tcPr>
          <w:p w14:paraId="74FE261E" w14:textId="77777777" w:rsidR="00F842A7" w:rsidRPr="00F842A7" w:rsidRDefault="00F842A7" w:rsidP="00F842A7">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 xml:space="preserve">The Partner has widespread convening power and can spearhead dialogue and action related to advancing sector objectives across key players at all levels (as needed). </w:t>
            </w:r>
          </w:p>
        </w:tc>
        <w:tc>
          <w:tcPr>
            <w:tcW w:w="217" w:type="pct"/>
            <w:shd w:val="clear" w:color="auto" w:fill="auto"/>
            <w:vAlign w:val="center"/>
          </w:tcPr>
          <w:p w14:paraId="5509407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5EF9E61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33FE208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3731EE9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5E56F6A" w14:textId="77777777" w:rsidTr="00F842A7">
        <w:tc>
          <w:tcPr>
            <w:tcW w:w="4135" w:type="pct"/>
            <w:shd w:val="clear" w:color="auto" w:fill="auto"/>
          </w:tcPr>
          <w:p w14:paraId="2F02F1A0" w14:textId="77777777" w:rsidR="00F842A7" w:rsidRPr="00F842A7" w:rsidRDefault="00F842A7" w:rsidP="00F842A7">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 xml:space="preserve">The Partner is recognised by key sector players as the partner of choice for advice on integrating key sector issues into other policies and programmes. </w:t>
            </w:r>
          </w:p>
        </w:tc>
        <w:tc>
          <w:tcPr>
            <w:tcW w:w="217" w:type="pct"/>
            <w:shd w:val="clear" w:color="auto" w:fill="auto"/>
            <w:vAlign w:val="center"/>
          </w:tcPr>
          <w:p w14:paraId="1EFC5B7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524EDED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36C7D7C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2BAE39A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183523B3" w14:textId="77777777" w:rsidTr="00F842A7">
        <w:tc>
          <w:tcPr>
            <w:tcW w:w="4135" w:type="pct"/>
            <w:shd w:val="clear" w:color="auto" w:fill="F2F2F2"/>
          </w:tcPr>
          <w:p w14:paraId="5DF0098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2.2</w:t>
            </w:r>
            <w:r w:rsidRPr="00F842A7">
              <w:rPr>
                <w:rFonts w:ascii="Noto Sans" w:eastAsia="Times New Roman" w:hAnsi="Noto Sans" w:cs="Noto Sans"/>
                <w:b/>
                <w:bCs/>
                <w:sz w:val="18"/>
                <w:szCs w:val="18"/>
                <w:bdr w:val="none" w:sz="0" w:space="0" w:color="auto"/>
                <w:lang w:val="en-GB"/>
              </w:rPr>
              <w:tab/>
              <w:t>Coordination and accountability</w:t>
            </w:r>
          </w:p>
        </w:tc>
        <w:tc>
          <w:tcPr>
            <w:tcW w:w="217" w:type="pct"/>
            <w:shd w:val="clear" w:color="auto" w:fill="F2F2F2"/>
            <w:vAlign w:val="center"/>
          </w:tcPr>
          <w:p w14:paraId="5CA9651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69980B4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08F5A08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521C069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9BACF78" w14:textId="77777777" w:rsidTr="00F842A7">
        <w:tc>
          <w:tcPr>
            <w:tcW w:w="4135" w:type="pct"/>
            <w:shd w:val="clear" w:color="auto" w:fill="auto"/>
          </w:tcPr>
          <w:p w14:paraId="49A74BE4" w14:textId="77777777" w:rsidR="00F842A7" w:rsidRPr="00F842A7" w:rsidRDefault="00F842A7" w:rsidP="00F842A7">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is part of a multi-sectoral coordination mechanism (e.g., interministerial committee, task force, working group, etc.) that is critical to advancing sector objectives.</w:t>
            </w:r>
          </w:p>
        </w:tc>
        <w:tc>
          <w:tcPr>
            <w:tcW w:w="217" w:type="pct"/>
            <w:shd w:val="clear" w:color="auto" w:fill="auto"/>
            <w:vAlign w:val="center"/>
          </w:tcPr>
          <w:p w14:paraId="321736B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3F9A7F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250D5E0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0CDDF2D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A3E36E9" w14:textId="77777777" w:rsidTr="00F842A7">
        <w:tc>
          <w:tcPr>
            <w:tcW w:w="4135" w:type="pct"/>
            <w:shd w:val="clear" w:color="auto" w:fill="auto"/>
          </w:tcPr>
          <w:p w14:paraId="4EB5F780" w14:textId="77777777" w:rsidR="00F842A7" w:rsidRPr="00F842A7" w:rsidRDefault="00F842A7" w:rsidP="00F842A7">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is the Chair and/or holds an equivalent leadership/convenor role in the formal coordination mechanism.</w:t>
            </w:r>
          </w:p>
        </w:tc>
        <w:tc>
          <w:tcPr>
            <w:tcW w:w="217" w:type="pct"/>
            <w:shd w:val="clear" w:color="auto" w:fill="auto"/>
            <w:vAlign w:val="center"/>
          </w:tcPr>
          <w:p w14:paraId="35E4B93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22A2A3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54704FF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73B7B8E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40FAF2C" w14:textId="77777777" w:rsidTr="00F842A7">
        <w:tc>
          <w:tcPr>
            <w:tcW w:w="4135" w:type="pct"/>
            <w:shd w:val="clear" w:color="auto" w:fill="auto"/>
          </w:tcPr>
          <w:p w14:paraId="6FCD682D" w14:textId="77777777" w:rsidR="00F842A7" w:rsidRPr="00F842A7" w:rsidRDefault="00F842A7" w:rsidP="00F842A7">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coordination mechanism is functional at national, sub-national and local levels, enabling effective decentralised coordination.</w:t>
            </w:r>
          </w:p>
        </w:tc>
        <w:tc>
          <w:tcPr>
            <w:tcW w:w="217" w:type="pct"/>
            <w:shd w:val="clear" w:color="auto" w:fill="auto"/>
            <w:vAlign w:val="center"/>
          </w:tcPr>
          <w:p w14:paraId="362276E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6337DC1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7102972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0B6E5DC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71FE05C" w14:textId="77777777" w:rsidTr="00F842A7">
        <w:tc>
          <w:tcPr>
            <w:tcW w:w="4135" w:type="pct"/>
            <w:shd w:val="clear" w:color="auto" w:fill="F2F2F2"/>
          </w:tcPr>
          <w:p w14:paraId="08C000B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2.3</w:t>
            </w:r>
            <w:r w:rsidRPr="00F842A7">
              <w:rPr>
                <w:rFonts w:ascii="Noto Sans" w:eastAsia="Times New Roman" w:hAnsi="Noto Sans" w:cs="Noto Sans"/>
                <w:b/>
                <w:bCs/>
                <w:sz w:val="18"/>
                <w:szCs w:val="18"/>
                <w:bdr w:val="none" w:sz="0" w:space="0" w:color="auto"/>
                <w:lang w:val="en-GB"/>
              </w:rPr>
              <w:tab/>
              <w:t>Communications and information dissemination</w:t>
            </w:r>
          </w:p>
        </w:tc>
        <w:tc>
          <w:tcPr>
            <w:tcW w:w="217" w:type="pct"/>
            <w:shd w:val="clear" w:color="auto" w:fill="F2F2F2"/>
            <w:vAlign w:val="center"/>
          </w:tcPr>
          <w:p w14:paraId="48E7CB7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7F745D8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2E35F09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665ADE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7757352" w14:textId="77777777" w:rsidTr="00F842A7">
        <w:tc>
          <w:tcPr>
            <w:tcW w:w="4135" w:type="pct"/>
            <w:shd w:val="clear" w:color="auto" w:fill="auto"/>
          </w:tcPr>
          <w:p w14:paraId="2CEF123F" w14:textId="77777777" w:rsidR="00F842A7" w:rsidRPr="00F842A7" w:rsidRDefault="00F842A7" w:rsidP="00F842A7">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disseminates information through a wide range of formal, informal and traditional communication channels e.g., print and digital media, TV, radio, newspapers, gazettes, mobile networks, public facilities and boards, internet and social media etc.</w:t>
            </w:r>
          </w:p>
        </w:tc>
        <w:tc>
          <w:tcPr>
            <w:tcW w:w="217" w:type="pct"/>
            <w:shd w:val="clear" w:color="auto" w:fill="auto"/>
            <w:vAlign w:val="center"/>
          </w:tcPr>
          <w:p w14:paraId="6A9BD92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77E64D9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593C4C7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794E2F3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62A8272" w14:textId="77777777" w:rsidTr="00F842A7">
        <w:tc>
          <w:tcPr>
            <w:tcW w:w="4135" w:type="pct"/>
            <w:shd w:val="clear" w:color="auto" w:fill="auto"/>
          </w:tcPr>
          <w:p w14:paraId="7FD5E8D4" w14:textId="77777777" w:rsidR="00F842A7" w:rsidRPr="00F842A7" w:rsidRDefault="00F842A7" w:rsidP="00F842A7">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Information regularly and consistently reaches national, sub-national and local levels; special efforts are made for hard-to-reach/remote areas.</w:t>
            </w:r>
          </w:p>
        </w:tc>
        <w:tc>
          <w:tcPr>
            <w:tcW w:w="217" w:type="pct"/>
            <w:shd w:val="clear" w:color="auto" w:fill="auto"/>
            <w:vAlign w:val="center"/>
          </w:tcPr>
          <w:p w14:paraId="4C51F74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7F87B50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1439D39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0978463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FE22EFC" w14:textId="77777777" w:rsidTr="00F842A7">
        <w:tc>
          <w:tcPr>
            <w:tcW w:w="4135" w:type="pct"/>
            <w:shd w:val="clear" w:color="auto" w:fill="auto"/>
          </w:tcPr>
          <w:p w14:paraId="07DB40C9" w14:textId="77777777" w:rsidR="00F842A7" w:rsidRPr="00F842A7" w:rsidRDefault="00F842A7" w:rsidP="00F842A7">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Information is available in one or more official or non-official languages, main local dialects and main foreign languages spoken by potential target audiences.</w:t>
            </w:r>
          </w:p>
        </w:tc>
        <w:tc>
          <w:tcPr>
            <w:tcW w:w="217" w:type="pct"/>
            <w:shd w:val="clear" w:color="auto" w:fill="auto"/>
            <w:vAlign w:val="center"/>
          </w:tcPr>
          <w:p w14:paraId="01510BA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1D39CF9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4DDD318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39C2592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6AB3183" w14:textId="77777777" w:rsidTr="00F842A7">
        <w:tc>
          <w:tcPr>
            <w:tcW w:w="4135" w:type="pct"/>
            <w:shd w:val="clear" w:color="auto" w:fill="auto"/>
          </w:tcPr>
          <w:p w14:paraId="53317E3E" w14:textId="77777777" w:rsidR="00F842A7" w:rsidRPr="00F842A7" w:rsidRDefault="00F842A7" w:rsidP="00F842A7">
            <w:pPr>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Information is also communicated in simplified and popularized versions using layman’s language, terms, examples and expressions to facilitate uptake and understanding.</w:t>
            </w:r>
          </w:p>
        </w:tc>
        <w:tc>
          <w:tcPr>
            <w:tcW w:w="217" w:type="pct"/>
            <w:shd w:val="clear" w:color="auto" w:fill="auto"/>
            <w:vAlign w:val="center"/>
          </w:tcPr>
          <w:p w14:paraId="2CC504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1D5395F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2AABD26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1CB3BEC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CB0144B" w14:textId="77777777" w:rsidTr="00F842A7">
        <w:tc>
          <w:tcPr>
            <w:tcW w:w="4135" w:type="pct"/>
            <w:shd w:val="clear" w:color="auto" w:fill="F2F2F2"/>
          </w:tcPr>
          <w:p w14:paraId="609738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2.4</w:t>
            </w:r>
            <w:r w:rsidRPr="00F842A7">
              <w:rPr>
                <w:rFonts w:ascii="Noto Sans" w:eastAsia="Times New Roman" w:hAnsi="Noto Sans" w:cs="Noto Sans"/>
                <w:b/>
                <w:bCs/>
                <w:sz w:val="18"/>
                <w:szCs w:val="18"/>
                <w:bdr w:val="none" w:sz="0" w:space="0" w:color="auto"/>
                <w:lang w:val="en-GB"/>
              </w:rPr>
              <w:tab/>
              <w:t>Process optimisation</w:t>
            </w:r>
          </w:p>
        </w:tc>
        <w:tc>
          <w:tcPr>
            <w:tcW w:w="217" w:type="pct"/>
            <w:shd w:val="clear" w:color="auto" w:fill="F2F2F2"/>
            <w:vAlign w:val="center"/>
          </w:tcPr>
          <w:p w14:paraId="2452B1B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1377DEF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78B199B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5064236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D5337EA" w14:textId="77777777" w:rsidTr="00F842A7">
        <w:tc>
          <w:tcPr>
            <w:tcW w:w="4135" w:type="pct"/>
            <w:shd w:val="clear" w:color="auto" w:fill="auto"/>
          </w:tcPr>
          <w:p w14:paraId="7A075935" w14:textId="77777777" w:rsidR="00F842A7" w:rsidRPr="00F842A7" w:rsidRDefault="00F842A7" w:rsidP="00F842A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mapped its full digital ecosystem and identified opportunities to optimise digital processes and system to support its work to advance sector objectives.</w:t>
            </w:r>
          </w:p>
        </w:tc>
        <w:tc>
          <w:tcPr>
            <w:tcW w:w="217" w:type="pct"/>
            <w:shd w:val="clear" w:color="auto" w:fill="auto"/>
            <w:vAlign w:val="center"/>
          </w:tcPr>
          <w:p w14:paraId="06F64FE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3263F7F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402C3DD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7C4CE75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7B86014A" w14:textId="77777777" w:rsidTr="00F842A7">
        <w:tc>
          <w:tcPr>
            <w:tcW w:w="4135" w:type="pct"/>
            <w:shd w:val="clear" w:color="auto" w:fill="auto"/>
          </w:tcPr>
          <w:p w14:paraId="6C94E10D" w14:textId="77777777" w:rsidR="00F842A7" w:rsidRPr="00F842A7" w:rsidRDefault="00F842A7" w:rsidP="00F842A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researched and defined clear procedures to guide the controlled integration of Artificial Intelligence in its digital solutions.</w:t>
            </w:r>
          </w:p>
        </w:tc>
        <w:tc>
          <w:tcPr>
            <w:tcW w:w="217" w:type="pct"/>
            <w:shd w:val="clear" w:color="auto" w:fill="auto"/>
            <w:vAlign w:val="center"/>
          </w:tcPr>
          <w:p w14:paraId="268A8FC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2CBAC06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1373F39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6255400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D87B2BA" w14:textId="77777777" w:rsidTr="00F842A7">
        <w:tc>
          <w:tcPr>
            <w:tcW w:w="4135" w:type="pct"/>
            <w:shd w:val="clear" w:color="auto" w:fill="auto"/>
          </w:tcPr>
          <w:p w14:paraId="5EEC6F4A" w14:textId="77777777" w:rsidR="00F842A7" w:rsidRPr="00F842A7" w:rsidRDefault="00F842A7" w:rsidP="00F842A7">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established clear and comprehensive quality assurance and due diligence procedures to be followed for it digitalisation efforts to support its portfolio.</w:t>
            </w:r>
          </w:p>
        </w:tc>
        <w:tc>
          <w:tcPr>
            <w:tcW w:w="217" w:type="pct"/>
            <w:shd w:val="clear" w:color="auto" w:fill="auto"/>
            <w:vAlign w:val="center"/>
          </w:tcPr>
          <w:p w14:paraId="2F764A0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6802570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3CD10CF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3AEA673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81EE13B" w14:textId="77777777" w:rsidTr="00F842A7">
        <w:tc>
          <w:tcPr>
            <w:tcW w:w="4135" w:type="pct"/>
            <w:shd w:val="clear" w:color="auto" w:fill="F2F2F2"/>
          </w:tcPr>
          <w:p w14:paraId="69E0776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2.5</w:t>
            </w:r>
            <w:r w:rsidRPr="00F842A7">
              <w:rPr>
                <w:rFonts w:ascii="Noto Sans" w:eastAsia="Times New Roman" w:hAnsi="Noto Sans" w:cs="Noto Sans"/>
                <w:b/>
                <w:bCs/>
                <w:sz w:val="18"/>
                <w:szCs w:val="18"/>
                <w:bdr w:val="none" w:sz="0" w:space="0" w:color="auto"/>
                <w:lang w:val="en-GB"/>
              </w:rPr>
              <w:tab/>
              <w:t>Evidence-based approach</w:t>
            </w:r>
          </w:p>
        </w:tc>
        <w:tc>
          <w:tcPr>
            <w:tcW w:w="217" w:type="pct"/>
            <w:shd w:val="clear" w:color="auto" w:fill="F2F2F2"/>
            <w:vAlign w:val="center"/>
          </w:tcPr>
          <w:p w14:paraId="6352024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5C2E901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F2F2F2"/>
            <w:vAlign w:val="center"/>
          </w:tcPr>
          <w:p w14:paraId="015BDAC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F2F2F2"/>
            <w:vAlign w:val="center"/>
          </w:tcPr>
          <w:p w14:paraId="3BE555F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034FB8AB" w14:textId="77777777" w:rsidTr="00F842A7">
        <w:tc>
          <w:tcPr>
            <w:tcW w:w="4135" w:type="pct"/>
            <w:shd w:val="clear" w:color="auto" w:fill="auto"/>
          </w:tcPr>
          <w:p w14:paraId="03B38235" w14:textId="77777777" w:rsidR="00F842A7" w:rsidRPr="00F842A7" w:rsidRDefault="00F842A7" w:rsidP="00F842A7">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endorsed an organisation-wide Monitoring, Evaluation, Research and Learning (MERL) strategy to track performance in terms of effectiveness, efficiency, economy and equity and longer-term impact on advancing sector objectives.</w:t>
            </w:r>
          </w:p>
        </w:tc>
        <w:tc>
          <w:tcPr>
            <w:tcW w:w="217" w:type="pct"/>
            <w:shd w:val="clear" w:color="auto" w:fill="auto"/>
            <w:vAlign w:val="center"/>
          </w:tcPr>
          <w:p w14:paraId="1896E2B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6F83D6C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shd w:val="clear" w:color="auto" w:fill="auto"/>
            <w:vAlign w:val="center"/>
          </w:tcPr>
          <w:p w14:paraId="2FD268E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shd w:val="clear" w:color="auto" w:fill="auto"/>
            <w:vAlign w:val="center"/>
          </w:tcPr>
          <w:p w14:paraId="360F482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C3D1BF5" w14:textId="77777777" w:rsidTr="00F842A7">
        <w:tc>
          <w:tcPr>
            <w:tcW w:w="4135" w:type="pct"/>
            <w:shd w:val="clear" w:color="auto" w:fill="auto"/>
          </w:tcPr>
          <w:p w14:paraId="246C29F3" w14:textId="77777777" w:rsidR="00F842A7" w:rsidRPr="00F842A7" w:rsidRDefault="00F842A7" w:rsidP="00F842A7">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established an integrated, digital MERL information management system that consolidates MERL data and information from across the organisation at all levels.</w:t>
            </w:r>
          </w:p>
        </w:tc>
        <w:tc>
          <w:tcPr>
            <w:tcW w:w="217" w:type="pct"/>
            <w:vAlign w:val="center"/>
          </w:tcPr>
          <w:p w14:paraId="6492211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50CBA6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458316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66CEFE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38DA46F" w14:textId="77777777" w:rsidTr="00F842A7">
        <w:tc>
          <w:tcPr>
            <w:tcW w:w="4135" w:type="pct"/>
            <w:shd w:val="clear" w:color="auto" w:fill="auto"/>
          </w:tcPr>
          <w:p w14:paraId="0F665D13" w14:textId="77777777" w:rsidR="00F842A7" w:rsidRPr="00F842A7" w:rsidRDefault="00F842A7" w:rsidP="00F842A7">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Partner’s MERL methodologies systematically gather snapshot data and contribute to strengthening historical data collection.</w:t>
            </w:r>
          </w:p>
        </w:tc>
        <w:tc>
          <w:tcPr>
            <w:tcW w:w="217" w:type="pct"/>
            <w:vAlign w:val="center"/>
          </w:tcPr>
          <w:p w14:paraId="650D57E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BF2F78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30E435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1539556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7E244C7" w14:textId="77777777" w:rsidTr="00F842A7">
        <w:tc>
          <w:tcPr>
            <w:tcW w:w="4135" w:type="pct"/>
            <w:shd w:val="clear" w:color="auto" w:fill="auto"/>
          </w:tcPr>
          <w:p w14:paraId="7BEA1E9F" w14:textId="77777777" w:rsidR="00F842A7" w:rsidRPr="00F842A7" w:rsidRDefault="00F842A7" w:rsidP="00F842A7">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Partner’s MERL methodologies integrate and leverage international and regional benchmarking practices to facilitate comparative data analysis and decision-making.</w:t>
            </w:r>
          </w:p>
        </w:tc>
        <w:tc>
          <w:tcPr>
            <w:tcW w:w="217" w:type="pct"/>
            <w:vAlign w:val="center"/>
          </w:tcPr>
          <w:p w14:paraId="5FA5B3F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2F614D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589B36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6EB52F3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264EC15" w14:textId="77777777" w:rsidTr="00F842A7">
        <w:tc>
          <w:tcPr>
            <w:tcW w:w="4135" w:type="pct"/>
            <w:shd w:val="clear" w:color="auto" w:fill="F2F2F2"/>
          </w:tcPr>
          <w:p w14:paraId="7E75457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2.6</w:t>
            </w:r>
            <w:r w:rsidRPr="00F842A7">
              <w:rPr>
                <w:rFonts w:ascii="Noto Sans" w:eastAsia="Times New Roman" w:hAnsi="Noto Sans" w:cs="Noto Sans"/>
                <w:b/>
                <w:bCs/>
                <w:sz w:val="18"/>
                <w:szCs w:val="18"/>
                <w:bdr w:val="none" w:sz="0" w:space="0" w:color="auto"/>
                <w:lang w:val="en-GB"/>
              </w:rPr>
              <w:tab/>
              <w:t>Assets, platforms and infrastructure</w:t>
            </w:r>
          </w:p>
        </w:tc>
        <w:tc>
          <w:tcPr>
            <w:tcW w:w="217" w:type="pct"/>
            <w:shd w:val="clear" w:color="auto" w:fill="F2F2F2"/>
            <w:vAlign w:val="center"/>
          </w:tcPr>
          <w:p w14:paraId="73F6781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7" w:type="pct"/>
            <w:shd w:val="clear" w:color="auto" w:fill="F2F2F2"/>
            <w:vAlign w:val="center"/>
          </w:tcPr>
          <w:p w14:paraId="5168E0A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7" w:type="pct"/>
            <w:shd w:val="clear" w:color="auto" w:fill="F2F2F2"/>
            <w:vAlign w:val="center"/>
          </w:tcPr>
          <w:p w14:paraId="3F7EE3E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14" w:type="pct"/>
            <w:shd w:val="clear" w:color="auto" w:fill="F2F2F2"/>
            <w:vAlign w:val="center"/>
          </w:tcPr>
          <w:p w14:paraId="01F9ACC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390ECE59" w14:textId="77777777" w:rsidTr="00F842A7">
        <w:tc>
          <w:tcPr>
            <w:tcW w:w="4135" w:type="pct"/>
            <w:shd w:val="clear" w:color="auto" w:fill="auto"/>
          </w:tcPr>
          <w:p w14:paraId="54C1D385" w14:textId="77777777" w:rsidR="00F842A7" w:rsidRPr="00F842A7" w:rsidRDefault="00F842A7" w:rsidP="00F842A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operational management and maintenance procedures in place at all levels that ensure optimum performance against key standards, including environmental and workplace health and safety.</w:t>
            </w:r>
          </w:p>
        </w:tc>
        <w:tc>
          <w:tcPr>
            <w:tcW w:w="217" w:type="pct"/>
            <w:vAlign w:val="center"/>
          </w:tcPr>
          <w:p w14:paraId="2ADC89C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99D954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D75327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741DDF5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350CD3D" w14:textId="77777777" w:rsidTr="00F842A7">
        <w:tc>
          <w:tcPr>
            <w:tcW w:w="4135" w:type="pct"/>
            <w:shd w:val="clear" w:color="auto" w:fill="auto"/>
          </w:tcPr>
          <w:p w14:paraId="080F04FA" w14:textId="77777777" w:rsidR="00F842A7" w:rsidRPr="00F842A7" w:rsidRDefault="00F842A7" w:rsidP="00F842A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an updated multi-year asset and infrastructure maintenance and modernisation budget for items in inventory that informs prioritisation and scheduling.</w:t>
            </w:r>
          </w:p>
        </w:tc>
        <w:tc>
          <w:tcPr>
            <w:tcW w:w="217" w:type="pct"/>
            <w:vAlign w:val="center"/>
          </w:tcPr>
          <w:p w14:paraId="433E99B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39C43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CC9B73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18696B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B7826B5" w14:textId="77777777" w:rsidTr="00F842A7">
        <w:tc>
          <w:tcPr>
            <w:tcW w:w="4135" w:type="pct"/>
            <w:shd w:val="clear" w:color="auto" w:fill="auto"/>
          </w:tcPr>
          <w:p w14:paraId="3DDE6012" w14:textId="77777777" w:rsidR="00F842A7" w:rsidRPr="00F842A7" w:rsidRDefault="00F842A7" w:rsidP="00F842A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 xml:space="preserve">The Partner ensures essential assets and infrastructure are optimally positioned across the </w:t>
            </w:r>
            <w:r w:rsidRPr="00F842A7">
              <w:rPr>
                <w:rFonts w:ascii="Noto Sans" w:eastAsia="Times New Roman" w:hAnsi="Noto Sans" w:cs="Noto Sans"/>
                <w:sz w:val="18"/>
                <w:szCs w:val="18"/>
                <w:bdr w:val="none" w:sz="0" w:space="0" w:color="auto"/>
                <w:lang w:val="en-GB"/>
              </w:rPr>
              <w:lastRenderedPageBreak/>
              <w:t>national territory, as per findings from recent and detailed end user needs analyses.</w:t>
            </w:r>
          </w:p>
        </w:tc>
        <w:tc>
          <w:tcPr>
            <w:tcW w:w="217" w:type="pct"/>
            <w:vAlign w:val="center"/>
          </w:tcPr>
          <w:p w14:paraId="1718744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030695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C45B08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189306C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444136C" w14:textId="77777777" w:rsidTr="00F842A7">
        <w:tc>
          <w:tcPr>
            <w:tcW w:w="4135" w:type="pct"/>
            <w:shd w:val="clear" w:color="auto" w:fill="auto"/>
          </w:tcPr>
          <w:p w14:paraId="2B71D7DB" w14:textId="77777777" w:rsidR="00F842A7" w:rsidRPr="00F842A7" w:rsidRDefault="00F842A7" w:rsidP="00F842A7">
            <w:pPr>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regularly investigates and adopts new asset management technologies, tools and practices to enhance efficiency and reduce emissions and energy consumption.</w:t>
            </w:r>
          </w:p>
        </w:tc>
        <w:tc>
          <w:tcPr>
            <w:tcW w:w="217" w:type="pct"/>
            <w:vAlign w:val="center"/>
          </w:tcPr>
          <w:p w14:paraId="4972A7D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E9D3D7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014CDD9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7CDCF8D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bl>
    <w:p w14:paraId="02A9F339" w14:textId="5EE8EAD6" w:rsidR="00F842A7" w:rsidRPr="00F842A7" w:rsidRDefault="00F842A7" w:rsidP="00F842A7">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ind w:left="432" w:hanging="432"/>
        <w:outlineLvl w:val="0"/>
        <w:rPr>
          <w:rFonts w:ascii="Noto Sans" w:eastAsia="Calibri" w:hAnsi="Noto Sans" w:cs="Noto Sans"/>
          <w:bdr w:val="none" w:sz="0" w:space="0" w:color="auto"/>
          <w:lang w:val="en-GB"/>
        </w:rPr>
      </w:pPr>
      <w:r>
        <w:rPr>
          <w:rFonts w:ascii="Noto Sans" w:eastAsia="Calibri" w:hAnsi="Noto Sans" w:cs="Noto Sans"/>
          <w:bdr w:val="none" w:sz="0" w:space="0" w:color="auto"/>
          <w:lang w:val="en-GB"/>
        </w:rPr>
        <w:t>3</w:t>
      </w:r>
      <w:r>
        <w:rPr>
          <w:rFonts w:ascii="Noto Sans" w:eastAsia="Calibri" w:hAnsi="Noto Sans" w:cs="Noto Sans"/>
          <w:bdr w:val="none" w:sz="0" w:space="0" w:color="auto"/>
          <w:lang w:val="en-GB"/>
        </w:rPr>
        <w:tab/>
      </w:r>
      <w:r w:rsidRPr="00F842A7">
        <w:rPr>
          <w:rFonts w:ascii="Noto Sans" w:eastAsia="Calibri" w:hAnsi="Noto Sans" w:cs="Noto Sans"/>
          <w:bdr w:val="none" w:sz="0" w:space="0" w:color="auto"/>
          <w:lang w:val="en-GB"/>
        </w:rPr>
        <w:t>Strategic planning and financing</w:t>
      </w:r>
    </w:p>
    <w:tbl>
      <w:tblPr>
        <w:tblStyle w:val="Tabel-Gitter2"/>
        <w:tblW w:w="5000"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7958"/>
        <w:gridCol w:w="409"/>
        <w:gridCol w:w="406"/>
        <w:gridCol w:w="408"/>
        <w:gridCol w:w="457"/>
      </w:tblGrid>
      <w:tr w:rsidR="00F842A7" w:rsidRPr="00F842A7" w14:paraId="738EE899" w14:textId="77777777" w:rsidTr="00F842A7">
        <w:trPr>
          <w:tblHeader/>
        </w:trPr>
        <w:tc>
          <w:tcPr>
            <w:tcW w:w="4131" w:type="pct"/>
            <w:shd w:val="clear" w:color="auto" w:fill="F2F2F2"/>
          </w:tcPr>
          <w:p w14:paraId="4CE4952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both"/>
              <w:rPr>
                <w:rFonts w:ascii="Noto Sans" w:eastAsia="Times New Roman" w:hAnsi="Noto Sans" w:cs="Noto Sans"/>
                <w:color w:val="808080"/>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3.1</w:t>
            </w:r>
            <w:r w:rsidRPr="00F842A7">
              <w:rPr>
                <w:rFonts w:ascii="Noto Sans" w:eastAsia="Times New Roman" w:hAnsi="Noto Sans" w:cs="Noto Sans"/>
                <w:b/>
                <w:bCs/>
                <w:sz w:val="18"/>
                <w:szCs w:val="18"/>
                <w:bdr w:val="none" w:sz="0" w:space="0" w:color="auto"/>
                <w:lang w:val="en-GB"/>
              </w:rPr>
              <w:tab/>
              <w:t>Value proposition</w:t>
            </w:r>
          </w:p>
        </w:tc>
        <w:tc>
          <w:tcPr>
            <w:tcW w:w="215" w:type="pct"/>
            <w:shd w:val="clear" w:color="auto" w:fill="0070C0"/>
            <w:vAlign w:val="center"/>
          </w:tcPr>
          <w:p w14:paraId="783A723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3" w:type="pct"/>
            <w:shd w:val="clear" w:color="auto" w:fill="33CCCC"/>
            <w:vAlign w:val="center"/>
          </w:tcPr>
          <w:p w14:paraId="753C037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4" w:type="pct"/>
            <w:shd w:val="clear" w:color="auto" w:fill="00CC66"/>
            <w:vAlign w:val="center"/>
          </w:tcPr>
          <w:p w14:paraId="1A5EC11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27" w:type="pct"/>
            <w:shd w:val="clear" w:color="auto" w:fill="92D050"/>
            <w:vAlign w:val="center"/>
          </w:tcPr>
          <w:p w14:paraId="4022010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4DBD28C3" w14:textId="77777777" w:rsidTr="00F842A7">
        <w:tc>
          <w:tcPr>
            <w:tcW w:w="4131" w:type="pct"/>
            <w:shd w:val="clear" w:color="auto" w:fill="auto"/>
          </w:tcPr>
          <w:p w14:paraId="4C7E1B1C" w14:textId="77777777" w:rsidR="00F842A7" w:rsidRPr="00F842A7" w:rsidRDefault="00F842A7" w:rsidP="00F842A7">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There is clear political will and commitment to see the sector agenda fully implemented; it is widespread and multi-sectoral.</w:t>
            </w:r>
          </w:p>
        </w:tc>
        <w:tc>
          <w:tcPr>
            <w:tcW w:w="215" w:type="pct"/>
            <w:vAlign w:val="center"/>
          </w:tcPr>
          <w:p w14:paraId="1CE2DFC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46B0CB7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77B323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1C42E7A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0A7D88AB" w14:textId="77777777" w:rsidTr="00F842A7">
        <w:tc>
          <w:tcPr>
            <w:tcW w:w="4131" w:type="pct"/>
            <w:shd w:val="clear" w:color="auto" w:fill="auto"/>
          </w:tcPr>
          <w:p w14:paraId="6CD1A4CB" w14:textId="77777777" w:rsidR="00F842A7" w:rsidRPr="00F842A7" w:rsidRDefault="00F842A7" w:rsidP="00F842A7">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Partner leadership has a solid understanding of the value proposition of investing in it across the national territory, at all levels (as relevant).</w:t>
            </w:r>
          </w:p>
        </w:tc>
        <w:tc>
          <w:tcPr>
            <w:tcW w:w="215" w:type="pct"/>
            <w:vAlign w:val="center"/>
          </w:tcPr>
          <w:p w14:paraId="41ABE56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7A8D4CC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9C85C3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3687957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2C45A6CF" w14:textId="77777777" w:rsidTr="00F842A7">
        <w:tc>
          <w:tcPr>
            <w:tcW w:w="4131" w:type="pct"/>
            <w:shd w:val="clear" w:color="auto" w:fill="auto"/>
          </w:tcPr>
          <w:p w14:paraId="0CF0AF76" w14:textId="77777777" w:rsidR="00F842A7" w:rsidRPr="00F842A7" w:rsidRDefault="00F842A7" w:rsidP="00F842A7">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Partner leadership support is clearly and explicitly communicated downstream to decentralised structures and local government.</w:t>
            </w:r>
          </w:p>
        </w:tc>
        <w:tc>
          <w:tcPr>
            <w:tcW w:w="215" w:type="pct"/>
            <w:vAlign w:val="center"/>
          </w:tcPr>
          <w:p w14:paraId="0888033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64EFCAB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5E40AC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722FBBD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545DD43A" w14:textId="77777777" w:rsidTr="00F842A7">
        <w:tc>
          <w:tcPr>
            <w:tcW w:w="4131" w:type="pct"/>
            <w:shd w:val="clear" w:color="auto" w:fill="F2F2F2"/>
          </w:tcPr>
          <w:p w14:paraId="071D11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3.2</w:t>
            </w:r>
            <w:r w:rsidRPr="00F842A7">
              <w:rPr>
                <w:rFonts w:ascii="Noto Sans" w:eastAsia="Times New Roman" w:hAnsi="Noto Sans" w:cs="Noto Sans"/>
                <w:b/>
                <w:bCs/>
                <w:sz w:val="18"/>
                <w:szCs w:val="18"/>
                <w:bdr w:val="none" w:sz="0" w:space="0" w:color="auto"/>
                <w:lang w:val="en-GB"/>
              </w:rPr>
              <w:tab/>
              <w:t>Strategic planning</w:t>
            </w:r>
          </w:p>
        </w:tc>
        <w:tc>
          <w:tcPr>
            <w:tcW w:w="215" w:type="pct"/>
            <w:shd w:val="clear" w:color="auto" w:fill="F2F2F2"/>
            <w:vAlign w:val="center"/>
          </w:tcPr>
          <w:p w14:paraId="01285A6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shd w:val="clear" w:color="auto" w:fill="F2F2F2"/>
            <w:vAlign w:val="center"/>
          </w:tcPr>
          <w:p w14:paraId="04216C6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1148615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shd w:val="clear" w:color="auto" w:fill="F2F2F2"/>
            <w:vAlign w:val="center"/>
          </w:tcPr>
          <w:p w14:paraId="20CC301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38365B66" w14:textId="77777777" w:rsidTr="00F842A7">
        <w:tc>
          <w:tcPr>
            <w:tcW w:w="4131" w:type="pct"/>
            <w:shd w:val="clear" w:color="auto" w:fill="auto"/>
          </w:tcPr>
          <w:p w14:paraId="2EA39A60" w14:textId="77777777" w:rsidR="00F842A7" w:rsidRPr="00F842A7" w:rsidRDefault="00F842A7" w:rsidP="00F842A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b/>
                <w:bC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completed a full mapping of its service offering and identified opportunities for strategic and operational business process optimisation.</w:t>
            </w:r>
          </w:p>
        </w:tc>
        <w:tc>
          <w:tcPr>
            <w:tcW w:w="215" w:type="pct"/>
            <w:vAlign w:val="center"/>
          </w:tcPr>
          <w:p w14:paraId="55661E8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49AE101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5ABFD2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221C716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5C390F91" w14:textId="77777777" w:rsidTr="00F842A7">
        <w:tc>
          <w:tcPr>
            <w:tcW w:w="4131" w:type="pct"/>
            <w:shd w:val="clear" w:color="auto" w:fill="auto"/>
          </w:tcPr>
          <w:p w14:paraId="185D24A2" w14:textId="77777777" w:rsidR="00F842A7" w:rsidRPr="00F842A7" w:rsidRDefault="00F842A7" w:rsidP="00F842A7">
            <w:pPr>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comprehensive costed implementation plan that reflects gender-responsive budgeting (as relevant) and needs from all levels of the organisation.</w:t>
            </w:r>
          </w:p>
        </w:tc>
        <w:tc>
          <w:tcPr>
            <w:tcW w:w="215" w:type="pct"/>
            <w:vAlign w:val="center"/>
          </w:tcPr>
          <w:p w14:paraId="485326C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3902940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2F5A92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1568455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56913F4A" w14:textId="77777777" w:rsidTr="00F842A7">
        <w:tc>
          <w:tcPr>
            <w:tcW w:w="4131" w:type="pct"/>
            <w:shd w:val="clear" w:color="auto" w:fill="F2F2F2"/>
            <w:vAlign w:val="center"/>
          </w:tcPr>
          <w:p w14:paraId="14171C4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3.3 Sustainable financing</w:t>
            </w:r>
          </w:p>
        </w:tc>
        <w:tc>
          <w:tcPr>
            <w:tcW w:w="215" w:type="pct"/>
            <w:shd w:val="clear" w:color="auto" w:fill="F2F2F2"/>
            <w:vAlign w:val="center"/>
          </w:tcPr>
          <w:p w14:paraId="55A460C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shd w:val="clear" w:color="auto" w:fill="F2F2F2"/>
            <w:vAlign w:val="center"/>
          </w:tcPr>
          <w:p w14:paraId="1E227B3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2BDE495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shd w:val="clear" w:color="auto" w:fill="F2F2F2"/>
            <w:vAlign w:val="center"/>
          </w:tcPr>
          <w:p w14:paraId="09B096A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796E922E" w14:textId="77777777" w:rsidTr="00F842A7">
        <w:tc>
          <w:tcPr>
            <w:tcW w:w="4131" w:type="pct"/>
            <w:shd w:val="clear" w:color="auto" w:fill="auto"/>
          </w:tcPr>
          <w:p w14:paraId="1D35EEEC" w14:textId="77777777" w:rsidR="00F842A7" w:rsidRPr="00F842A7" w:rsidRDefault="00F842A7" w:rsidP="00F842A7">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Partner’s costed implementation plan is fully funded at all levels, through national budget lines, different sectors, partners or non-state actors.</w:t>
            </w:r>
          </w:p>
        </w:tc>
        <w:tc>
          <w:tcPr>
            <w:tcW w:w="215" w:type="pct"/>
            <w:vAlign w:val="center"/>
          </w:tcPr>
          <w:p w14:paraId="391BA2E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7446847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50539FD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3326FAC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63D2A8D" w14:textId="77777777" w:rsidTr="00F842A7">
        <w:tc>
          <w:tcPr>
            <w:tcW w:w="4131" w:type="pct"/>
            <w:shd w:val="clear" w:color="auto" w:fill="auto"/>
          </w:tcPr>
          <w:p w14:paraId="21EAE746" w14:textId="77777777" w:rsidR="00F842A7" w:rsidRPr="00F842A7" w:rsidRDefault="00F842A7" w:rsidP="00F842A7">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wide network of other partners can supply – or contribute – required human, financial and other resources.</w:t>
            </w:r>
          </w:p>
        </w:tc>
        <w:tc>
          <w:tcPr>
            <w:tcW w:w="215" w:type="pct"/>
            <w:vAlign w:val="center"/>
          </w:tcPr>
          <w:p w14:paraId="4BB725F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4C37939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B272B6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78B8024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7141CEB8" w14:textId="77777777" w:rsidTr="00F842A7">
        <w:tc>
          <w:tcPr>
            <w:tcW w:w="4131" w:type="pct"/>
            <w:shd w:val="clear" w:color="auto" w:fill="F2F2F2"/>
          </w:tcPr>
          <w:p w14:paraId="3396305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3.4 Risk Management</w:t>
            </w:r>
          </w:p>
        </w:tc>
        <w:tc>
          <w:tcPr>
            <w:tcW w:w="215" w:type="pct"/>
            <w:shd w:val="clear" w:color="auto" w:fill="F2F2F2"/>
            <w:vAlign w:val="center"/>
          </w:tcPr>
          <w:p w14:paraId="23C8B67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shd w:val="clear" w:color="auto" w:fill="F2F2F2"/>
            <w:vAlign w:val="center"/>
          </w:tcPr>
          <w:p w14:paraId="660CFD0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1B53AA7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shd w:val="clear" w:color="auto" w:fill="F2F2F2"/>
            <w:vAlign w:val="center"/>
          </w:tcPr>
          <w:p w14:paraId="73BE940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67872E18" w14:textId="77777777" w:rsidTr="00F842A7">
        <w:tc>
          <w:tcPr>
            <w:tcW w:w="4131" w:type="pct"/>
            <w:shd w:val="clear" w:color="auto" w:fill="auto"/>
          </w:tcPr>
          <w:p w14:paraId="04A4648E" w14:textId="77777777" w:rsidR="00F842A7" w:rsidRPr="00F842A7" w:rsidRDefault="00F842A7" w:rsidP="00F842A7">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endorsed a Risk Management policy or strategy with a risk register that captures contextual, institutional and programmatic risks.</w:t>
            </w:r>
          </w:p>
        </w:tc>
        <w:tc>
          <w:tcPr>
            <w:tcW w:w="215" w:type="pct"/>
            <w:vAlign w:val="center"/>
          </w:tcPr>
          <w:p w14:paraId="31B24AD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1FEEF1B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CBC469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4DEBBB8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E16700E" w14:textId="77777777" w:rsidTr="00F842A7">
        <w:tc>
          <w:tcPr>
            <w:tcW w:w="4131" w:type="pct"/>
            <w:shd w:val="clear" w:color="auto" w:fill="auto"/>
          </w:tcPr>
          <w:p w14:paraId="4800440E" w14:textId="77777777" w:rsidR="00F842A7" w:rsidRPr="00F842A7" w:rsidRDefault="00F842A7" w:rsidP="00F842A7">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articulated clear criteria, protocols and operational guidelines and tools to shape risk management in times of crisis so it remains agile, relevant and responsive.</w:t>
            </w:r>
          </w:p>
        </w:tc>
        <w:tc>
          <w:tcPr>
            <w:tcW w:w="215" w:type="pct"/>
            <w:vAlign w:val="center"/>
          </w:tcPr>
          <w:p w14:paraId="4D3FB82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2088C60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A21B8C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3ABBB4D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370BB075" w14:textId="77777777" w:rsidTr="00F842A7">
        <w:tc>
          <w:tcPr>
            <w:tcW w:w="4131" w:type="pct"/>
            <w:shd w:val="clear" w:color="auto" w:fill="F2F2F2"/>
            <w:vAlign w:val="center"/>
          </w:tcPr>
          <w:p w14:paraId="4DD5A6E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3.5 Financial management systems</w:t>
            </w:r>
          </w:p>
        </w:tc>
        <w:tc>
          <w:tcPr>
            <w:tcW w:w="215" w:type="pct"/>
            <w:shd w:val="clear" w:color="auto" w:fill="F2F2F2"/>
            <w:vAlign w:val="center"/>
          </w:tcPr>
          <w:p w14:paraId="187088E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shd w:val="clear" w:color="auto" w:fill="F2F2F2"/>
            <w:vAlign w:val="center"/>
          </w:tcPr>
          <w:p w14:paraId="30415E2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56C62CF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shd w:val="clear" w:color="auto" w:fill="F2F2F2"/>
            <w:vAlign w:val="center"/>
          </w:tcPr>
          <w:p w14:paraId="0BB843B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30ED3C92" w14:textId="77777777" w:rsidTr="00F842A7">
        <w:tc>
          <w:tcPr>
            <w:tcW w:w="4131" w:type="pct"/>
            <w:shd w:val="clear" w:color="auto" w:fill="auto"/>
          </w:tcPr>
          <w:p w14:paraId="567D4993" w14:textId="77777777" w:rsidR="00F842A7" w:rsidRPr="00F842A7" w:rsidRDefault="00F842A7" w:rsidP="00F842A7">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All necessary funds for implementation are disbursed to national, sub-national and local levels in a timely, effective and accountable/transparent manner.</w:t>
            </w:r>
          </w:p>
        </w:tc>
        <w:tc>
          <w:tcPr>
            <w:tcW w:w="215" w:type="pct"/>
            <w:vAlign w:val="center"/>
          </w:tcPr>
          <w:p w14:paraId="1F7C7AC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057EC6C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6B9BEF9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5843825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DA4D842" w14:textId="77777777" w:rsidTr="00F842A7">
        <w:tc>
          <w:tcPr>
            <w:tcW w:w="4131" w:type="pct"/>
            <w:shd w:val="clear" w:color="auto" w:fill="auto"/>
          </w:tcPr>
          <w:p w14:paraId="18398083" w14:textId="77777777" w:rsidR="00F842A7" w:rsidRPr="00F842A7" w:rsidRDefault="00F842A7" w:rsidP="00F842A7">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Systems allow users to record real-time expenditures and generate accurate disbursement and expenditure reports.</w:t>
            </w:r>
          </w:p>
        </w:tc>
        <w:tc>
          <w:tcPr>
            <w:tcW w:w="215" w:type="pct"/>
            <w:vAlign w:val="center"/>
          </w:tcPr>
          <w:p w14:paraId="7103E26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3D1167D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5FC904C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3DC8710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540B4E7" w14:textId="77777777" w:rsidTr="00F842A7">
        <w:tc>
          <w:tcPr>
            <w:tcW w:w="4131" w:type="pct"/>
            <w:shd w:val="clear" w:color="auto" w:fill="auto"/>
          </w:tcPr>
          <w:p w14:paraId="48093717" w14:textId="77777777" w:rsidR="00F842A7" w:rsidRPr="00F842A7" w:rsidRDefault="00F842A7" w:rsidP="00F842A7">
            <w:pPr>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Users at all levels have the capacity to carry out accurate analysis of budgets versus actuals and do so regularly.</w:t>
            </w:r>
          </w:p>
        </w:tc>
        <w:tc>
          <w:tcPr>
            <w:tcW w:w="215" w:type="pct"/>
            <w:vAlign w:val="center"/>
          </w:tcPr>
          <w:p w14:paraId="2493426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3" w:type="pct"/>
            <w:vAlign w:val="center"/>
          </w:tcPr>
          <w:p w14:paraId="4067231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4FBAE42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27" w:type="pct"/>
            <w:vAlign w:val="center"/>
          </w:tcPr>
          <w:p w14:paraId="4FCEA29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bl>
    <w:p w14:paraId="5E68DC48" w14:textId="3407F3B0" w:rsidR="00F842A7" w:rsidRPr="00F842A7" w:rsidRDefault="00F842A7" w:rsidP="00F842A7">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ind w:left="432" w:hanging="432"/>
        <w:outlineLvl w:val="0"/>
        <w:rPr>
          <w:rFonts w:ascii="Noto Sans" w:eastAsia="Calibri" w:hAnsi="Noto Sans" w:cs="Noto Sans"/>
          <w:bdr w:val="none" w:sz="0" w:space="0" w:color="auto"/>
          <w:lang w:val="en-GB"/>
        </w:rPr>
      </w:pPr>
      <w:r>
        <w:rPr>
          <w:rFonts w:ascii="Noto Sans" w:eastAsia="Calibri" w:hAnsi="Noto Sans" w:cs="Noto Sans"/>
          <w:bdr w:val="none" w:sz="0" w:space="0" w:color="auto"/>
          <w:lang w:val="en-GB"/>
        </w:rPr>
        <w:t>4</w:t>
      </w:r>
      <w:r>
        <w:rPr>
          <w:rFonts w:ascii="Noto Sans" w:eastAsia="Calibri" w:hAnsi="Noto Sans" w:cs="Noto Sans"/>
          <w:bdr w:val="none" w:sz="0" w:space="0" w:color="auto"/>
          <w:lang w:val="en-GB"/>
        </w:rPr>
        <w:tab/>
      </w:r>
      <w:r w:rsidRPr="00F842A7">
        <w:rPr>
          <w:rFonts w:ascii="Noto Sans" w:eastAsia="Calibri" w:hAnsi="Noto Sans" w:cs="Noto Sans"/>
          <w:bdr w:val="none" w:sz="0" w:space="0" w:color="auto"/>
          <w:lang w:val="en-GB"/>
        </w:rPr>
        <w:t>Stakeholder service/programme design and delivery</w:t>
      </w:r>
    </w:p>
    <w:tbl>
      <w:tblPr>
        <w:tblStyle w:val="Tabel-Gitter2"/>
        <w:tblW w:w="5001"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7973"/>
        <w:gridCol w:w="418"/>
        <w:gridCol w:w="418"/>
        <w:gridCol w:w="418"/>
        <w:gridCol w:w="413"/>
      </w:tblGrid>
      <w:tr w:rsidR="00F842A7" w:rsidRPr="00F842A7" w14:paraId="37F95F46" w14:textId="77777777" w:rsidTr="00F842A7">
        <w:tc>
          <w:tcPr>
            <w:tcW w:w="4135" w:type="pct"/>
            <w:shd w:val="clear" w:color="auto" w:fill="F2F2F2"/>
          </w:tcPr>
          <w:p w14:paraId="77D7923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4.1</w:t>
            </w:r>
            <w:r w:rsidRPr="00F842A7">
              <w:rPr>
                <w:rFonts w:ascii="Noto Sans" w:eastAsia="Times New Roman" w:hAnsi="Noto Sans" w:cs="Noto Sans"/>
                <w:b/>
                <w:bCs/>
                <w:sz w:val="18"/>
                <w:szCs w:val="18"/>
                <w:bdr w:val="none" w:sz="0" w:space="0" w:color="auto"/>
                <w:lang w:val="en-GB"/>
              </w:rPr>
              <w:tab/>
              <w:t>Service/programme design</w:t>
            </w:r>
          </w:p>
        </w:tc>
        <w:tc>
          <w:tcPr>
            <w:tcW w:w="217" w:type="pct"/>
            <w:shd w:val="clear" w:color="auto" w:fill="0070C0"/>
            <w:vAlign w:val="center"/>
          </w:tcPr>
          <w:p w14:paraId="2412376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7" w:type="pct"/>
            <w:shd w:val="clear" w:color="auto" w:fill="33CCCC"/>
            <w:vAlign w:val="center"/>
          </w:tcPr>
          <w:p w14:paraId="69E547C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7" w:type="pct"/>
            <w:shd w:val="clear" w:color="auto" w:fill="00CC66"/>
            <w:vAlign w:val="center"/>
          </w:tcPr>
          <w:p w14:paraId="1C00A9A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14" w:type="pct"/>
            <w:shd w:val="clear" w:color="auto" w:fill="92D050"/>
            <w:vAlign w:val="center"/>
          </w:tcPr>
          <w:p w14:paraId="6079B3F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002060"/>
                <w:sz w:val="16"/>
                <w:szCs w:val="16"/>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7A3607DE" w14:textId="77777777" w:rsidTr="00F842A7">
        <w:tc>
          <w:tcPr>
            <w:tcW w:w="4135" w:type="pct"/>
            <w:shd w:val="clear" w:color="auto" w:fill="auto"/>
          </w:tcPr>
          <w:p w14:paraId="74C8CCC7"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formalised its commitment to using customer-centric design principles in its service design and delivery (and inclusivity and gender transformative design).</w:t>
            </w:r>
          </w:p>
        </w:tc>
        <w:tc>
          <w:tcPr>
            <w:tcW w:w="217" w:type="pct"/>
            <w:vAlign w:val="center"/>
          </w:tcPr>
          <w:p w14:paraId="5664F20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9A569E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9DBC23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EB5A98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15BBAB41" w14:textId="77777777" w:rsidTr="00F842A7">
        <w:tc>
          <w:tcPr>
            <w:tcW w:w="4135" w:type="pct"/>
            <w:shd w:val="clear" w:color="auto" w:fill="auto"/>
          </w:tcPr>
          <w:p w14:paraId="05D8CFB4"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developed clear procedures and technical guidance to support all units in adopting customer-centric design principles in service design and delivery.</w:t>
            </w:r>
          </w:p>
        </w:tc>
        <w:tc>
          <w:tcPr>
            <w:tcW w:w="217" w:type="pct"/>
            <w:vAlign w:val="center"/>
          </w:tcPr>
          <w:p w14:paraId="69A4F03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79FBD2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627645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7041573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7B6F3EDA" w14:textId="77777777" w:rsidTr="00F842A7">
        <w:tc>
          <w:tcPr>
            <w:tcW w:w="4135" w:type="pct"/>
            <w:shd w:val="clear" w:color="auto" w:fill="auto"/>
          </w:tcPr>
          <w:p w14:paraId="5BA5A12C"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articulated clear guidelines, tools and examples to guide customer-centric service design in times of crisis.</w:t>
            </w:r>
          </w:p>
        </w:tc>
        <w:tc>
          <w:tcPr>
            <w:tcW w:w="217" w:type="pct"/>
            <w:vAlign w:val="center"/>
          </w:tcPr>
          <w:p w14:paraId="7C24F68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112F90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FE7725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D1AE27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67573CC0" w14:textId="77777777" w:rsidTr="00F842A7">
        <w:tc>
          <w:tcPr>
            <w:tcW w:w="4135" w:type="pct"/>
            <w:shd w:val="clear" w:color="auto" w:fill="auto"/>
          </w:tcPr>
          <w:p w14:paraId="75CB3DE8"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clearly articulates the role and contribution of private sector and other non-state actors (e.g. civil society, academia, media, etc.) in its service design and delivery.</w:t>
            </w:r>
          </w:p>
        </w:tc>
        <w:tc>
          <w:tcPr>
            <w:tcW w:w="217" w:type="pct"/>
            <w:vAlign w:val="center"/>
          </w:tcPr>
          <w:p w14:paraId="1112F24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EE5778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426E81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43A335E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96EBD53" w14:textId="77777777" w:rsidTr="00F842A7">
        <w:tc>
          <w:tcPr>
            <w:tcW w:w="4135" w:type="pct"/>
            <w:shd w:val="clear" w:color="auto" w:fill="auto"/>
          </w:tcPr>
          <w:p w14:paraId="18C2722F"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ensures any processes that capture beneficiary data are properly digitised and data are safe and secured in line with prevailing data protection regulations.</w:t>
            </w:r>
          </w:p>
        </w:tc>
        <w:tc>
          <w:tcPr>
            <w:tcW w:w="217" w:type="pct"/>
            <w:vAlign w:val="center"/>
          </w:tcPr>
          <w:p w14:paraId="76A3462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0C6E7C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9B7DF7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3E04CE6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36BABD1" w14:textId="77777777" w:rsidTr="00F842A7">
        <w:tc>
          <w:tcPr>
            <w:tcW w:w="4135" w:type="pct"/>
            <w:shd w:val="clear" w:color="auto" w:fill="auto"/>
          </w:tcPr>
          <w:p w14:paraId="086201AE"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ensures data are synchronised with relevant data from other services or other relevant services/programmes at all levels, across the board.</w:t>
            </w:r>
          </w:p>
        </w:tc>
        <w:tc>
          <w:tcPr>
            <w:tcW w:w="217" w:type="pct"/>
            <w:vAlign w:val="center"/>
          </w:tcPr>
          <w:p w14:paraId="32E7329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A8CEED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BB4D24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2F4C66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1DBB2E40" w14:textId="77777777" w:rsidTr="00F842A7">
        <w:tc>
          <w:tcPr>
            <w:tcW w:w="4135" w:type="pct"/>
            <w:shd w:val="clear" w:color="auto" w:fill="auto"/>
          </w:tcPr>
          <w:p w14:paraId="74AB4152" w14:textId="77777777" w:rsidR="00F842A7" w:rsidRPr="00F842A7" w:rsidRDefault="00F842A7" w:rsidP="00F842A7">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uses MERL methodologies that define proper performance indicators, baselines, targets and means of verification to assess customer satisfaction and user experiences.</w:t>
            </w:r>
          </w:p>
        </w:tc>
        <w:tc>
          <w:tcPr>
            <w:tcW w:w="217" w:type="pct"/>
            <w:vAlign w:val="center"/>
          </w:tcPr>
          <w:p w14:paraId="68F5E3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C18D68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FEB57E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2297343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D5767B4" w14:textId="77777777" w:rsidTr="00F842A7">
        <w:tc>
          <w:tcPr>
            <w:tcW w:w="4135" w:type="pct"/>
            <w:shd w:val="clear" w:color="auto" w:fill="auto"/>
            <w:vAlign w:val="center"/>
          </w:tcPr>
          <w:p w14:paraId="30EA01E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4.2 Service/programme delivery</w:t>
            </w:r>
          </w:p>
        </w:tc>
        <w:tc>
          <w:tcPr>
            <w:tcW w:w="217" w:type="pct"/>
            <w:vAlign w:val="center"/>
          </w:tcPr>
          <w:p w14:paraId="1C58AF2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1450F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163927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03F7327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8C57B13" w14:textId="77777777" w:rsidTr="00F842A7">
        <w:tc>
          <w:tcPr>
            <w:tcW w:w="4135" w:type="pct"/>
            <w:shd w:val="clear" w:color="auto" w:fill="auto"/>
          </w:tcPr>
          <w:p w14:paraId="5D323CE1" w14:textId="77777777" w:rsidR="00F842A7" w:rsidRPr="00F842A7" w:rsidRDefault="00F842A7" w:rsidP="00F842A7">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evidence to confirm that all identified target groups – including the most vulnerable - receive what they are entitled to.</w:t>
            </w:r>
          </w:p>
        </w:tc>
        <w:tc>
          <w:tcPr>
            <w:tcW w:w="217" w:type="pct"/>
            <w:vAlign w:val="center"/>
          </w:tcPr>
          <w:p w14:paraId="6B56716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E4A862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C09E72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62F695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156DDE4" w14:textId="77777777" w:rsidTr="00F842A7">
        <w:tc>
          <w:tcPr>
            <w:tcW w:w="4135" w:type="pct"/>
            <w:shd w:val="clear" w:color="auto" w:fill="auto"/>
          </w:tcPr>
          <w:p w14:paraId="3B0F4352" w14:textId="77777777" w:rsidR="00F842A7" w:rsidRPr="00F842A7" w:rsidRDefault="00F842A7" w:rsidP="00F842A7">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lastRenderedPageBreak/>
              <w:t>Critical implementation capacity gaps (technical, functional and contextual) previously identified have been – or are being – systematically addressed at all levels.</w:t>
            </w:r>
          </w:p>
        </w:tc>
        <w:tc>
          <w:tcPr>
            <w:tcW w:w="217" w:type="pct"/>
            <w:vAlign w:val="center"/>
          </w:tcPr>
          <w:p w14:paraId="53967C3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F27A17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E6961F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6BE0FD0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0295769" w14:textId="77777777" w:rsidTr="00F842A7">
        <w:tc>
          <w:tcPr>
            <w:tcW w:w="4135" w:type="pct"/>
            <w:shd w:val="clear" w:color="auto" w:fill="auto"/>
          </w:tcPr>
          <w:p w14:paraId="6C8B3517" w14:textId="77777777" w:rsidR="00F842A7" w:rsidRPr="00F842A7" w:rsidRDefault="00F842A7" w:rsidP="00F842A7">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Partner procurement standards and procedures are clearly documented, streamlined and digitized.</w:t>
            </w:r>
          </w:p>
        </w:tc>
        <w:tc>
          <w:tcPr>
            <w:tcW w:w="217" w:type="pct"/>
            <w:vAlign w:val="center"/>
          </w:tcPr>
          <w:p w14:paraId="3380953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6E91B2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7C3552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3BA7670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6DA175C" w14:textId="77777777" w:rsidTr="00F842A7">
        <w:tc>
          <w:tcPr>
            <w:tcW w:w="4135" w:type="pct"/>
            <w:shd w:val="clear" w:color="auto" w:fill="auto"/>
          </w:tcPr>
          <w:p w14:paraId="6D0B0A05" w14:textId="77777777" w:rsidR="00F842A7" w:rsidRPr="00F842A7" w:rsidRDefault="00F842A7" w:rsidP="00F842A7">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list of approved national, regional and/or international suppliers for the standard essential items required for effective implementation (as applicable).</w:t>
            </w:r>
          </w:p>
        </w:tc>
        <w:tc>
          <w:tcPr>
            <w:tcW w:w="217" w:type="pct"/>
            <w:vAlign w:val="center"/>
          </w:tcPr>
          <w:p w14:paraId="5B8C487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FC4F7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260E6D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4A840C5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008C47BF" w14:textId="77777777" w:rsidTr="00F842A7">
        <w:tc>
          <w:tcPr>
            <w:tcW w:w="4135" w:type="pct"/>
            <w:shd w:val="clear" w:color="auto" w:fill="auto"/>
          </w:tcPr>
          <w:p w14:paraId="37BEEF47" w14:textId="77777777" w:rsidR="00F842A7" w:rsidRPr="00F842A7" w:rsidRDefault="00F842A7" w:rsidP="00F842A7">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Where relevant, critical information on third-party goods and service provision is communicated to affected populations through diverse and accessible channels.</w:t>
            </w:r>
          </w:p>
        </w:tc>
        <w:tc>
          <w:tcPr>
            <w:tcW w:w="217" w:type="pct"/>
            <w:vAlign w:val="center"/>
          </w:tcPr>
          <w:p w14:paraId="32EE3BE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87BEC5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526E25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7FC6969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059CE175" w14:textId="77777777" w:rsidTr="00F842A7">
        <w:tc>
          <w:tcPr>
            <w:tcW w:w="4135" w:type="pct"/>
            <w:shd w:val="clear" w:color="auto" w:fill="auto"/>
            <w:vAlign w:val="center"/>
          </w:tcPr>
          <w:p w14:paraId="20A92E0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4.3 Partner service/programme implementation capacity</w:t>
            </w:r>
          </w:p>
        </w:tc>
        <w:tc>
          <w:tcPr>
            <w:tcW w:w="217" w:type="pct"/>
            <w:vAlign w:val="center"/>
          </w:tcPr>
          <w:p w14:paraId="15585D0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9F58C4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5C1360D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6E77D11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0C4DE9AB" w14:textId="77777777" w:rsidTr="00F842A7">
        <w:tc>
          <w:tcPr>
            <w:tcW w:w="4135" w:type="pct"/>
            <w:shd w:val="clear" w:color="auto" w:fill="auto"/>
          </w:tcPr>
          <w:p w14:paraId="6E81FC46" w14:textId="77777777" w:rsidR="00F842A7" w:rsidRPr="00F842A7" w:rsidRDefault="00F842A7" w:rsidP="00F842A7">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critical mass of employees in-house with the knowledge, guidance and equipment to be efficient and accountable and is not vulnerable to low staff retention.</w:t>
            </w:r>
          </w:p>
        </w:tc>
        <w:tc>
          <w:tcPr>
            <w:tcW w:w="217" w:type="pct"/>
            <w:vAlign w:val="center"/>
          </w:tcPr>
          <w:p w14:paraId="0BB801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D118C4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53FB92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48AF68A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C81538A" w14:textId="77777777" w:rsidTr="00F842A7">
        <w:tc>
          <w:tcPr>
            <w:tcW w:w="4135" w:type="pct"/>
            <w:shd w:val="clear" w:color="auto" w:fill="auto"/>
          </w:tcPr>
          <w:p w14:paraId="2409FE4B" w14:textId="77777777" w:rsidR="00F842A7" w:rsidRPr="00F842A7" w:rsidRDefault="00F842A7" w:rsidP="00F842A7">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Partner employees at all levels sufficiently digitally literate to use digital systems and devices properly and they use them regularly as integral tools for their daily operations.</w:t>
            </w:r>
          </w:p>
        </w:tc>
        <w:tc>
          <w:tcPr>
            <w:tcW w:w="217" w:type="pct"/>
            <w:vAlign w:val="center"/>
          </w:tcPr>
          <w:p w14:paraId="2E6D4D6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24021B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1596DF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3EDDC2A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3451A78" w14:textId="77777777" w:rsidTr="00F842A7">
        <w:tc>
          <w:tcPr>
            <w:tcW w:w="4135" w:type="pct"/>
            <w:shd w:val="clear" w:color="auto" w:fill="auto"/>
          </w:tcPr>
          <w:p w14:paraId="686EAAEC" w14:textId="77777777" w:rsidR="00F842A7" w:rsidRPr="00F842A7" w:rsidRDefault="00F842A7" w:rsidP="00F842A7">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Relevant and comprehensive guidelines/national standards are available at all levels to guide service/programme employees and are easily accessible and easy to understand.</w:t>
            </w:r>
          </w:p>
        </w:tc>
        <w:tc>
          <w:tcPr>
            <w:tcW w:w="217" w:type="pct"/>
            <w:vAlign w:val="center"/>
          </w:tcPr>
          <w:p w14:paraId="78A01F1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1D66D4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0A2B439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38CCC8E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44494701" w14:textId="77777777" w:rsidTr="00F842A7">
        <w:trPr>
          <w:tblHeader/>
        </w:trPr>
        <w:tc>
          <w:tcPr>
            <w:tcW w:w="4135" w:type="pct"/>
            <w:shd w:val="clear" w:color="auto" w:fill="F2F2F2"/>
          </w:tcPr>
          <w:p w14:paraId="2D15366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4.4 Accountability and grievance management</w:t>
            </w:r>
          </w:p>
        </w:tc>
        <w:tc>
          <w:tcPr>
            <w:tcW w:w="217" w:type="pct"/>
            <w:shd w:val="clear" w:color="auto" w:fill="F2F2F2"/>
            <w:vAlign w:val="center"/>
          </w:tcPr>
          <w:p w14:paraId="21D5BC5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b/>
                <w:bCs/>
                <w:color w:val="FFFFFF"/>
                <w:sz w:val="16"/>
                <w:szCs w:val="16"/>
                <w:bdr w:val="none" w:sz="0" w:space="0" w:color="auto"/>
                <w:lang w:val="en-GB"/>
              </w:rPr>
            </w:pPr>
          </w:p>
        </w:tc>
        <w:tc>
          <w:tcPr>
            <w:tcW w:w="217" w:type="pct"/>
            <w:shd w:val="clear" w:color="auto" w:fill="F2F2F2"/>
            <w:vAlign w:val="center"/>
          </w:tcPr>
          <w:p w14:paraId="1FA7B0D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b/>
                <w:bCs/>
                <w:color w:val="FFFFFF"/>
                <w:sz w:val="16"/>
                <w:szCs w:val="16"/>
                <w:bdr w:val="none" w:sz="0" w:space="0" w:color="auto"/>
                <w:lang w:val="en-GB"/>
              </w:rPr>
            </w:pPr>
          </w:p>
        </w:tc>
        <w:tc>
          <w:tcPr>
            <w:tcW w:w="217" w:type="pct"/>
            <w:shd w:val="clear" w:color="auto" w:fill="F2F2F2"/>
            <w:vAlign w:val="center"/>
          </w:tcPr>
          <w:p w14:paraId="7F383AB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b/>
                <w:bCs/>
                <w:color w:val="FFFFFF"/>
                <w:sz w:val="16"/>
                <w:szCs w:val="16"/>
                <w:bdr w:val="none" w:sz="0" w:space="0" w:color="auto"/>
                <w:lang w:val="en-GB"/>
              </w:rPr>
            </w:pPr>
          </w:p>
        </w:tc>
        <w:tc>
          <w:tcPr>
            <w:tcW w:w="214" w:type="pct"/>
            <w:shd w:val="clear" w:color="auto" w:fill="F2F2F2"/>
            <w:vAlign w:val="center"/>
          </w:tcPr>
          <w:p w14:paraId="2B32508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b/>
                <w:bCs/>
                <w:color w:val="FFFFFF"/>
                <w:sz w:val="16"/>
                <w:szCs w:val="16"/>
                <w:bdr w:val="none" w:sz="0" w:space="0" w:color="auto"/>
                <w:lang w:val="en-GB"/>
              </w:rPr>
            </w:pPr>
          </w:p>
        </w:tc>
      </w:tr>
      <w:tr w:rsidR="00F842A7" w:rsidRPr="00F842A7" w14:paraId="501A9860" w14:textId="77777777" w:rsidTr="00F842A7">
        <w:tc>
          <w:tcPr>
            <w:tcW w:w="4135" w:type="pct"/>
            <w:shd w:val="clear" w:color="auto" w:fill="auto"/>
          </w:tcPr>
          <w:p w14:paraId="4A35CF06" w14:textId="77777777" w:rsidR="00F842A7" w:rsidRPr="00F842A7" w:rsidRDefault="00F842A7" w:rsidP="00F842A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comprehensive Grievance Management Strategy or approach that is accompanied by clear operational guidelines and systems.</w:t>
            </w:r>
          </w:p>
        </w:tc>
        <w:tc>
          <w:tcPr>
            <w:tcW w:w="217" w:type="pct"/>
            <w:vAlign w:val="center"/>
          </w:tcPr>
          <w:p w14:paraId="0D53F4F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8E9952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40ACDF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0D8C07F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97B94D4" w14:textId="77777777" w:rsidTr="00F842A7">
        <w:tc>
          <w:tcPr>
            <w:tcW w:w="4135" w:type="pct"/>
            <w:shd w:val="clear" w:color="auto" w:fill="auto"/>
          </w:tcPr>
          <w:p w14:paraId="27546834" w14:textId="77777777" w:rsidR="00F842A7" w:rsidRPr="00F842A7" w:rsidRDefault="00F842A7" w:rsidP="00F842A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clear criteria, protocols and operational guidelines and tools to shape grievance management in times of crisis so it remains agile, relevant and responsive.</w:t>
            </w:r>
          </w:p>
        </w:tc>
        <w:tc>
          <w:tcPr>
            <w:tcW w:w="217" w:type="pct"/>
            <w:vAlign w:val="center"/>
          </w:tcPr>
          <w:p w14:paraId="6C2E57B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8E937D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60F297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7EB67A3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21E21952" w14:textId="77777777" w:rsidTr="00F842A7">
        <w:tc>
          <w:tcPr>
            <w:tcW w:w="4135" w:type="pct"/>
            <w:shd w:val="clear" w:color="auto" w:fill="auto"/>
          </w:tcPr>
          <w:p w14:paraId="550964CD" w14:textId="77777777" w:rsidR="00F842A7" w:rsidRPr="00F842A7" w:rsidRDefault="00F842A7" w:rsidP="00F842A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comprehensive Monitoring, Evaluation, Research and Learning (MERL) strategy to assess performance of the grievance management system.</w:t>
            </w:r>
          </w:p>
        </w:tc>
        <w:tc>
          <w:tcPr>
            <w:tcW w:w="217" w:type="pct"/>
            <w:vAlign w:val="center"/>
          </w:tcPr>
          <w:p w14:paraId="646CF9D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43BA9AF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68D8672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0FA001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595E10A8" w14:textId="77777777" w:rsidTr="00F842A7">
        <w:tc>
          <w:tcPr>
            <w:tcW w:w="4135" w:type="pct"/>
            <w:shd w:val="clear" w:color="auto" w:fill="auto"/>
          </w:tcPr>
          <w:p w14:paraId="79F223A5" w14:textId="77777777" w:rsidR="00F842A7" w:rsidRPr="00F842A7" w:rsidRDefault="00F842A7" w:rsidP="00F842A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integrates appropriate ways of handling community and individual concerns, particularly those of vulnerable groups, and ensures complainants are protected.</w:t>
            </w:r>
          </w:p>
        </w:tc>
        <w:tc>
          <w:tcPr>
            <w:tcW w:w="217" w:type="pct"/>
            <w:vAlign w:val="center"/>
          </w:tcPr>
          <w:p w14:paraId="594E6E5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30ED0F0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116725B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3D1E959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r w:rsidR="00F842A7" w:rsidRPr="00F842A7" w14:paraId="31798DBD" w14:textId="77777777" w:rsidTr="00F842A7">
        <w:tc>
          <w:tcPr>
            <w:tcW w:w="4135" w:type="pct"/>
            <w:shd w:val="clear" w:color="auto" w:fill="auto"/>
          </w:tcPr>
          <w:p w14:paraId="08B1E376" w14:textId="77777777" w:rsidR="00F842A7" w:rsidRPr="00F842A7" w:rsidRDefault="00F842A7" w:rsidP="00F842A7">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protects all end-user or target audiences from retribution and does not impede access to other remedies.</w:t>
            </w:r>
          </w:p>
        </w:tc>
        <w:tc>
          <w:tcPr>
            <w:tcW w:w="217" w:type="pct"/>
            <w:vAlign w:val="center"/>
          </w:tcPr>
          <w:p w14:paraId="2B6FE4F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7EAF629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7" w:type="pct"/>
            <w:vAlign w:val="center"/>
          </w:tcPr>
          <w:p w14:paraId="2966480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c>
          <w:tcPr>
            <w:tcW w:w="214" w:type="pct"/>
            <w:vAlign w:val="center"/>
          </w:tcPr>
          <w:p w14:paraId="53E5C9B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color w:val="002060"/>
                <w:sz w:val="16"/>
                <w:szCs w:val="16"/>
                <w:bdr w:val="none" w:sz="0" w:space="0" w:color="auto"/>
                <w:lang w:val="en-GB"/>
              </w:rPr>
            </w:pPr>
          </w:p>
        </w:tc>
      </w:tr>
    </w:tbl>
    <w:p w14:paraId="1F3F4DF9" w14:textId="4E577D0E" w:rsidR="00F842A7" w:rsidRPr="00F842A7" w:rsidRDefault="00F842A7" w:rsidP="00F842A7">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120"/>
        <w:ind w:left="432" w:hanging="432"/>
        <w:outlineLvl w:val="0"/>
        <w:rPr>
          <w:rFonts w:ascii="Noto Sans" w:eastAsia="Calibri" w:hAnsi="Noto Sans" w:cs="Noto Sans"/>
          <w:bdr w:val="none" w:sz="0" w:space="0" w:color="auto"/>
          <w:lang w:val="en-GB"/>
        </w:rPr>
      </w:pPr>
      <w:r>
        <w:rPr>
          <w:rFonts w:ascii="Noto Sans" w:eastAsia="Calibri" w:hAnsi="Noto Sans" w:cs="Noto Sans"/>
          <w:bdr w:val="none" w:sz="0" w:space="0" w:color="auto"/>
          <w:lang w:val="en-GB"/>
        </w:rPr>
        <w:t>5</w:t>
      </w:r>
      <w:r>
        <w:rPr>
          <w:rFonts w:ascii="Noto Sans" w:eastAsia="Calibri" w:hAnsi="Noto Sans" w:cs="Noto Sans"/>
          <w:bdr w:val="none" w:sz="0" w:space="0" w:color="auto"/>
          <w:lang w:val="en-GB"/>
        </w:rPr>
        <w:tab/>
      </w:r>
      <w:r w:rsidRPr="00F842A7">
        <w:rPr>
          <w:rFonts w:ascii="Noto Sans" w:eastAsia="Calibri" w:hAnsi="Noto Sans" w:cs="Noto Sans"/>
          <w:bdr w:val="none" w:sz="0" w:space="0" w:color="auto"/>
          <w:lang w:val="en-GB"/>
        </w:rPr>
        <w:t>Engagement of other actors</w:t>
      </w:r>
    </w:p>
    <w:tbl>
      <w:tblPr>
        <w:tblStyle w:val="Tabel-Gitter2"/>
        <w:tblW w:w="5000" w:type="pct"/>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7978"/>
        <w:gridCol w:w="399"/>
        <w:gridCol w:w="402"/>
        <w:gridCol w:w="402"/>
        <w:gridCol w:w="457"/>
      </w:tblGrid>
      <w:tr w:rsidR="00F842A7" w:rsidRPr="00F842A7" w14:paraId="7F88413E" w14:textId="77777777" w:rsidTr="00F842A7">
        <w:trPr>
          <w:tblHeader/>
        </w:trPr>
        <w:tc>
          <w:tcPr>
            <w:tcW w:w="4145" w:type="pct"/>
            <w:shd w:val="clear" w:color="auto" w:fill="F2F2F2"/>
            <w:vAlign w:val="center"/>
          </w:tcPr>
          <w:p w14:paraId="5A9F19C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both"/>
              <w:rPr>
                <w:rFonts w:ascii="Noto Sans" w:eastAsia="Times New Roman" w:hAnsi="Noto Sans" w:cs="Noto Sans"/>
                <w:color w:val="808080"/>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5.1 In service/programme design</w:t>
            </w:r>
          </w:p>
        </w:tc>
        <w:tc>
          <w:tcPr>
            <w:tcW w:w="213" w:type="pct"/>
            <w:shd w:val="clear" w:color="auto" w:fill="0070C0"/>
            <w:vAlign w:val="center"/>
          </w:tcPr>
          <w:p w14:paraId="24ACDCB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L</w:t>
            </w:r>
          </w:p>
        </w:tc>
        <w:tc>
          <w:tcPr>
            <w:tcW w:w="214" w:type="pct"/>
            <w:shd w:val="clear" w:color="auto" w:fill="33CCCC"/>
            <w:vAlign w:val="center"/>
          </w:tcPr>
          <w:p w14:paraId="169BD76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E</w:t>
            </w:r>
          </w:p>
        </w:tc>
        <w:tc>
          <w:tcPr>
            <w:tcW w:w="214" w:type="pct"/>
            <w:shd w:val="clear" w:color="auto" w:fill="00CC66"/>
            <w:vAlign w:val="center"/>
          </w:tcPr>
          <w:p w14:paraId="73A4825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M</w:t>
            </w:r>
          </w:p>
        </w:tc>
        <w:tc>
          <w:tcPr>
            <w:tcW w:w="214" w:type="pct"/>
            <w:shd w:val="clear" w:color="auto" w:fill="92D050"/>
            <w:vAlign w:val="center"/>
          </w:tcPr>
          <w:p w14:paraId="0928DBE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r w:rsidRPr="00F842A7">
              <w:rPr>
                <w:rFonts w:ascii="Noto Sans" w:eastAsia="Times New Roman" w:hAnsi="Noto Sans" w:cs="Noto Sans"/>
                <w:color w:val="FFFFFF"/>
                <w:sz w:val="18"/>
                <w:szCs w:val="18"/>
                <w:bdr w:val="none" w:sz="0" w:space="0" w:color="auto"/>
                <w:lang w:val="en-GB"/>
              </w:rPr>
              <w:t>SS</w:t>
            </w:r>
          </w:p>
        </w:tc>
      </w:tr>
      <w:tr w:rsidR="00F842A7" w:rsidRPr="00F842A7" w14:paraId="20A03C90" w14:textId="77777777" w:rsidTr="00F842A7">
        <w:tc>
          <w:tcPr>
            <w:tcW w:w="4145" w:type="pct"/>
            <w:shd w:val="clear" w:color="auto" w:fill="auto"/>
          </w:tcPr>
          <w:p w14:paraId="293BE70E" w14:textId="77777777" w:rsidR="00F842A7" w:rsidRPr="00F842A7" w:rsidRDefault="00F842A7" w:rsidP="00F842A7">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All other actors (civil society, communities, private sector, etc.) engage and participate in service design and spearhead advocacy efforts to raise public awareness of them.</w:t>
            </w:r>
          </w:p>
        </w:tc>
        <w:tc>
          <w:tcPr>
            <w:tcW w:w="213" w:type="pct"/>
            <w:vAlign w:val="center"/>
          </w:tcPr>
          <w:p w14:paraId="7A1BBD8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543D6A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668E145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73AF215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67EB23F7" w14:textId="77777777" w:rsidTr="00F842A7">
        <w:tc>
          <w:tcPr>
            <w:tcW w:w="4145" w:type="pct"/>
            <w:shd w:val="clear" w:color="auto" w:fill="auto"/>
          </w:tcPr>
          <w:p w14:paraId="3E402E50" w14:textId="77777777" w:rsidR="00F842A7" w:rsidRPr="00F842A7" w:rsidRDefault="00F842A7" w:rsidP="00F842A7">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Formal and transparent mechanisms for dialogue with civil society and community and their participation in monitoring and feedback are in place and functional at all levels.</w:t>
            </w:r>
          </w:p>
        </w:tc>
        <w:tc>
          <w:tcPr>
            <w:tcW w:w="213" w:type="pct"/>
            <w:vAlign w:val="center"/>
          </w:tcPr>
          <w:p w14:paraId="3F3D904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7D4A5C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73E8565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3448D3D"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62E4C003" w14:textId="77777777" w:rsidTr="00F842A7">
        <w:trPr>
          <w:tblHeader/>
        </w:trPr>
        <w:tc>
          <w:tcPr>
            <w:tcW w:w="4145" w:type="pct"/>
            <w:shd w:val="clear" w:color="auto" w:fill="F2F2F2"/>
            <w:vAlign w:val="center"/>
          </w:tcPr>
          <w:p w14:paraId="42CFAD8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both"/>
              <w:rPr>
                <w:rFonts w:ascii="Noto Sans" w:eastAsia="Times New Roman" w:hAnsi="Noto Sans" w:cs="Noto Sans"/>
                <w:color w:val="808080"/>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5.2 In service/programme delivery</w:t>
            </w:r>
          </w:p>
        </w:tc>
        <w:tc>
          <w:tcPr>
            <w:tcW w:w="213" w:type="pct"/>
            <w:shd w:val="clear" w:color="auto" w:fill="F2F2F2"/>
            <w:vAlign w:val="center"/>
          </w:tcPr>
          <w:p w14:paraId="3440ABA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3005BB1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66E785F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5B0B7DC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r>
      <w:tr w:rsidR="00F842A7" w:rsidRPr="00F842A7" w14:paraId="5F3F594E" w14:textId="77777777" w:rsidTr="00F842A7">
        <w:tc>
          <w:tcPr>
            <w:tcW w:w="4145" w:type="pct"/>
            <w:shd w:val="clear" w:color="auto" w:fill="auto"/>
          </w:tcPr>
          <w:p w14:paraId="7CA71DEF" w14:textId="77777777" w:rsidR="00F842A7" w:rsidRPr="00F842A7" w:rsidRDefault="00F842A7" w:rsidP="00F842A7">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Civil society, private sector and communities actively engage, support and contribute to service implementation at all levels.</w:t>
            </w:r>
          </w:p>
        </w:tc>
        <w:tc>
          <w:tcPr>
            <w:tcW w:w="213" w:type="pct"/>
            <w:vAlign w:val="center"/>
          </w:tcPr>
          <w:p w14:paraId="32345AC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D8B4F0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4626A2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4E8F01A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696233F" w14:textId="77777777" w:rsidTr="00F842A7">
        <w:tc>
          <w:tcPr>
            <w:tcW w:w="4145" w:type="pct"/>
            <w:shd w:val="clear" w:color="auto" w:fill="auto"/>
          </w:tcPr>
          <w:p w14:paraId="1C51E5EC" w14:textId="77777777" w:rsidR="00F842A7" w:rsidRPr="00F842A7" w:rsidRDefault="00F842A7" w:rsidP="00F842A7">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Performance indicators chosen by stakeholders to assess the effectiveness of the service are used to measure performance.</w:t>
            </w:r>
          </w:p>
        </w:tc>
        <w:tc>
          <w:tcPr>
            <w:tcW w:w="213" w:type="pct"/>
            <w:vAlign w:val="center"/>
          </w:tcPr>
          <w:p w14:paraId="0CEE476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C353A5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10CF1B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38A254A5"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E1CB269" w14:textId="77777777" w:rsidTr="00F842A7">
        <w:tc>
          <w:tcPr>
            <w:tcW w:w="4145" w:type="pct"/>
            <w:shd w:val="clear" w:color="auto" w:fill="F2F2F2"/>
          </w:tcPr>
          <w:p w14:paraId="08D2F18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rPr>
                <w:rFonts w:ascii="Noto Sans" w:eastAsia="Times New Roman" w:hAnsi="Noto Sans" w:cs="Noto Sans"/>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5.3 Research, development and innovation</w:t>
            </w:r>
          </w:p>
        </w:tc>
        <w:tc>
          <w:tcPr>
            <w:tcW w:w="213" w:type="pct"/>
            <w:shd w:val="clear" w:color="auto" w:fill="F2F2F2"/>
            <w:vAlign w:val="center"/>
          </w:tcPr>
          <w:p w14:paraId="1F892A2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6C23E18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378FE870"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shd w:val="clear" w:color="auto" w:fill="F2F2F2"/>
            <w:vAlign w:val="center"/>
          </w:tcPr>
          <w:p w14:paraId="26D4D5D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36D31D00" w14:textId="77777777" w:rsidTr="00F842A7">
        <w:tc>
          <w:tcPr>
            <w:tcW w:w="4145" w:type="pct"/>
            <w:shd w:val="clear" w:color="auto" w:fill="auto"/>
          </w:tcPr>
          <w:p w14:paraId="3DF5320C" w14:textId="77777777" w:rsidR="00F842A7" w:rsidRPr="00F842A7" w:rsidRDefault="00F842A7" w:rsidP="00F842A7">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right="-57"/>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 xml:space="preserve">The Partner has documented a clear institutional position on using research, development and innovation to strengthen its contribution to advancing sector objectives. </w:t>
            </w:r>
          </w:p>
        </w:tc>
        <w:tc>
          <w:tcPr>
            <w:tcW w:w="213" w:type="pct"/>
            <w:vAlign w:val="center"/>
          </w:tcPr>
          <w:p w14:paraId="028DD04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57BE61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4D3615C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EEF8BC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43B5D127" w14:textId="77777777" w:rsidTr="00F842A7">
        <w:tc>
          <w:tcPr>
            <w:tcW w:w="4145" w:type="pct"/>
            <w:shd w:val="clear" w:color="auto" w:fill="auto"/>
          </w:tcPr>
          <w:p w14:paraId="5C0C678F" w14:textId="77777777" w:rsidR="00F842A7" w:rsidRPr="00F842A7" w:rsidRDefault="00F842A7" w:rsidP="00F842A7">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a research plan that has identified specific traditional, emerging and innovative research topics for investigation in relation to advancing sector objectives.</w:t>
            </w:r>
          </w:p>
        </w:tc>
        <w:tc>
          <w:tcPr>
            <w:tcW w:w="213" w:type="pct"/>
            <w:vAlign w:val="center"/>
          </w:tcPr>
          <w:p w14:paraId="62EDBBA1"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5543F1C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A9FDE93"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522A817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3072646A" w14:textId="77777777" w:rsidTr="00F842A7">
        <w:tc>
          <w:tcPr>
            <w:tcW w:w="4145" w:type="pct"/>
            <w:shd w:val="clear" w:color="auto" w:fill="auto"/>
          </w:tcPr>
          <w:p w14:paraId="3125A8F9" w14:textId="77777777" w:rsidR="00F842A7" w:rsidRPr="00F842A7" w:rsidRDefault="00F842A7" w:rsidP="00F842A7">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established partnerships with a range of credible academic and/or third-party research institutions that can support its research agenda.</w:t>
            </w:r>
          </w:p>
        </w:tc>
        <w:tc>
          <w:tcPr>
            <w:tcW w:w="213" w:type="pct"/>
            <w:vAlign w:val="center"/>
          </w:tcPr>
          <w:p w14:paraId="0CD0303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9D5E2E7"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D6E919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65D4D16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254853D7" w14:textId="77777777" w:rsidTr="00F842A7">
        <w:tc>
          <w:tcPr>
            <w:tcW w:w="4145" w:type="pct"/>
            <w:shd w:val="clear" w:color="auto" w:fill="auto"/>
          </w:tcPr>
          <w:p w14:paraId="2F8303FC" w14:textId="77777777" w:rsidR="00F842A7" w:rsidRPr="00F842A7" w:rsidRDefault="00F842A7" w:rsidP="00F842A7">
            <w:pPr>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established a mechanism or channel through which it can engage – and is engaging – in one or more innovation projects (e.g., incentives, accelerators, etc.).</w:t>
            </w:r>
          </w:p>
        </w:tc>
        <w:tc>
          <w:tcPr>
            <w:tcW w:w="213" w:type="pct"/>
            <w:vAlign w:val="center"/>
          </w:tcPr>
          <w:p w14:paraId="503CAD5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42D2D7CB"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2DAD63E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6FDDA67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2816D4C6" w14:textId="77777777" w:rsidTr="00F842A7">
        <w:trPr>
          <w:tblHeader/>
        </w:trPr>
        <w:tc>
          <w:tcPr>
            <w:tcW w:w="4145" w:type="pct"/>
            <w:shd w:val="clear" w:color="auto" w:fill="F2F2F2"/>
            <w:vAlign w:val="center"/>
          </w:tcPr>
          <w:p w14:paraId="62C5178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both"/>
              <w:rPr>
                <w:rFonts w:ascii="Noto Sans" w:eastAsia="Times New Roman" w:hAnsi="Noto Sans" w:cs="Noto Sans"/>
                <w:color w:val="808080"/>
                <w:sz w:val="18"/>
                <w:szCs w:val="18"/>
                <w:bdr w:val="none" w:sz="0" w:space="0" w:color="auto"/>
                <w:lang w:val="en-GB"/>
              </w:rPr>
            </w:pPr>
            <w:r w:rsidRPr="00F842A7">
              <w:rPr>
                <w:rFonts w:ascii="Noto Sans" w:eastAsia="Times New Roman" w:hAnsi="Noto Sans" w:cs="Noto Sans"/>
                <w:b/>
                <w:bCs/>
                <w:sz w:val="18"/>
                <w:szCs w:val="18"/>
                <w:bdr w:val="none" w:sz="0" w:space="0" w:color="auto"/>
                <w:lang w:val="en-GB"/>
              </w:rPr>
              <w:t>5.4 Sustainable human capital</w:t>
            </w:r>
          </w:p>
        </w:tc>
        <w:tc>
          <w:tcPr>
            <w:tcW w:w="213" w:type="pct"/>
            <w:shd w:val="clear" w:color="auto" w:fill="F2F2F2"/>
            <w:vAlign w:val="center"/>
          </w:tcPr>
          <w:p w14:paraId="3E24674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159A71A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6106ADE4"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c>
          <w:tcPr>
            <w:tcW w:w="214" w:type="pct"/>
            <w:shd w:val="clear" w:color="auto" w:fill="F2F2F2"/>
            <w:vAlign w:val="center"/>
          </w:tcPr>
          <w:p w14:paraId="5849F3B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0" w:after="10"/>
              <w:jc w:val="center"/>
              <w:rPr>
                <w:rFonts w:ascii="Noto Sans" w:eastAsia="Times New Roman" w:hAnsi="Noto Sans" w:cs="Noto Sans"/>
                <w:color w:val="FFFFFF"/>
                <w:sz w:val="18"/>
                <w:szCs w:val="18"/>
                <w:bdr w:val="none" w:sz="0" w:space="0" w:color="auto"/>
                <w:lang w:val="en-GB"/>
              </w:rPr>
            </w:pPr>
          </w:p>
        </w:tc>
      </w:tr>
      <w:tr w:rsidR="00F842A7" w:rsidRPr="00F842A7" w14:paraId="4FE7B8D3" w14:textId="77777777" w:rsidTr="00F842A7">
        <w:tc>
          <w:tcPr>
            <w:tcW w:w="4145" w:type="pct"/>
            <w:shd w:val="clear" w:color="auto" w:fill="auto"/>
          </w:tcPr>
          <w:p w14:paraId="0EED72FE" w14:textId="77777777" w:rsidR="00F842A7" w:rsidRPr="00F842A7" w:rsidRDefault="00F842A7" w:rsidP="00F842A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has established apprenticeships and/or internships with academic and/or vocational institutes and private sector organisations operating in the sector that are accessible to youth and provide on-the-job practical trainings and increase employability.</w:t>
            </w:r>
          </w:p>
        </w:tc>
        <w:tc>
          <w:tcPr>
            <w:tcW w:w="213" w:type="pct"/>
            <w:vAlign w:val="center"/>
          </w:tcPr>
          <w:p w14:paraId="4661438E"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C696ACA"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33296CF"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16D04B5C"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r w:rsidR="00F842A7" w:rsidRPr="00F842A7" w14:paraId="724A7B5F" w14:textId="77777777" w:rsidTr="00F842A7">
        <w:tc>
          <w:tcPr>
            <w:tcW w:w="4145" w:type="pct"/>
            <w:shd w:val="clear" w:color="auto" w:fill="auto"/>
          </w:tcPr>
          <w:p w14:paraId="07AA5D88" w14:textId="77777777" w:rsidR="00F842A7" w:rsidRPr="00F842A7" w:rsidRDefault="00F842A7" w:rsidP="00F842A7">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 w:after="10" w:line="264" w:lineRule="auto"/>
              <w:ind w:left="360"/>
              <w:contextualSpacing/>
              <w:jc w:val="both"/>
              <w:rPr>
                <w:rFonts w:ascii="Noto Sans" w:eastAsia="Times New Roman" w:hAnsi="Noto Sans" w:cs="Noto Sans"/>
                <w:sz w:val="18"/>
                <w:szCs w:val="18"/>
                <w:bdr w:val="none" w:sz="0" w:space="0" w:color="auto"/>
                <w:lang w:val="en-GB"/>
              </w:rPr>
            </w:pPr>
            <w:r w:rsidRPr="00F842A7">
              <w:rPr>
                <w:rFonts w:ascii="Noto Sans" w:eastAsia="Times New Roman" w:hAnsi="Noto Sans" w:cs="Noto Sans"/>
                <w:sz w:val="18"/>
                <w:szCs w:val="18"/>
                <w:bdr w:val="none" w:sz="0" w:space="0" w:color="auto"/>
                <w:lang w:val="en-GB"/>
              </w:rPr>
              <w:t>The Partner supports and promotes a collaborative relationship with media in the interests of properly sensitising the public on the agenda at hand.</w:t>
            </w:r>
          </w:p>
        </w:tc>
        <w:tc>
          <w:tcPr>
            <w:tcW w:w="213" w:type="pct"/>
            <w:vAlign w:val="center"/>
          </w:tcPr>
          <w:p w14:paraId="2DD2ECF2"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FD8BEC8"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91BC159"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c>
          <w:tcPr>
            <w:tcW w:w="214" w:type="pct"/>
            <w:vAlign w:val="center"/>
          </w:tcPr>
          <w:p w14:paraId="08D519C6" w14:textId="77777777" w:rsidR="00F842A7" w:rsidRPr="00F842A7" w:rsidRDefault="00F842A7" w:rsidP="00F842A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14"/>
              </w:tabs>
              <w:spacing w:before="10" w:after="10"/>
              <w:jc w:val="center"/>
              <w:rPr>
                <w:rFonts w:ascii="Noto Sans" w:eastAsia="Times New Roman" w:hAnsi="Noto Sans" w:cs="Noto Sans"/>
                <w:sz w:val="18"/>
                <w:szCs w:val="18"/>
                <w:bdr w:val="none" w:sz="0" w:space="0" w:color="auto"/>
                <w:lang w:val="en-GB"/>
              </w:rPr>
            </w:pPr>
          </w:p>
        </w:tc>
      </w:tr>
    </w:tbl>
    <w:p w14:paraId="2E6BDF6D" w14:textId="77777777" w:rsidR="00F842A7" w:rsidRPr="00F842A7" w:rsidRDefault="00F842A7" w:rsidP="00F842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64" w:lineRule="auto"/>
        <w:jc w:val="both"/>
        <w:rPr>
          <w:rFonts w:ascii="Noto Sans" w:eastAsia="Calibri" w:hAnsi="Noto Sans" w:cs="Noto Sans"/>
          <w:sz w:val="18"/>
          <w:szCs w:val="18"/>
          <w:bdr w:val="none" w:sz="0" w:space="0" w:color="auto"/>
          <w:lang w:val="en-GB"/>
        </w:rPr>
      </w:pPr>
    </w:p>
    <w:p w14:paraId="231FA232" w14:textId="77777777" w:rsidR="00F842A7" w:rsidRPr="00F842A7" w:rsidRDefault="00F842A7" w:rsidP="00E27B3F">
      <w:pPr>
        <w:jc w:val="both"/>
        <w:rPr>
          <w:rFonts w:ascii="Noto Sans" w:hAnsi="Noto Sans" w:cs="Noto Sans"/>
          <w:iCs/>
          <w:lang w:val="en-GB"/>
        </w:rPr>
      </w:pPr>
    </w:p>
    <w:sectPr w:rsidR="00F842A7" w:rsidRPr="00F842A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71DA" w14:textId="77777777" w:rsidR="008D5F54" w:rsidRDefault="008D5F54">
      <w:r>
        <w:separator/>
      </w:r>
    </w:p>
  </w:endnote>
  <w:endnote w:type="continuationSeparator" w:id="0">
    <w:p w14:paraId="3DB96497" w14:textId="77777777" w:rsidR="008D5F54" w:rsidRDefault="008D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plomacy Office Bold">
    <w:panose1 w:val="000008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4000001F" w:usb2="08000029" w:usb3="00000000" w:csb0="00000001" w:csb1="00000000"/>
  </w:font>
  <w:font w:name="Noto Sans">
    <w:charset w:val="00"/>
    <w:family w:val="swiss"/>
    <w:pitch w:val="variable"/>
    <w:sig w:usb0="E00002FF" w:usb1="4000001F" w:usb2="08000029" w:usb3="00000000" w:csb0="00000001"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B04" w14:textId="77777777" w:rsidR="008A4DA4" w:rsidRDefault="008A4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oto Sans" w:hAnsi="Noto Sans" w:cs="Noto Sans"/>
        <w:sz w:val="24"/>
        <w:szCs w:val="24"/>
      </w:rPr>
      <w:id w:val="772678648"/>
      <w:docPartObj>
        <w:docPartGallery w:val="Page Numbers (Bottom of Page)"/>
        <w:docPartUnique/>
      </w:docPartObj>
    </w:sdtPr>
    <w:sdtEndPr>
      <w:rPr>
        <w:noProof/>
      </w:rPr>
    </w:sdtEndPr>
    <w:sdtContent>
      <w:p w14:paraId="321B1DF5" w14:textId="1DE0BCEC" w:rsidR="005E0CF4" w:rsidRPr="008A4DA4" w:rsidRDefault="005E0CF4">
        <w:pPr>
          <w:pStyle w:val="Footer"/>
          <w:jc w:val="right"/>
          <w:rPr>
            <w:rFonts w:ascii="Noto Sans" w:hAnsi="Noto Sans" w:cs="Noto Sans"/>
            <w:sz w:val="24"/>
            <w:szCs w:val="24"/>
          </w:rPr>
        </w:pPr>
        <w:r w:rsidRPr="008A4DA4">
          <w:rPr>
            <w:rFonts w:ascii="Noto Sans" w:hAnsi="Noto Sans" w:cs="Noto Sans"/>
            <w:sz w:val="24"/>
            <w:szCs w:val="24"/>
          </w:rPr>
          <w:fldChar w:fldCharType="begin"/>
        </w:r>
        <w:r w:rsidRPr="008A4DA4">
          <w:rPr>
            <w:rFonts w:ascii="Noto Sans" w:hAnsi="Noto Sans" w:cs="Noto Sans"/>
            <w:sz w:val="24"/>
            <w:szCs w:val="24"/>
          </w:rPr>
          <w:instrText xml:space="preserve"> PAGE   \* MERGEFORMAT </w:instrText>
        </w:r>
        <w:r w:rsidRPr="008A4DA4">
          <w:rPr>
            <w:rFonts w:ascii="Noto Sans" w:hAnsi="Noto Sans" w:cs="Noto Sans"/>
            <w:sz w:val="24"/>
            <w:szCs w:val="24"/>
          </w:rPr>
          <w:fldChar w:fldCharType="separate"/>
        </w:r>
        <w:r w:rsidRPr="008A4DA4">
          <w:rPr>
            <w:rFonts w:ascii="Noto Sans" w:hAnsi="Noto Sans" w:cs="Noto Sans"/>
            <w:noProof/>
            <w:sz w:val="24"/>
            <w:szCs w:val="24"/>
          </w:rPr>
          <w:t>2</w:t>
        </w:r>
        <w:r w:rsidRPr="008A4DA4">
          <w:rPr>
            <w:rFonts w:ascii="Noto Sans" w:hAnsi="Noto Sans" w:cs="Noto Sans"/>
            <w:noProof/>
            <w:sz w:val="24"/>
            <w:szCs w:val="24"/>
          </w:rPr>
          <w:fldChar w:fldCharType="end"/>
        </w:r>
      </w:p>
    </w:sdtContent>
  </w:sdt>
  <w:p w14:paraId="07316ABA" w14:textId="6FC9F724" w:rsidR="00C457B8" w:rsidRPr="00BB0AC2" w:rsidRDefault="00C457B8" w:rsidP="00D26E52">
    <w:pPr>
      <w:pStyle w:val="Footer"/>
      <w:jc w:val="center"/>
      <w:rPr>
        <w:rFonts w:ascii="Garamond" w:hAnsi="Garamond"/>
        <w:sz w:val="24"/>
        <w:szCs w:val="24"/>
      </w:rPr>
    </w:pPr>
  </w:p>
  <w:p w14:paraId="3B2CF88E" w14:textId="77777777" w:rsidR="00AA4E4E" w:rsidRDefault="00AA4E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1612" w14:textId="77777777" w:rsidR="008A4DA4" w:rsidRDefault="008A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8AAD" w14:textId="77777777" w:rsidR="008D5F54" w:rsidRDefault="008D5F54">
      <w:r>
        <w:separator/>
      </w:r>
    </w:p>
  </w:footnote>
  <w:footnote w:type="continuationSeparator" w:id="0">
    <w:p w14:paraId="334C7BDE" w14:textId="77777777" w:rsidR="008D5F54" w:rsidRDefault="008D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DA40" w14:textId="77777777" w:rsidR="008A4DA4" w:rsidRDefault="008A4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D755" w14:textId="77777777" w:rsidR="008A4DA4" w:rsidRDefault="008A4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9F77A" w14:textId="77777777" w:rsidR="008A4DA4" w:rsidRDefault="008A4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053D"/>
    <w:multiLevelType w:val="hybridMultilevel"/>
    <w:tmpl w:val="392EE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B4E7A"/>
    <w:multiLevelType w:val="hybridMultilevel"/>
    <w:tmpl w:val="392EE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84ED7"/>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AC4F7F"/>
    <w:multiLevelType w:val="hybridMultilevel"/>
    <w:tmpl w:val="3416BF3E"/>
    <w:lvl w:ilvl="0" w:tplc="C5CCD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25F6F"/>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471674"/>
    <w:multiLevelType w:val="multilevel"/>
    <w:tmpl w:val="123E1C6C"/>
    <w:styleLink w:val="List17"/>
    <w:lvl w:ilvl="0">
      <w:numFmt w:val="bullet"/>
      <w:lvlText w:val="•"/>
      <w:lvlJc w:val="left"/>
      <w:pPr>
        <w:tabs>
          <w:tab w:val="num" w:pos="720"/>
        </w:tabs>
        <w:ind w:left="720" w:hanging="360"/>
      </w:pPr>
      <w:rPr>
        <w:rFonts w:ascii="Trebuchet MS" w:eastAsia="Trebuchet MS" w:hAnsi="Trebuchet MS" w:cs="Trebuchet MS"/>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i/>
        <w:iC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 w15:restartNumberingAfterBreak="0">
    <w:nsid w:val="245F02E4"/>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A6DA0"/>
    <w:multiLevelType w:val="hybridMultilevel"/>
    <w:tmpl w:val="392EE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A4B9D"/>
    <w:multiLevelType w:val="multilevel"/>
    <w:tmpl w:val="00062C8C"/>
    <w:styleLink w:val="List20"/>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9" w15:restartNumberingAfterBreak="0">
    <w:nsid w:val="2FBF6BB5"/>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9D5E82"/>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7B3AB1"/>
    <w:multiLevelType w:val="hybridMultilevel"/>
    <w:tmpl w:val="392EE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861911"/>
    <w:multiLevelType w:val="hybridMultilevel"/>
    <w:tmpl w:val="392EE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2B32F3"/>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3622FD"/>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AC483B"/>
    <w:multiLevelType w:val="hybridMultilevel"/>
    <w:tmpl w:val="392EE2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893A3D"/>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32109A"/>
    <w:multiLevelType w:val="multilevel"/>
    <w:tmpl w:val="1B166B40"/>
    <w:styleLink w:val="List211"/>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8" w15:restartNumberingAfterBreak="0">
    <w:nsid w:val="4C6F79BD"/>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50296E"/>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3467A5"/>
    <w:multiLevelType w:val="multilevel"/>
    <w:tmpl w:val="DB5A8B48"/>
    <w:lvl w:ilvl="0">
      <w:start w:val="1"/>
      <w:numFmt w:val="decimal"/>
      <w:lvlText w:val="%1."/>
      <w:lvlJc w:val="left"/>
      <w:rPr>
        <w:position w:val="0"/>
        <w:rtl w:val="0"/>
      </w:rPr>
    </w:lvl>
    <w:lvl w:ilvl="1">
      <w:start w:val="1"/>
      <w:numFmt w:val="decimal"/>
      <w:pStyle w:val="Heading2"/>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21" w15:restartNumberingAfterBreak="0">
    <w:nsid w:val="5386080D"/>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EB2E95"/>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2333DF"/>
    <w:multiLevelType w:val="hybridMultilevel"/>
    <w:tmpl w:val="37807BA0"/>
    <w:lvl w:ilvl="0" w:tplc="FFFFFFFF">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A3278B"/>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F30B0C"/>
    <w:multiLevelType w:val="hybridMultilevel"/>
    <w:tmpl w:val="D4624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D43652"/>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B97043"/>
    <w:multiLevelType w:val="hybridMultilevel"/>
    <w:tmpl w:val="D4624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4A1E20"/>
    <w:multiLevelType w:val="hybridMultilevel"/>
    <w:tmpl w:val="ECFC1F8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8"/>
  </w:num>
  <w:num w:numId="3">
    <w:abstractNumId w:val="17"/>
  </w:num>
  <w:num w:numId="4">
    <w:abstractNumId w:val="5"/>
  </w:num>
  <w:num w:numId="5">
    <w:abstractNumId w:val="28"/>
  </w:num>
  <w:num w:numId="6">
    <w:abstractNumId w:val="3"/>
  </w:num>
  <w:num w:numId="7">
    <w:abstractNumId w:val="23"/>
  </w:num>
  <w:num w:numId="8">
    <w:abstractNumId w:val="25"/>
  </w:num>
  <w:num w:numId="9">
    <w:abstractNumId w:val="24"/>
  </w:num>
  <w:num w:numId="10">
    <w:abstractNumId w:val="9"/>
  </w:num>
  <w:num w:numId="11">
    <w:abstractNumId w:val="27"/>
  </w:num>
  <w:num w:numId="12">
    <w:abstractNumId w:val="26"/>
  </w:num>
  <w:num w:numId="13">
    <w:abstractNumId w:val="10"/>
  </w:num>
  <w:num w:numId="14">
    <w:abstractNumId w:val="22"/>
  </w:num>
  <w:num w:numId="15">
    <w:abstractNumId w:val="2"/>
  </w:num>
  <w:num w:numId="16">
    <w:abstractNumId w:val="19"/>
  </w:num>
  <w:num w:numId="17">
    <w:abstractNumId w:val="18"/>
  </w:num>
  <w:num w:numId="18">
    <w:abstractNumId w:val="21"/>
  </w:num>
  <w:num w:numId="19">
    <w:abstractNumId w:val="14"/>
  </w:num>
  <w:num w:numId="20">
    <w:abstractNumId w:val="6"/>
  </w:num>
  <w:num w:numId="21">
    <w:abstractNumId w:val="4"/>
  </w:num>
  <w:num w:numId="22">
    <w:abstractNumId w:val="16"/>
  </w:num>
  <w:num w:numId="23">
    <w:abstractNumId w:val="0"/>
  </w:num>
  <w:num w:numId="24">
    <w:abstractNumId w:val="7"/>
  </w:num>
  <w:num w:numId="25">
    <w:abstractNumId w:val="1"/>
  </w:num>
  <w:num w:numId="26">
    <w:abstractNumId w:val="12"/>
  </w:num>
  <w:num w:numId="27">
    <w:abstractNumId w:val="15"/>
  </w:num>
  <w:num w:numId="28">
    <w:abstractNumId w:val="11"/>
  </w:num>
  <w:num w:numId="29">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A53"/>
    <w:rsid w:val="0000042D"/>
    <w:rsid w:val="0001133B"/>
    <w:rsid w:val="00054ECA"/>
    <w:rsid w:val="00055EF8"/>
    <w:rsid w:val="00070CB2"/>
    <w:rsid w:val="00087881"/>
    <w:rsid w:val="00087E2D"/>
    <w:rsid w:val="00092C2B"/>
    <w:rsid w:val="000B4B72"/>
    <w:rsid w:val="000B5C31"/>
    <w:rsid w:val="000C195B"/>
    <w:rsid w:val="000D1676"/>
    <w:rsid w:val="000E4712"/>
    <w:rsid w:val="000E4D39"/>
    <w:rsid w:val="000F25E1"/>
    <w:rsid w:val="00110171"/>
    <w:rsid w:val="00112612"/>
    <w:rsid w:val="001223EF"/>
    <w:rsid w:val="00134FDD"/>
    <w:rsid w:val="0016403C"/>
    <w:rsid w:val="001761B8"/>
    <w:rsid w:val="00176BD4"/>
    <w:rsid w:val="00186FFE"/>
    <w:rsid w:val="001977A0"/>
    <w:rsid w:val="001C2E66"/>
    <w:rsid w:val="001C5B34"/>
    <w:rsid w:val="0020022E"/>
    <w:rsid w:val="002021C5"/>
    <w:rsid w:val="002044B8"/>
    <w:rsid w:val="00247435"/>
    <w:rsid w:val="00284486"/>
    <w:rsid w:val="002A1086"/>
    <w:rsid w:val="002A52E9"/>
    <w:rsid w:val="00311336"/>
    <w:rsid w:val="003A59D5"/>
    <w:rsid w:val="003B6A40"/>
    <w:rsid w:val="003C7389"/>
    <w:rsid w:val="003F1C13"/>
    <w:rsid w:val="004055B7"/>
    <w:rsid w:val="004110F4"/>
    <w:rsid w:val="00431C29"/>
    <w:rsid w:val="00437B32"/>
    <w:rsid w:val="00442090"/>
    <w:rsid w:val="004514C6"/>
    <w:rsid w:val="004723CD"/>
    <w:rsid w:val="0049444F"/>
    <w:rsid w:val="004C5B51"/>
    <w:rsid w:val="004D7B54"/>
    <w:rsid w:val="004F1B68"/>
    <w:rsid w:val="004F3B30"/>
    <w:rsid w:val="005125F0"/>
    <w:rsid w:val="00515002"/>
    <w:rsid w:val="00531E28"/>
    <w:rsid w:val="00536EF0"/>
    <w:rsid w:val="005443FA"/>
    <w:rsid w:val="005609A7"/>
    <w:rsid w:val="0059534F"/>
    <w:rsid w:val="005B5752"/>
    <w:rsid w:val="005B779D"/>
    <w:rsid w:val="005C06ED"/>
    <w:rsid w:val="005E0CF4"/>
    <w:rsid w:val="005E62B2"/>
    <w:rsid w:val="00606AB4"/>
    <w:rsid w:val="00656166"/>
    <w:rsid w:val="00666DC5"/>
    <w:rsid w:val="00675D77"/>
    <w:rsid w:val="006B4216"/>
    <w:rsid w:val="006F03FF"/>
    <w:rsid w:val="006F14E3"/>
    <w:rsid w:val="0070634B"/>
    <w:rsid w:val="007250BB"/>
    <w:rsid w:val="00735C84"/>
    <w:rsid w:val="00757AEB"/>
    <w:rsid w:val="00764978"/>
    <w:rsid w:val="00771168"/>
    <w:rsid w:val="00792270"/>
    <w:rsid w:val="007A2739"/>
    <w:rsid w:val="007D2987"/>
    <w:rsid w:val="007D74D4"/>
    <w:rsid w:val="007E5273"/>
    <w:rsid w:val="00801A1E"/>
    <w:rsid w:val="00813C4A"/>
    <w:rsid w:val="00840878"/>
    <w:rsid w:val="00840F92"/>
    <w:rsid w:val="00851E62"/>
    <w:rsid w:val="00853247"/>
    <w:rsid w:val="00884085"/>
    <w:rsid w:val="00894C82"/>
    <w:rsid w:val="008A4DA4"/>
    <w:rsid w:val="008C6351"/>
    <w:rsid w:val="008D5F54"/>
    <w:rsid w:val="008E1CAD"/>
    <w:rsid w:val="008F26A9"/>
    <w:rsid w:val="00900FB7"/>
    <w:rsid w:val="0091142D"/>
    <w:rsid w:val="00925BDD"/>
    <w:rsid w:val="00966170"/>
    <w:rsid w:val="0098773D"/>
    <w:rsid w:val="009A63A3"/>
    <w:rsid w:val="009C44F9"/>
    <w:rsid w:val="00A07219"/>
    <w:rsid w:val="00A13C15"/>
    <w:rsid w:val="00A20C73"/>
    <w:rsid w:val="00A30CEA"/>
    <w:rsid w:val="00A62EAE"/>
    <w:rsid w:val="00A7406D"/>
    <w:rsid w:val="00A905F9"/>
    <w:rsid w:val="00A9244D"/>
    <w:rsid w:val="00AA4E4E"/>
    <w:rsid w:val="00AB236E"/>
    <w:rsid w:val="00AC1C47"/>
    <w:rsid w:val="00AE1FB9"/>
    <w:rsid w:val="00B01329"/>
    <w:rsid w:val="00B019AF"/>
    <w:rsid w:val="00B13FEC"/>
    <w:rsid w:val="00B14454"/>
    <w:rsid w:val="00B21403"/>
    <w:rsid w:val="00B31256"/>
    <w:rsid w:val="00B40526"/>
    <w:rsid w:val="00B54251"/>
    <w:rsid w:val="00B9017C"/>
    <w:rsid w:val="00BA2E1E"/>
    <w:rsid w:val="00BA61B5"/>
    <w:rsid w:val="00BF571A"/>
    <w:rsid w:val="00C07871"/>
    <w:rsid w:val="00C2389C"/>
    <w:rsid w:val="00C3380A"/>
    <w:rsid w:val="00C457B8"/>
    <w:rsid w:val="00C516A4"/>
    <w:rsid w:val="00C52FA7"/>
    <w:rsid w:val="00C55C24"/>
    <w:rsid w:val="00C7523F"/>
    <w:rsid w:val="00C817F3"/>
    <w:rsid w:val="00CB5212"/>
    <w:rsid w:val="00CB7510"/>
    <w:rsid w:val="00CC5C63"/>
    <w:rsid w:val="00CD2FAA"/>
    <w:rsid w:val="00CD5BEC"/>
    <w:rsid w:val="00CE0AF7"/>
    <w:rsid w:val="00CE38A6"/>
    <w:rsid w:val="00CF29ED"/>
    <w:rsid w:val="00D02AED"/>
    <w:rsid w:val="00D03913"/>
    <w:rsid w:val="00D155A1"/>
    <w:rsid w:val="00D307CB"/>
    <w:rsid w:val="00D35681"/>
    <w:rsid w:val="00D44E8B"/>
    <w:rsid w:val="00D556BD"/>
    <w:rsid w:val="00D60993"/>
    <w:rsid w:val="00D85492"/>
    <w:rsid w:val="00D93BEB"/>
    <w:rsid w:val="00DB26B7"/>
    <w:rsid w:val="00DB4C10"/>
    <w:rsid w:val="00DC0263"/>
    <w:rsid w:val="00DF2BC6"/>
    <w:rsid w:val="00DF6A53"/>
    <w:rsid w:val="00E0019D"/>
    <w:rsid w:val="00E07AD6"/>
    <w:rsid w:val="00E26E64"/>
    <w:rsid w:val="00E27B3F"/>
    <w:rsid w:val="00E546EC"/>
    <w:rsid w:val="00E565F6"/>
    <w:rsid w:val="00E72A46"/>
    <w:rsid w:val="00EE6600"/>
    <w:rsid w:val="00EF46EC"/>
    <w:rsid w:val="00F25366"/>
    <w:rsid w:val="00F309C5"/>
    <w:rsid w:val="00F73F6E"/>
    <w:rsid w:val="00F842A7"/>
    <w:rsid w:val="00F85757"/>
    <w:rsid w:val="00F85A2A"/>
    <w:rsid w:val="00F905D1"/>
    <w:rsid w:val="00F959AF"/>
    <w:rsid w:val="00FB53AB"/>
    <w:rsid w:val="00FC0D82"/>
    <w:rsid w:val="00FD32C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C45A5"/>
  <w15:docId w15:val="{63D977ED-044B-4B29-9BE0-6A204CE0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6A5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F842A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6A53"/>
    <w:pPr>
      <w:keepNext/>
      <w:keepLines/>
      <w:numPr>
        <w:ilvl w:val="1"/>
        <w:numId w:val="1"/>
      </w:numPr>
      <w:spacing w:before="200" w:line="276" w:lineRule="auto"/>
      <w:outlineLvl w:val="1"/>
    </w:pPr>
    <w:rPr>
      <w:rFonts w:ascii="Garamond" w:eastAsia="Cambria" w:hAnsi="Garamond" w:cs="Cambria"/>
      <w:b/>
      <w:bCs/>
      <w:color w:val="000000"/>
      <w:u w:color="000000"/>
      <w:lang w:eastAsia="en-GB"/>
    </w:rPr>
  </w:style>
  <w:style w:type="paragraph" w:styleId="Heading4">
    <w:name w:val="heading 4"/>
    <w:basedOn w:val="Normal"/>
    <w:next w:val="Normal"/>
    <w:link w:val="Heading4Char"/>
    <w:uiPriority w:val="9"/>
    <w:semiHidden/>
    <w:unhideWhenUsed/>
    <w:qFormat/>
    <w:rsid w:val="002A52E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A53"/>
    <w:rPr>
      <w:rFonts w:ascii="Garamond" w:eastAsia="Cambria" w:hAnsi="Garamond" w:cs="Cambria"/>
      <w:b/>
      <w:bCs/>
      <w:color w:val="000000"/>
      <w:sz w:val="24"/>
      <w:szCs w:val="24"/>
      <w:u w:color="000000"/>
      <w:bdr w:val="nil"/>
      <w:lang w:val="en-US" w:eastAsia="en-GB"/>
    </w:rPr>
  </w:style>
  <w:style w:type="paragraph" w:customStyle="1" w:styleId="Brdtekst1">
    <w:name w:val="Brødtekst1"/>
    <w:rsid w:val="00DF6A53"/>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paragraph" w:styleId="Footer">
    <w:name w:val="footer"/>
    <w:link w:val="FooterChar"/>
    <w:uiPriority w:val="99"/>
    <w:rsid w:val="00DF6A53"/>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sz w:val="22"/>
      <w:szCs w:val="22"/>
      <w:u w:color="000000"/>
      <w:bdr w:val="nil"/>
      <w:lang w:val="en-US" w:eastAsia="en-GB"/>
    </w:rPr>
  </w:style>
  <w:style w:type="character" w:customStyle="1" w:styleId="FooterChar">
    <w:name w:val="Footer Char"/>
    <w:basedOn w:val="DefaultParagraphFont"/>
    <w:link w:val="Footer"/>
    <w:uiPriority w:val="99"/>
    <w:rsid w:val="00DF6A53"/>
    <w:rPr>
      <w:rFonts w:ascii="Calibri" w:eastAsia="Calibri" w:hAnsi="Calibri" w:cs="Calibri"/>
      <w:color w:val="000000"/>
      <w:sz w:val="22"/>
      <w:szCs w:val="22"/>
      <w:u w:color="000000"/>
      <w:bdr w:val="nil"/>
      <w:lang w:val="en-US" w:eastAsia="en-GB"/>
    </w:rPr>
  </w:style>
  <w:style w:type="paragraph" w:styleId="ListParagraph">
    <w:name w:val="List Paragraph"/>
    <w:uiPriority w:val="34"/>
    <w:qFormat/>
    <w:rsid w:val="00DF6A53"/>
    <w:pPr>
      <w:pBdr>
        <w:top w:val="nil"/>
        <w:left w:val="nil"/>
        <w:bottom w:val="nil"/>
        <w:right w:val="nil"/>
        <w:between w:val="nil"/>
        <w:bar w:val="nil"/>
      </w:pBdr>
      <w:ind w:left="720"/>
    </w:pPr>
    <w:rPr>
      <w:rFonts w:ascii="Calibri" w:eastAsia="Calibri" w:hAnsi="Calibri" w:cs="Calibri"/>
      <w:color w:val="000000"/>
      <w:sz w:val="22"/>
      <w:szCs w:val="22"/>
      <w:u w:color="000000"/>
      <w:bdr w:val="nil"/>
      <w:lang w:val="en-US" w:eastAsia="en-GB"/>
    </w:rPr>
  </w:style>
  <w:style w:type="numbering" w:customStyle="1" w:styleId="List17">
    <w:name w:val="List 17"/>
    <w:basedOn w:val="NoList"/>
    <w:rsid w:val="00DF6A53"/>
    <w:pPr>
      <w:numPr>
        <w:numId w:val="4"/>
      </w:numPr>
    </w:pPr>
  </w:style>
  <w:style w:type="numbering" w:customStyle="1" w:styleId="List20">
    <w:name w:val="List 20"/>
    <w:basedOn w:val="NoList"/>
    <w:rsid w:val="00DF6A53"/>
    <w:pPr>
      <w:numPr>
        <w:numId w:val="2"/>
      </w:numPr>
    </w:pPr>
  </w:style>
  <w:style w:type="numbering" w:customStyle="1" w:styleId="List211">
    <w:name w:val="List 211"/>
    <w:basedOn w:val="NoList"/>
    <w:rsid w:val="00DF6A53"/>
    <w:pPr>
      <w:numPr>
        <w:numId w:val="3"/>
      </w:numPr>
    </w:pPr>
  </w:style>
  <w:style w:type="paragraph" w:styleId="NoSpacing">
    <w:name w:val="No Spacing"/>
    <w:uiPriority w:val="1"/>
    <w:qFormat/>
    <w:rsid w:val="00DF6A53"/>
    <w:pPr>
      <w:pBdr>
        <w:top w:val="nil"/>
        <w:left w:val="nil"/>
        <w:bottom w:val="nil"/>
        <w:right w:val="nil"/>
        <w:between w:val="nil"/>
        <w:bar w:val="nil"/>
      </w:pBdr>
      <w:spacing w:after="0" w:line="240" w:lineRule="auto"/>
    </w:pPr>
    <w:rPr>
      <w:rFonts w:asciiTheme="majorHAnsi" w:eastAsia="Arial Unicode MS" w:hAnsiTheme="majorHAnsi" w:cs="Times New Roman"/>
      <w:sz w:val="24"/>
      <w:szCs w:val="24"/>
      <w:bdr w:val="nil"/>
      <w:lang w:val="en-US"/>
    </w:rPr>
  </w:style>
  <w:style w:type="table" w:styleId="TableGrid">
    <w:name w:val="Table Grid"/>
    <w:basedOn w:val="TableNormal"/>
    <w:uiPriority w:val="39"/>
    <w:rsid w:val="00DF6A53"/>
    <w:pPr>
      <w:pBdr>
        <w:top w:val="nil"/>
        <w:left w:val="nil"/>
        <w:bottom w:val="nil"/>
        <w:right w:val="nil"/>
        <w:between w:val="nil"/>
        <w:bar w:val="nil"/>
      </w:pBdr>
      <w:spacing w:after="0" w:line="240" w:lineRule="auto"/>
    </w:pPr>
    <w:rPr>
      <w:rFonts w:ascii="Times New Roman" w:eastAsia="Arial Unicode MS" w:hAnsi="Times New Roman" w:cs="Times New Roman"/>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A53"/>
    <w:pPr>
      <w:tabs>
        <w:tab w:val="center" w:pos="4819"/>
        <w:tab w:val="right" w:pos="9638"/>
      </w:tabs>
    </w:pPr>
  </w:style>
  <w:style w:type="character" w:customStyle="1" w:styleId="HeaderChar">
    <w:name w:val="Header Char"/>
    <w:basedOn w:val="DefaultParagraphFont"/>
    <w:link w:val="Header"/>
    <w:uiPriority w:val="99"/>
    <w:rsid w:val="00DF6A53"/>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284486"/>
    <w:rPr>
      <w:rFonts w:ascii="Tahoma" w:hAnsi="Tahoma" w:cs="Tahoma"/>
      <w:sz w:val="16"/>
      <w:szCs w:val="16"/>
    </w:rPr>
  </w:style>
  <w:style w:type="character" w:customStyle="1" w:styleId="BalloonTextChar">
    <w:name w:val="Balloon Text Char"/>
    <w:basedOn w:val="DefaultParagraphFont"/>
    <w:link w:val="BalloonText"/>
    <w:uiPriority w:val="99"/>
    <w:semiHidden/>
    <w:rsid w:val="00284486"/>
    <w:rPr>
      <w:rFonts w:ascii="Tahoma" w:eastAsia="Arial Unicode MS" w:hAnsi="Tahoma" w:cs="Tahoma"/>
      <w:sz w:val="16"/>
      <w:szCs w:val="16"/>
      <w:bdr w:val="nil"/>
      <w:lang w:val="en-US"/>
    </w:rPr>
  </w:style>
  <w:style w:type="character" w:styleId="CommentReference">
    <w:name w:val="annotation reference"/>
    <w:basedOn w:val="DefaultParagraphFont"/>
    <w:uiPriority w:val="99"/>
    <w:semiHidden/>
    <w:unhideWhenUsed/>
    <w:rsid w:val="000E4712"/>
    <w:rPr>
      <w:sz w:val="16"/>
      <w:szCs w:val="16"/>
    </w:rPr>
  </w:style>
  <w:style w:type="paragraph" w:styleId="CommentText">
    <w:name w:val="annotation text"/>
    <w:basedOn w:val="Normal"/>
    <w:link w:val="CommentTextChar"/>
    <w:uiPriority w:val="99"/>
    <w:unhideWhenUsed/>
    <w:rsid w:val="000E4712"/>
    <w:rPr>
      <w:sz w:val="20"/>
      <w:szCs w:val="20"/>
    </w:rPr>
  </w:style>
  <w:style w:type="character" w:customStyle="1" w:styleId="CommentTextChar">
    <w:name w:val="Comment Text Char"/>
    <w:basedOn w:val="DefaultParagraphFont"/>
    <w:link w:val="CommentText"/>
    <w:uiPriority w:val="99"/>
    <w:rsid w:val="000E4712"/>
    <w:rPr>
      <w:rFonts w:ascii="Times New Roman" w:eastAsia="Arial Unicode MS" w:hAnsi="Times New Roman" w:cs="Times New Roman"/>
      <w:bdr w:val="nil"/>
      <w:lang w:val="en-US"/>
    </w:rPr>
  </w:style>
  <w:style w:type="paragraph" w:styleId="CommentSubject">
    <w:name w:val="annotation subject"/>
    <w:basedOn w:val="CommentText"/>
    <w:next w:val="CommentText"/>
    <w:link w:val="CommentSubjectChar"/>
    <w:uiPriority w:val="99"/>
    <w:semiHidden/>
    <w:unhideWhenUsed/>
    <w:rsid w:val="000E4712"/>
    <w:rPr>
      <w:b/>
      <w:bCs/>
    </w:rPr>
  </w:style>
  <w:style w:type="character" w:customStyle="1" w:styleId="CommentSubjectChar">
    <w:name w:val="Comment Subject Char"/>
    <w:basedOn w:val="CommentTextChar"/>
    <w:link w:val="CommentSubject"/>
    <w:uiPriority w:val="99"/>
    <w:semiHidden/>
    <w:rsid w:val="000E4712"/>
    <w:rPr>
      <w:rFonts w:ascii="Times New Roman" w:eastAsia="Arial Unicode MS" w:hAnsi="Times New Roman" w:cs="Times New Roman"/>
      <w:b/>
      <w:bCs/>
      <w:bdr w:val="nil"/>
      <w:lang w:val="en-US"/>
    </w:rPr>
  </w:style>
  <w:style w:type="paragraph" w:styleId="FootnoteText">
    <w:name w:val="footnote text"/>
    <w:basedOn w:val="Normal"/>
    <w:link w:val="FootnoteTextChar"/>
    <w:semiHidden/>
    <w:unhideWhenUsed/>
    <w:rsid w:val="007D74D4"/>
    <w:rPr>
      <w:sz w:val="20"/>
      <w:szCs w:val="20"/>
    </w:rPr>
  </w:style>
  <w:style w:type="character" w:customStyle="1" w:styleId="FootnoteTextChar">
    <w:name w:val="Footnote Text Char"/>
    <w:basedOn w:val="DefaultParagraphFont"/>
    <w:link w:val="FootnoteText"/>
    <w:semiHidden/>
    <w:rsid w:val="007D74D4"/>
    <w:rPr>
      <w:rFonts w:ascii="Times New Roman" w:eastAsia="Arial Unicode MS" w:hAnsi="Times New Roman" w:cs="Times New Roman"/>
      <w:bdr w:val="nil"/>
      <w:lang w:val="en-US"/>
    </w:rPr>
  </w:style>
  <w:style w:type="character" w:styleId="FootnoteReference">
    <w:name w:val="footnote reference"/>
    <w:basedOn w:val="DefaultParagraphFont"/>
    <w:semiHidden/>
    <w:unhideWhenUsed/>
    <w:rsid w:val="007D74D4"/>
    <w:rPr>
      <w:vertAlign w:val="superscript"/>
    </w:rPr>
  </w:style>
  <w:style w:type="character" w:styleId="Emphasis">
    <w:name w:val="Emphasis"/>
    <w:basedOn w:val="DefaultParagraphFont"/>
    <w:uiPriority w:val="20"/>
    <w:qFormat/>
    <w:rsid w:val="004D7B54"/>
    <w:rPr>
      <w:b/>
      <w:bCs/>
      <w:i w:val="0"/>
      <w:iCs w:val="0"/>
    </w:rPr>
  </w:style>
  <w:style w:type="character" w:customStyle="1" w:styleId="st1">
    <w:name w:val="st1"/>
    <w:basedOn w:val="DefaultParagraphFont"/>
    <w:rsid w:val="004D7B54"/>
  </w:style>
  <w:style w:type="character" w:customStyle="1" w:styleId="Heading4Char">
    <w:name w:val="Heading 4 Char"/>
    <w:basedOn w:val="DefaultParagraphFont"/>
    <w:link w:val="Heading4"/>
    <w:uiPriority w:val="9"/>
    <w:semiHidden/>
    <w:rsid w:val="002A52E9"/>
    <w:rPr>
      <w:rFonts w:asciiTheme="majorHAnsi" w:eastAsiaTheme="majorEastAsia" w:hAnsiTheme="majorHAnsi" w:cstheme="majorBidi"/>
      <w:i/>
      <w:iCs/>
      <w:color w:val="365F91" w:themeColor="accent1" w:themeShade="BF"/>
      <w:sz w:val="24"/>
      <w:szCs w:val="24"/>
      <w:bdr w:val="nil"/>
      <w:lang w:val="en-US"/>
    </w:rPr>
  </w:style>
  <w:style w:type="paragraph" w:customStyle="1" w:styleId="Forsidetitel">
    <w:name w:val="Forsidetitel"/>
    <w:basedOn w:val="Normal"/>
    <w:next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1080" w:lineRule="exact"/>
      <w:jc w:val="right"/>
    </w:pPr>
    <w:rPr>
      <w:rFonts w:ascii="Diplomacy Office Bold" w:eastAsiaTheme="minorHAnsi" w:hAnsi="Diplomacy Office Bold" w:cs="Segoe UI"/>
      <w:caps/>
      <w:color w:val="C0504D" w:themeColor="accent2"/>
      <w:sz w:val="100"/>
      <w:szCs w:val="100"/>
      <w:bdr w:val="none" w:sz="0" w:space="0" w:color="auto"/>
      <w:lang w:val="da-DK"/>
    </w:rPr>
  </w:style>
  <w:style w:type="paragraph" w:customStyle="1" w:styleId="Udarbejdet">
    <w:name w:val="Udarbejdet"/>
    <w:basedOn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Noto Serif" w:eastAsiaTheme="minorHAnsi" w:hAnsi="Noto Serif" w:cs="Segoe UI"/>
      <w:i/>
      <w:szCs w:val="20"/>
      <w:bdr w:val="none" w:sz="0" w:space="0" w:color="auto"/>
      <w:lang w:val="da-DK"/>
    </w:rPr>
  </w:style>
  <w:style w:type="paragraph" w:customStyle="1" w:styleId="Forsidedato">
    <w:name w:val="Forsidedato"/>
    <w:basedOn w:val="Normal"/>
    <w:next w:val="Normal"/>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jc w:val="right"/>
    </w:pPr>
    <w:rPr>
      <w:rFonts w:ascii="Diplomacy Office Bold" w:eastAsiaTheme="minorHAnsi" w:hAnsi="Diplomacy Office Bold" w:cs="Segoe UI"/>
      <w:color w:val="C0504D" w:themeColor="accent2"/>
      <w:sz w:val="18"/>
      <w:szCs w:val="20"/>
      <w:bdr w:val="none" w:sz="0" w:space="0" w:color="auto"/>
      <w:lang w:val="da-DK"/>
    </w:rPr>
  </w:style>
  <w:style w:type="paragraph" w:customStyle="1" w:styleId="Billedfelt">
    <w:name w:val="Billedfelt"/>
    <w:basedOn w:val="Normal"/>
    <w:uiPriority w:val="3"/>
    <w:semiHidden/>
    <w:qFormat/>
    <w:rsid w:val="00087E2D"/>
    <w:pPr>
      <w:pBdr>
        <w:top w:val="none" w:sz="0" w:space="0" w:color="auto"/>
        <w:left w:val="none" w:sz="0" w:space="0" w:color="auto"/>
        <w:bottom w:val="none" w:sz="0" w:space="0" w:color="auto"/>
        <w:right w:val="none" w:sz="0" w:space="0" w:color="auto"/>
        <w:between w:val="none" w:sz="0" w:space="0" w:color="auto"/>
        <w:bar w:val="none" w:sz="0" w:color="auto"/>
      </w:pBdr>
    </w:pPr>
    <w:rPr>
      <w:rFonts w:ascii="Noto Sans" w:eastAsiaTheme="minorHAnsi" w:hAnsi="Noto Sans" w:cs="Segoe UI"/>
      <w:sz w:val="18"/>
      <w:szCs w:val="20"/>
      <w:bdr w:val="none" w:sz="0" w:space="0" w:color="auto"/>
      <w:lang w:val="da-DK"/>
    </w:rPr>
  </w:style>
  <w:style w:type="table" w:customStyle="1" w:styleId="Tabel-Gitter1">
    <w:name w:val="Tabel - Gitter1"/>
    <w:basedOn w:val="TableNormal"/>
    <w:next w:val="TableGrid"/>
    <w:uiPriority w:val="39"/>
    <w:rsid w:val="00F842A7"/>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42A7"/>
    <w:rPr>
      <w:rFonts w:asciiTheme="majorHAnsi" w:eastAsiaTheme="majorEastAsia" w:hAnsiTheme="majorHAnsi" w:cstheme="majorBidi"/>
      <w:color w:val="365F91" w:themeColor="accent1" w:themeShade="BF"/>
      <w:sz w:val="32"/>
      <w:szCs w:val="32"/>
      <w:bdr w:val="nil"/>
      <w:lang w:val="en-US"/>
    </w:rPr>
  </w:style>
  <w:style w:type="table" w:customStyle="1" w:styleId="Tabel-Gitter2">
    <w:name w:val="Tabel - Gitter2"/>
    <w:basedOn w:val="TableNormal"/>
    <w:next w:val="TableGrid"/>
    <w:uiPriority w:val="39"/>
    <w:rsid w:val="00F842A7"/>
    <w:pPr>
      <w:spacing w:after="0" w:line="240" w:lineRule="auto"/>
    </w:pPr>
    <w:rPr>
      <w:rFonts w:ascii="Calibri" w:eastAsia="Times New Roman"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F842A7"/>
    <w:rPr>
      <w:color w:val="0563C1"/>
      <w:u w:val="single"/>
    </w:rPr>
  </w:style>
  <w:style w:type="character" w:styleId="Hyperlink">
    <w:name w:val="Hyperlink"/>
    <w:basedOn w:val="DefaultParagraphFont"/>
    <w:uiPriority w:val="99"/>
    <w:semiHidden/>
    <w:unhideWhenUsed/>
    <w:rsid w:val="00F842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6E14E-02A1-49C6-9D3F-4424ED92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2118</Words>
  <Characters>12079</Characters>
  <Application>Microsoft Office Word</Application>
  <DocSecurity>4</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Marie Arvid Larsen</dc:creator>
  <cp:lastModifiedBy>Ninna Katrine Holm Sanden</cp:lastModifiedBy>
  <cp:revision>2</cp:revision>
  <dcterms:created xsi:type="dcterms:W3CDTF">2025-08-18T11:59:00Z</dcterms:created>
  <dcterms:modified xsi:type="dcterms:W3CDTF">2025-08-18T11:59:00Z</dcterms:modified>
</cp:coreProperties>
</file>