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AF" w:rsidRDefault="002D7AAF" w:rsidP="003E6C07">
      <w:pPr>
        <w:rPr>
          <w:b/>
        </w:rPr>
      </w:pPr>
      <w:bookmarkStart w:id="0" w:name="_GoBack"/>
      <w:bookmarkEnd w:id="0"/>
    </w:p>
    <w:p w:rsidR="003E6C07" w:rsidRDefault="003E6C07" w:rsidP="003E6C07">
      <w:r w:rsidRPr="00092FFF">
        <w:rPr>
          <w:b/>
        </w:rPr>
        <w:t>Contextual risks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418"/>
        <w:gridCol w:w="1276"/>
        <w:gridCol w:w="1559"/>
        <w:gridCol w:w="2977"/>
      </w:tblGrid>
      <w:tr w:rsidR="003E6C07" w:rsidTr="000F1092">
        <w:tc>
          <w:tcPr>
            <w:tcW w:w="1809" w:type="dxa"/>
          </w:tcPr>
          <w:p w:rsidR="003E6C07" w:rsidRPr="009327E3" w:rsidRDefault="003E6C07" w:rsidP="000F1092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Risk Factor</w:t>
            </w:r>
          </w:p>
        </w:tc>
        <w:tc>
          <w:tcPr>
            <w:tcW w:w="1418" w:type="dxa"/>
          </w:tcPr>
          <w:p w:rsidR="003E6C07" w:rsidRPr="009327E3" w:rsidRDefault="003E6C07" w:rsidP="000F1092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Likelihood</w:t>
            </w:r>
          </w:p>
        </w:tc>
        <w:tc>
          <w:tcPr>
            <w:tcW w:w="1276" w:type="dxa"/>
          </w:tcPr>
          <w:p w:rsidR="003E6C07" w:rsidRPr="009327E3" w:rsidRDefault="003E6C07" w:rsidP="000F1092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Impact</w:t>
            </w:r>
          </w:p>
        </w:tc>
        <w:tc>
          <w:tcPr>
            <w:tcW w:w="1559" w:type="dxa"/>
          </w:tcPr>
          <w:p w:rsidR="003E6C07" w:rsidRPr="009327E3" w:rsidRDefault="003E6C07" w:rsidP="000F1092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Risk response</w:t>
            </w:r>
          </w:p>
        </w:tc>
        <w:tc>
          <w:tcPr>
            <w:tcW w:w="2977" w:type="dxa"/>
          </w:tcPr>
          <w:p w:rsidR="003E6C07" w:rsidRPr="009327E3" w:rsidRDefault="003E6C07" w:rsidP="000F1092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Background to assessment</w:t>
            </w: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3E6C07" w:rsidRDefault="003E6C07" w:rsidP="003E6C07">
      <w:pPr>
        <w:spacing w:after="0"/>
      </w:pPr>
    </w:p>
    <w:p w:rsidR="003E6C07" w:rsidRDefault="003E6C07" w:rsidP="003E6C07">
      <w:r w:rsidRPr="00092FFF">
        <w:rPr>
          <w:b/>
        </w:rPr>
        <w:t>Programmatic risks</w:t>
      </w:r>
      <w:r w:rsidR="00092FFF">
        <w:t xml:space="preserve"> (for country programmes/regional programmes filled out for each thematic programme)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418"/>
        <w:gridCol w:w="1276"/>
        <w:gridCol w:w="1559"/>
        <w:gridCol w:w="2977"/>
      </w:tblGrid>
      <w:tr w:rsidR="003E6C07" w:rsidTr="000F1092">
        <w:tc>
          <w:tcPr>
            <w:tcW w:w="1809" w:type="dxa"/>
          </w:tcPr>
          <w:p w:rsidR="003E6C07" w:rsidRPr="009327E3" w:rsidRDefault="003E6C07" w:rsidP="000F1092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Risk Factor</w:t>
            </w:r>
          </w:p>
        </w:tc>
        <w:tc>
          <w:tcPr>
            <w:tcW w:w="1418" w:type="dxa"/>
          </w:tcPr>
          <w:p w:rsidR="003E6C07" w:rsidRPr="009327E3" w:rsidRDefault="003E6C07" w:rsidP="000F1092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Likelihood</w:t>
            </w:r>
          </w:p>
        </w:tc>
        <w:tc>
          <w:tcPr>
            <w:tcW w:w="1276" w:type="dxa"/>
          </w:tcPr>
          <w:p w:rsidR="003E6C07" w:rsidRPr="009327E3" w:rsidRDefault="003E6C07" w:rsidP="000F1092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Impact</w:t>
            </w:r>
          </w:p>
        </w:tc>
        <w:tc>
          <w:tcPr>
            <w:tcW w:w="1559" w:type="dxa"/>
          </w:tcPr>
          <w:p w:rsidR="003E6C07" w:rsidRPr="009327E3" w:rsidRDefault="003E6C07" w:rsidP="000F1092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Risk response</w:t>
            </w:r>
          </w:p>
        </w:tc>
        <w:tc>
          <w:tcPr>
            <w:tcW w:w="2977" w:type="dxa"/>
          </w:tcPr>
          <w:p w:rsidR="003E6C07" w:rsidRPr="009327E3" w:rsidRDefault="003E6C07" w:rsidP="000F1092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Background to assessment</w:t>
            </w: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3E6C07" w:rsidRDefault="003E6C07" w:rsidP="003E6C07">
      <w:pPr>
        <w:spacing w:after="0"/>
      </w:pPr>
    </w:p>
    <w:p w:rsidR="003E6C07" w:rsidRPr="00027769" w:rsidRDefault="003E6C07" w:rsidP="003E6C07">
      <w:pPr>
        <w:rPr>
          <w:b/>
        </w:rPr>
      </w:pPr>
      <w:r w:rsidRPr="00027769">
        <w:rPr>
          <w:b/>
        </w:rPr>
        <w:t>Institutional risks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418"/>
        <w:gridCol w:w="1276"/>
        <w:gridCol w:w="1559"/>
        <w:gridCol w:w="2977"/>
      </w:tblGrid>
      <w:tr w:rsidR="003E6C07" w:rsidTr="000F1092">
        <w:tc>
          <w:tcPr>
            <w:tcW w:w="1809" w:type="dxa"/>
          </w:tcPr>
          <w:p w:rsidR="003E6C07" w:rsidRPr="009327E3" w:rsidRDefault="003E6C07" w:rsidP="000F1092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Risk Factor</w:t>
            </w:r>
          </w:p>
        </w:tc>
        <w:tc>
          <w:tcPr>
            <w:tcW w:w="1418" w:type="dxa"/>
          </w:tcPr>
          <w:p w:rsidR="003E6C07" w:rsidRPr="009327E3" w:rsidRDefault="003E6C07" w:rsidP="000F1092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Likelihood</w:t>
            </w:r>
          </w:p>
        </w:tc>
        <w:tc>
          <w:tcPr>
            <w:tcW w:w="1276" w:type="dxa"/>
          </w:tcPr>
          <w:p w:rsidR="003E6C07" w:rsidRPr="009327E3" w:rsidRDefault="003E6C07" w:rsidP="000F1092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Impact</w:t>
            </w:r>
          </w:p>
        </w:tc>
        <w:tc>
          <w:tcPr>
            <w:tcW w:w="1559" w:type="dxa"/>
          </w:tcPr>
          <w:p w:rsidR="003E6C07" w:rsidRPr="009327E3" w:rsidRDefault="003E6C07" w:rsidP="000F1092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Risk response</w:t>
            </w:r>
          </w:p>
        </w:tc>
        <w:tc>
          <w:tcPr>
            <w:tcW w:w="2977" w:type="dxa"/>
          </w:tcPr>
          <w:p w:rsidR="003E6C07" w:rsidRPr="009327E3" w:rsidRDefault="003E6C07" w:rsidP="000F1092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Background to assessment</w:t>
            </w: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  <w:tr w:rsidR="003E6C07" w:rsidTr="000F1092">
        <w:tc>
          <w:tcPr>
            <w:tcW w:w="180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C07" w:rsidRDefault="003E6C07" w:rsidP="000F1092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3E6C07" w:rsidRDefault="003E6C07"/>
    <w:p w:rsidR="00A1724A" w:rsidRDefault="00A1724A"/>
    <w:p w:rsidR="00A1724A" w:rsidRDefault="00A1724A">
      <w:r>
        <w:lastRenderedPageBreak/>
        <w:t>Example:</w:t>
      </w:r>
    </w:p>
    <w:p w:rsidR="00A1724A" w:rsidRDefault="00A1724A" w:rsidP="00A1724A">
      <w:r>
        <w:t>Contextual risks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161"/>
        <w:gridCol w:w="849"/>
        <w:gridCol w:w="2243"/>
        <w:gridCol w:w="3260"/>
      </w:tblGrid>
      <w:tr w:rsidR="00A1724A" w:rsidTr="00D015B4">
        <w:tc>
          <w:tcPr>
            <w:tcW w:w="1809" w:type="dxa"/>
          </w:tcPr>
          <w:p w:rsidR="00A1724A" w:rsidRPr="009327E3" w:rsidRDefault="00A1724A" w:rsidP="00D015B4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Risk Factor</w:t>
            </w:r>
          </w:p>
        </w:tc>
        <w:tc>
          <w:tcPr>
            <w:tcW w:w="1161" w:type="dxa"/>
          </w:tcPr>
          <w:p w:rsidR="00A1724A" w:rsidRPr="009327E3" w:rsidRDefault="00A1724A" w:rsidP="00D015B4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Likelihood</w:t>
            </w:r>
          </w:p>
        </w:tc>
        <w:tc>
          <w:tcPr>
            <w:tcW w:w="849" w:type="dxa"/>
          </w:tcPr>
          <w:p w:rsidR="00A1724A" w:rsidRPr="009327E3" w:rsidRDefault="00A1724A" w:rsidP="00D015B4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Impact</w:t>
            </w:r>
          </w:p>
        </w:tc>
        <w:tc>
          <w:tcPr>
            <w:tcW w:w="2243" w:type="dxa"/>
          </w:tcPr>
          <w:p w:rsidR="00A1724A" w:rsidRPr="009327E3" w:rsidRDefault="00A1724A" w:rsidP="00D015B4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Risk response</w:t>
            </w:r>
            <w:r>
              <w:rPr>
                <w:b/>
                <w:sz w:val="22"/>
                <w:szCs w:val="22"/>
              </w:rPr>
              <w:t xml:space="preserve"> if applicable</w:t>
            </w:r>
          </w:p>
        </w:tc>
        <w:tc>
          <w:tcPr>
            <w:tcW w:w="3260" w:type="dxa"/>
          </w:tcPr>
          <w:p w:rsidR="00A1724A" w:rsidRPr="009327E3" w:rsidRDefault="00A1724A" w:rsidP="00D015B4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Background to assessment</w:t>
            </w:r>
          </w:p>
        </w:tc>
      </w:tr>
      <w:tr w:rsidR="00A1724A" w:rsidTr="00D015B4">
        <w:tc>
          <w:tcPr>
            <w:tcW w:w="1809" w:type="dxa"/>
          </w:tcPr>
          <w:p w:rsidR="00A1724A" w:rsidRDefault="00A1724A" w:rsidP="00D015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Armed conflict spreads to larger parts of the country</w:t>
            </w:r>
          </w:p>
        </w:tc>
        <w:tc>
          <w:tcPr>
            <w:tcW w:w="1161" w:type="dxa"/>
          </w:tcPr>
          <w:p w:rsidR="00A1724A" w:rsidRDefault="00A1724A" w:rsidP="00D015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Likely</w:t>
            </w:r>
          </w:p>
        </w:tc>
        <w:tc>
          <w:tcPr>
            <w:tcW w:w="849" w:type="dxa"/>
          </w:tcPr>
          <w:p w:rsidR="00A1724A" w:rsidRDefault="00A1724A" w:rsidP="00D015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Major</w:t>
            </w:r>
          </w:p>
        </w:tc>
        <w:tc>
          <w:tcPr>
            <w:tcW w:w="2243" w:type="dxa"/>
          </w:tcPr>
          <w:p w:rsidR="00A1724A" w:rsidRDefault="00A1724A" w:rsidP="00D015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Programme activities to be limited to safe areas where feasible; some activities to be suspended.</w:t>
            </w:r>
          </w:p>
        </w:tc>
        <w:tc>
          <w:tcPr>
            <w:tcW w:w="3260" w:type="dxa"/>
          </w:tcPr>
          <w:p w:rsidR="00A1724A" w:rsidRDefault="00A1724A" w:rsidP="00D015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Development of security situation is negative at present, with potentially serious implications for programme activities. No preventive measures are available to DK. </w:t>
            </w:r>
          </w:p>
        </w:tc>
      </w:tr>
      <w:tr w:rsidR="00A1724A" w:rsidTr="00D015B4">
        <w:tc>
          <w:tcPr>
            <w:tcW w:w="1809" w:type="dxa"/>
          </w:tcPr>
          <w:p w:rsidR="00A1724A" w:rsidRDefault="00A1724A" w:rsidP="00D015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Wide-spread loss of trust in authorities and democratic institutions due to corruption and misuse becoming more frequent and visible following the decentralisation reform.</w:t>
            </w:r>
          </w:p>
        </w:tc>
        <w:tc>
          <w:tcPr>
            <w:tcW w:w="1161" w:type="dxa"/>
          </w:tcPr>
          <w:p w:rsidR="00A1724A" w:rsidRDefault="00A1724A" w:rsidP="00D015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Likely</w:t>
            </w:r>
          </w:p>
        </w:tc>
        <w:tc>
          <w:tcPr>
            <w:tcW w:w="849" w:type="dxa"/>
          </w:tcPr>
          <w:p w:rsidR="00A1724A" w:rsidRDefault="00A1724A" w:rsidP="00D015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Major</w:t>
            </w:r>
          </w:p>
        </w:tc>
        <w:tc>
          <w:tcPr>
            <w:tcW w:w="2243" w:type="dxa"/>
          </w:tcPr>
          <w:p w:rsidR="00A1724A" w:rsidRDefault="00A1724A" w:rsidP="00D015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Dialogue with relevant central authorities on preventive measures (training of LG councillors and staff; intensified supervision, audit)</w:t>
            </w:r>
          </w:p>
        </w:tc>
        <w:tc>
          <w:tcPr>
            <w:tcW w:w="3260" w:type="dxa"/>
          </w:tcPr>
          <w:p w:rsidR="00A1724A" w:rsidRDefault="00A1724A" w:rsidP="00D015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Decentralisation increases availability of public funds to District authorities, with central controls probably remaining weak. </w:t>
            </w:r>
          </w:p>
        </w:tc>
      </w:tr>
    </w:tbl>
    <w:p w:rsidR="00A1724A" w:rsidRDefault="00A1724A" w:rsidP="00A1724A">
      <w:pPr>
        <w:spacing w:after="0"/>
      </w:pPr>
    </w:p>
    <w:p w:rsidR="00A1724A" w:rsidRDefault="00A1724A" w:rsidP="00A1724A">
      <w:r>
        <w:t>Programmatic risks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161"/>
        <w:gridCol w:w="849"/>
        <w:gridCol w:w="2243"/>
        <w:gridCol w:w="3260"/>
      </w:tblGrid>
      <w:tr w:rsidR="00A1724A" w:rsidTr="00D015B4">
        <w:tc>
          <w:tcPr>
            <w:tcW w:w="1809" w:type="dxa"/>
          </w:tcPr>
          <w:p w:rsidR="00A1724A" w:rsidRPr="009327E3" w:rsidRDefault="00A1724A" w:rsidP="00D015B4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Risk Factor</w:t>
            </w:r>
          </w:p>
        </w:tc>
        <w:tc>
          <w:tcPr>
            <w:tcW w:w="1161" w:type="dxa"/>
          </w:tcPr>
          <w:p w:rsidR="00A1724A" w:rsidRPr="009327E3" w:rsidRDefault="00A1724A" w:rsidP="00D015B4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Likelihood</w:t>
            </w:r>
          </w:p>
        </w:tc>
        <w:tc>
          <w:tcPr>
            <w:tcW w:w="849" w:type="dxa"/>
          </w:tcPr>
          <w:p w:rsidR="00A1724A" w:rsidRPr="009327E3" w:rsidRDefault="00A1724A" w:rsidP="00D015B4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Impact</w:t>
            </w:r>
          </w:p>
        </w:tc>
        <w:tc>
          <w:tcPr>
            <w:tcW w:w="2243" w:type="dxa"/>
          </w:tcPr>
          <w:p w:rsidR="00A1724A" w:rsidRPr="009327E3" w:rsidRDefault="00A1724A" w:rsidP="00D015B4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Risk response</w:t>
            </w:r>
          </w:p>
        </w:tc>
        <w:tc>
          <w:tcPr>
            <w:tcW w:w="3260" w:type="dxa"/>
          </w:tcPr>
          <w:p w:rsidR="00A1724A" w:rsidRPr="009327E3" w:rsidRDefault="00A1724A" w:rsidP="00D015B4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Background to assessment</w:t>
            </w:r>
          </w:p>
        </w:tc>
      </w:tr>
      <w:tr w:rsidR="00A1724A" w:rsidTr="00D015B4">
        <w:tc>
          <w:tcPr>
            <w:tcW w:w="1809" w:type="dxa"/>
          </w:tcPr>
          <w:p w:rsidR="00A1724A" w:rsidRDefault="00A1724A" w:rsidP="00D015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Water sector: The frequency of corruption increases in the sector after decentralisation </w:t>
            </w:r>
          </w:p>
        </w:tc>
        <w:tc>
          <w:tcPr>
            <w:tcW w:w="1161" w:type="dxa"/>
          </w:tcPr>
          <w:p w:rsidR="00A1724A" w:rsidRDefault="00A1724A" w:rsidP="00D015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Likely</w:t>
            </w:r>
          </w:p>
        </w:tc>
        <w:tc>
          <w:tcPr>
            <w:tcW w:w="849" w:type="dxa"/>
          </w:tcPr>
          <w:p w:rsidR="00A1724A" w:rsidRDefault="00A1724A" w:rsidP="00D015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Major</w:t>
            </w:r>
          </w:p>
        </w:tc>
        <w:tc>
          <w:tcPr>
            <w:tcW w:w="2243" w:type="dxa"/>
          </w:tcPr>
          <w:p w:rsidR="00A1724A" w:rsidRDefault="00A1724A" w:rsidP="00D015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Min. of Water to be urged to intensify supervision of works at District level. Possibly introduction of joint-donor value for money studies.</w:t>
            </w:r>
          </w:p>
        </w:tc>
        <w:tc>
          <w:tcPr>
            <w:tcW w:w="3260" w:type="dxa"/>
          </w:tcPr>
          <w:p w:rsidR="00A1724A" w:rsidRDefault="00A1724A" w:rsidP="00D015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Districts’ capacity and quality of governance will only increase gradually. Procurement processes and implementation may suffer. Possibilities of short-term preventive measures are limited.  </w:t>
            </w:r>
          </w:p>
        </w:tc>
      </w:tr>
      <w:tr w:rsidR="00A1724A" w:rsidTr="00D015B4">
        <w:tc>
          <w:tcPr>
            <w:tcW w:w="1809" w:type="dxa"/>
          </w:tcPr>
          <w:p w:rsidR="00A1724A" w:rsidRDefault="00A1724A" w:rsidP="00D015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NGO funding facility: The space available to civil society for activism and advocacy is substantially reduced</w:t>
            </w:r>
          </w:p>
        </w:tc>
        <w:tc>
          <w:tcPr>
            <w:tcW w:w="1161" w:type="dxa"/>
          </w:tcPr>
          <w:p w:rsidR="00A1724A" w:rsidRDefault="00A1724A" w:rsidP="00D015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Likely</w:t>
            </w:r>
          </w:p>
        </w:tc>
        <w:tc>
          <w:tcPr>
            <w:tcW w:w="849" w:type="dxa"/>
          </w:tcPr>
          <w:p w:rsidR="00A1724A" w:rsidRDefault="00A1724A" w:rsidP="00D015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Major</w:t>
            </w:r>
          </w:p>
        </w:tc>
        <w:tc>
          <w:tcPr>
            <w:tcW w:w="2243" w:type="dxa"/>
          </w:tcPr>
          <w:p w:rsidR="00A1724A" w:rsidRDefault="00A1724A" w:rsidP="00D015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Closer coordination among donors and intensified joint pressure on the authorities to respect the rights of the civil society; </w:t>
            </w:r>
          </w:p>
        </w:tc>
        <w:tc>
          <w:tcPr>
            <w:tcW w:w="3260" w:type="dxa"/>
          </w:tcPr>
          <w:p w:rsidR="00A1724A" w:rsidRDefault="00A1724A" w:rsidP="00D015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 political trends are worrying; shrinking CSO space would seriously reduce scope for impact. Limited possibility for donors to influence the development since reduction of CSO support would be counterproductive.</w:t>
            </w:r>
          </w:p>
        </w:tc>
      </w:tr>
    </w:tbl>
    <w:p w:rsidR="00A1724A" w:rsidRDefault="00A1724A" w:rsidP="00A1724A">
      <w:pPr>
        <w:spacing w:after="0"/>
      </w:pPr>
    </w:p>
    <w:p w:rsidR="00A1724A" w:rsidRDefault="00A1724A" w:rsidP="00A1724A">
      <w:r>
        <w:t>Institutional risks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161"/>
        <w:gridCol w:w="849"/>
        <w:gridCol w:w="2243"/>
        <w:gridCol w:w="3260"/>
      </w:tblGrid>
      <w:tr w:rsidR="00A1724A" w:rsidTr="00D015B4">
        <w:tc>
          <w:tcPr>
            <w:tcW w:w="1809" w:type="dxa"/>
          </w:tcPr>
          <w:p w:rsidR="00A1724A" w:rsidRPr="009327E3" w:rsidRDefault="00A1724A" w:rsidP="00D015B4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Risk Factor</w:t>
            </w:r>
          </w:p>
        </w:tc>
        <w:tc>
          <w:tcPr>
            <w:tcW w:w="1161" w:type="dxa"/>
          </w:tcPr>
          <w:p w:rsidR="00A1724A" w:rsidRPr="009327E3" w:rsidRDefault="00A1724A" w:rsidP="00D015B4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Likelihood</w:t>
            </w:r>
          </w:p>
        </w:tc>
        <w:tc>
          <w:tcPr>
            <w:tcW w:w="849" w:type="dxa"/>
          </w:tcPr>
          <w:p w:rsidR="00A1724A" w:rsidRPr="009327E3" w:rsidRDefault="00A1724A" w:rsidP="00D015B4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Impact</w:t>
            </w:r>
          </w:p>
        </w:tc>
        <w:tc>
          <w:tcPr>
            <w:tcW w:w="2243" w:type="dxa"/>
          </w:tcPr>
          <w:p w:rsidR="00A1724A" w:rsidRPr="009327E3" w:rsidRDefault="00A1724A" w:rsidP="00D015B4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Risk response</w:t>
            </w:r>
          </w:p>
        </w:tc>
        <w:tc>
          <w:tcPr>
            <w:tcW w:w="3260" w:type="dxa"/>
          </w:tcPr>
          <w:p w:rsidR="00A1724A" w:rsidRPr="009327E3" w:rsidRDefault="00A1724A" w:rsidP="00D015B4">
            <w:pPr>
              <w:pStyle w:val="Default"/>
              <w:rPr>
                <w:b/>
                <w:sz w:val="22"/>
                <w:szCs w:val="22"/>
              </w:rPr>
            </w:pPr>
            <w:r w:rsidRPr="009327E3">
              <w:rPr>
                <w:b/>
                <w:sz w:val="22"/>
                <w:szCs w:val="22"/>
              </w:rPr>
              <w:t>Background to assessment</w:t>
            </w:r>
          </w:p>
        </w:tc>
      </w:tr>
      <w:tr w:rsidR="00A1724A" w:rsidTr="00D015B4">
        <w:tc>
          <w:tcPr>
            <w:tcW w:w="1809" w:type="dxa"/>
          </w:tcPr>
          <w:p w:rsidR="00A1724A" w:rsidRDefault="00A1724A" w:rsidP="00D015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Denmark gets associated with </w:t>
            </w:r>
            <w:r>
              <w:rPr>
                <w:sz w:val="22"/>
                <w:szCs w:val="22"/>
              </w:rPr>
              <w:lastRenderedPageBreak/>
              <w:t>major corruption scandal in one of the sectors of the programme.</w:t>
            </w:r>
          </w:p>
        </w:tc>
        <w:tc>
          <w:tcPr>
            <w:tcW w:w="1161" w:type="dxa"/>
          </w:tcPr>
          <w:p w:rsidR="00A1724A" w:rsidRDefault="00A1724A" w:rsidP="00D015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Likely</w:t>
            </w:r>
          </w:p>
        </w:tc>
        <w:tc>
          <w:tcPr>
            <w:tcW w:w="849" w:type="dxa"/>
          </w:tcPr>
          <w:p w:rsidR="00A1724A" w:rsidRDefault="00A1724A" w:rsidP="00D015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Minor</w:t>
            </w:r>
          </w:p>
        </w:tc>
        <w:tc>
          <w:tcPr>
            <w:tcW w:w="2243" w:type="dxa"/>
          </w:tcPr>
          <w:p w:rsidR="00A1724A" w:rsidRDefault="00A1724A" w:rsidP="00D015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Suspension of funding during investigation; </w:t>
            </w:r>
            <w:r>
              <w:rPr>
                <w:sz w:val="22"/>
                <w:szCs w:val="22"/>
              </w:rPr>
              <w:lastRenderedPageBreak/>
              <w:t>explanation to DK constituency of importance of working with national system; possibly introduction of further controls.</w:t>
            </w:r>
          </w:p>
        </w:tc>
        <w:tc>
          <w:tcPr>
            <w:tcW w:w="3260" w:type="dxa"/>
          </w:tcPr>
          <w:p w:rsidR="00A1724A" w:rsidRDefault="00A1724A" w:rsidP="00D015B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The bulk of our support is close to fully integrated in the national </w:t>
            </w:r>
            <w:r>
              <w:rPr>
                <w:sz w:val="22"/>
                <w:szCs w:val="22"/>
              </w:rPr>
              <w:lastRenderedPageBreak/>
              <w:t xml:space="preserve">systems, known to be imperfect. Impact may be more or less serious depending on duration of suspension and need for extra control measures. </w:t>
            </w:r>
          </w:p>
        </w:tc>
      </w:tr>
    </w:tbl>
    <w:p w:rsidR="00A1724A" w:rsidRDefault="00A1724A"/>
    <w:sectPr w:rsidR="00A1724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07"/>
    <w:rsid w:val="00027769"/>
    <w:rsid w:val="00092FFF"/>
    <w:rsid w:val="000D0DA7"/>
    <w:rsid w:val="002D7AAF"/>
    <w:rsid w:val="003E6C07"/>
    <w:rsid w:val="00A1724A"/>
    <w:rsid w:val="00D2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C07"/>
    <w:rPr>
      <w:rFonts w:ascii="Garamond" w:hAnsi="Garamond"/>
      <w:sz w:val="24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3E6C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1724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1724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1724A"/>
    <w:rPr>
      <w:rFonts w:ascii="Garamond" w:hAnsi="Garamond"/>
      <w:sz w:val="20"/>
      <w:szCs w:val="20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1724A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C07"/>
    <w:rPr>
      <w:rFonts w:ascii="Garamond" w:hAnsi="Garamond"/>
      <w:sz w:val="24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3E6C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1724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1724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1724A"/>
    <w:rPr>
      <w:rFonts w:ascii="Garamond" w:hAnsi="Garamond"/>
      <w:sz w:val="20"/>
      <w:szCs w:val="20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1724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2581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Larsen</dc:creator>
  <cp:lastModifiedBy>Aske Hjarvard Raaschou</cp:lastModifiedBy>
  <cp:revision>2</cp:revision>
  <dcterms:created xsi:type="dcterms:W3CDTF">2017-01-26T09:09:00Z</dcterms:created>
  <dcterms:modified xsi:type="dcterms:W3CDTF">2017-01-26T09:09:00Z</dcterms:modified>
</cp:coreProperties>
</file>