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6C07" w:rsidRPr="0073079C" w:rsidRDefault="003E6C07" w:rsidP="00670E55">
      <w:pPr>
        <w:pStyle w:val="Heading2"/>
        <w:rPr>
          <w:b/>
          <w:color w:val="auto"/>
        </w:rPr>
      </w:pPr>
      <w:r w:rsidRPr="0073079C">
        <w:rPr>
          <w:b/>
          <w:color w:val="auto"/>
        </w:rPr>
        <w:t>Contextual risks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4"/>
        <w:gridCol w:w="1260"/>
        <w:gridCol w:w="1257"/>
        <w:gridCol w:w="3766"/>
        <w:gridCol w:w="1929"/>
        <w:gridCol w:w="4414"/>
      </w:tblGrid>
      <w:tr w:rsidR="00C86C10" w:rsidRPr="0073079C" w:rsidTr="00430028">
        <w:tc>
          <w:tcPr>
            <w:tcW w:w="1934" w:type="dxa"/>
          </w:tcPr>
          <w:p w:rsidR="00C86C10" w:rsidRPr="0073079C" w:rsidRDefault="00C86C10" w:rsidP="00B045D6">
            <w:pPr>
              <w:pStyle w:val="Default"/>
              <w:rPr>
                <w:b/>
                <w:sz w:val="22"/>
                <w:szCs w:val="22"/>
              </w:rPr>
            </w:pPr>
            <w:r w:rsidRPr="0073079C">
              <w:rPr>
                <w:b/>
                <w:sz w:val="22"/>
                <w:szCs w:val="22"/>
              </w:rPr>
              <w:t>Risk Factor</w:t>
            </w:r>
          </w:p>
        </w:tc>
        <w:tc>
          <w:tcPr>
            <w:tcW w:w="1260" w:type="dxa"/>
          </w:tcPr>
          <w:p w:rsidR="00C86C10" w:rsidRPr="0073079C" w:rsidRDefault="00C86C10" w:rsidP="00B045D6">
            <w:pPr>
              <w:pStyle w:val="Default"/>
              <w:rPr>
                <w:b/>
                <w:sz w:val="22"/>
                <w:szCs w:val="22"/>
              </w:rPr>
            </w:pPr>
            <w:r w:rsidRPr="0073079C">
              <w:rPr>
                <w:b/>
                <w:sz w:val="22"/>
                <w:szCs w:val="22"/>
              </w:rPr>
              <w:t>Likelihood</w:t>
            </w:r>
          </w:p>
        </w:tc>
        <w:tc>
          <w:tcPr>
            <w:tcW w:w="1257" w:type="dxa"/>
          </w:tcPr>
          <w:p w:rsidR="00C86C10" w:rsidRPr="0073079C" w:rsidRDefault="00C86C10" w:rsidP="00B045D6">
            <w:pPr>
              <w:pStyle w:val="Default"/>
              <w:rPr>
                <w:b/>
                <w:sz w:val="22"/>
                <w:szCs w:val="22"/>
              </w:rPr>
            </w:pPr>
            <w:r w:rsidRPr="0073079C">
              <w:rPr>
                <w:b/>
                <w:sz w:val="22"/>
                <w:szCs w:val="22"/>
              </w:rPr>
              <w:t>Impact</w:t>
            </w:r>
          </w:p>
        </w:tc>
        <w:tc>
          <w:tcPr>
            <w:tcW w:w="3766" w:type="dxa"/>
          </w:tcPr>
          <w:p w:rsidR="00C86C10" w:rsidRPr="0073079C" w:rsidRDefault="00C86C10" w:rsidP="00B045D6">
            <w:pPr>
              <w:pStyle w:val="Default"/>
              <w:rPr>
                <w:b/>
                <w:sz w:val="22"/>
                <w:szCs w:val="22"/>
              </w:rPr>
            </w:pPr>
            <w:r w:rsidRPr="0073079C">
              <w:rPr>
                <w:b/>
                <w:sz w:val="22"/>
                <w:szCs w:val="22"/>
              </w:rPr>
              <w:t>Risk response</w:t>
            </w:r>
          </w:p>
        </w:tc>
        <w:tc>
          <w:tcPr>
            <w:tcW w:w="1929" w:type="dxa"/>
          </w:tcPr>
          <w:p w:rsidR="00C86C10" w:rsidRPr="0073079C" w:rsidRDefault="00C86C10" w:rsidP="00B045D6">
            <w:pPr>
              <w:pStyle w:val="Default"/>
              <w:rPr>
                <w:b/>
                <w:sz w:val="22"/>
                <w:szCs w:val="22"/>
              </w:rPr>
            </w:pPr>
            <w:r w:rsidRPr="0073079C">
              <w:rPr>
                <w:b/>
                <w:sz w:val="22"/>
                <w:szCs w:val="22"/>
              </w:rPr>
              <w:t>Residual risk</w:t>
            </w:r>
          </w:p>
        </w:tc>
        <w:tc>
          <w:tcPr>
            <w:tcW w:w="4414" w:type="dxa"/>
          </w:tcPr>
          <w:p w:rsidR="00C86C10" w:rsidRPr="0073079C" w:rsidRDefault="00C86C10" w:rsidP="00B045D6">
            <w:pPr>
              <w:pStyle w:val="Default"/>
              <w:rPr>
                <w:b/>
                <w:sz w:val="22"/>
                <w:szCs w:val="22"/>
              </w:rPr>
            </w:pPr>
            <w:r w:rsidRPr="0073079C">
              <w:rPr>
                <w:b/>
                <w:sz w:val="22"/>
                <w:szCs w:val="22"/>
              </w:rPr>
              <w:t>Background to assessment</w:t>
            </w:r>
          </w:p>
        </w:tc>
      </w:tr>
      <w:tr w:rsidR="00E748CC" w:rsidRPr="0073079C" w:rsidTr="00430028">
        <w:tc>
          <w:tcPr>
            <w:tcW w:w="1934" w:type="dxa"/>
          </w:tcPr>
          <w:p w:rsidR="00E748CC" w:rsidRPr="00E748CC" w:rsidRDefault="00E748CC" w:rsidP="00E748CC">
            <w:pPr>
              <w:pStyle w:val="Default"/>
              <w:rPr>
                <w:bCs/>
                <w:sz w:val="22"/>
                <w:szCs w:val="22"/>
              </w:rPr>
            </w:pPr>
            <w:r w:rsidRPr="00E748CC">
              <w:rPr>
                <w:bCs/>
                <w:sz w:val="22"/>
                <w:szCs w:val="22"/>
              </w:rPr>
              <w:t>Root causes of piracy on land in the Niger Delta insufficiently addressed</w:t>
            </w:r>
          </w:p>
        </w:tc>
        <w:tc>
          <w:tcPr>
            <w:tcW w:w="1260" w:type="dxa"/>
          </w:tcPr>
          <w:p w:rsidR="00E748CC" w:rsidRPr="00430028" w:rsidRDefault="00E748CC" w:rsidP="00E748CC">
            <w:pPr>
              <w:pStyle w:val="Default"/>
              <w:rPr>
                <w:b/>
                <w:bCs/>
                <w:color w:val="FF0000"/>
                <w:sz w:val="22"/>
                <w:szCs w:val="22"/>
              </w:rPr>
            </w:pPr>
            <w:r w:rsidRPr="00430028">
              <w:rPr>
                <w:b/>
                <w:bCs/>
                <w:color w:val="FF0000"/>
                <w:sz w:val="22"/>
                <w:szCs w:val="22"/>
              </w:rPr>
              <w:t>Very likely</w:t>
            </w:r>
          </w:p>
          <w:p w:rsidR="00E748CC" w:rsidRPr="0073079C" w:rsidRDefault="00E748CC" w:rsidP="00E748CC"/>
          <w:p w:rsidR="00E748CC" w:rsidRDefault="00E748CC" w:rsidP="00E748CC">
            <w:pPr>
              <w:rPr>
                <w:rFonts w:ascii="Calibri" w:hAnsi="Calibri" w:cs="Calibri"/>
                <w:bCs/>
                <w:color w:val="000000"/>
                <w:sz w:val="22"/>
              </w:rPr>
            </w:pPr>
          </w:p>
          <w:p w:rsidR="00E748CC" w:rsidRPr="0073079C" w:rsidRDefault="00E748CC" w:rsidP="00E748CC">
            <w:pPr>
              <w:pStyle w:val="Default"/>
              <w:rPr>
                <w:b/>
                <w:sz w:val="22"/>
                <w:szCs w:val="22"/>
              </w:rPr>
            </w:pPr>
          </w:p>
        </w:tc>
        <w:tc>
          <w:tcPr>
            <w:tcW w:w="1257" w:type="dxa"/>
          </w:tcPr>
          <w:p w:rsidR="00E748CC" w:rsidRPr="000247CB" w:rsidRDefault="000247CB" w:rsidP="00E748CC">
            <w:pPr>
              <w:pStyle w:val="Default"/>
              <w:rPr>
                <w:bCs/>
                <w:sz w:val="22"/>
                <w:szCs w:val="22"/>
              </w:rPr>
            </w:pPr>
            <w:r w:rsidRPr="00430028">
              <w:rPr>
                <w:b/>
                <w:bCs/>
                <w:color w:val="00B050"/>
                <w:sz w:val="22"/>
                <w:szCs w:val="22"/>
              </w:rPr>
              <w:t>Minor</w:t>
            </w:r>
          </w:p>
        </w:tc>
        <w:tc>
          <w:tcPr>
            <w:tcW w:w="3766" w:type="dxa"/>
          </w:tcPr>
          <w:p w:rsidR="00E748CC" w:rsidRPr="00BA418A" w:rsidRDefault="00BA418A" w:rsidP="00E748CC">
            <w:pPr>
              <w:pStyle w:val="Default"/>
              <w:rPr>
                <w:bCs/>
                <w:sz w:val="22"/>
                <w:szCs w:val="22"/>
              </w:rPr>
            </w:pPr>
            <w:r>
              <w:rPr>
                <w:bCs/>
                <w:sz w:val="22"/>
                <w:szCs w:val="22"/>
              </w:rPr>
              <w:t xml:space="preserve">The programme responds to the </w:t>
            </w:r>
            <w:r w:rsidR="00145152">
              <w:rPr>
                <w:bCs/>
                <w:sz w:val="22"/>
                <w:szCs w:val="22"/>
              </w:rPr>
              <w:t xml:space="preserve">effects </w:t>
            </w:r>
            <w:r w:rsidR="00C54308">
              <w:rPr>
                <w:bCs/>
                <w:sz w:val="22"/>
                <w:szCs w:val="22"/>
              </w:rPr>
              <w:t xml:space="preserve">of </w:t>
            </w:r>
            <w:r w:rsidR="00596E6B">
              <w:rPr>
                <w:bCs/>
                <w:sz w:val="22"/>
                <w:szCs w:val="22"/>
              </w:rPr>
              <w:t>c</w:t>
            </w:r>
            <w:r w:rsidR="00596E6B" w:rsidRPr="00596E6B">
              <w:rPr>
                <w:bCs/>
                <w:sz w:val="22"/>
                <w:szCs w:val="22"/>
              </w:rPr>
              <w:t xml:space="preserve">ontextual political economy risks related to underdevelopment, poor governance, environmental degradation, and politically motivated violence </w:t>
            </w:r>
            <w:r w:rsidR="00C54308">
              <w:rPr>
                <w:bCs/>
                <w:sz w:val="22"/>
                <w:szCs w:val="22"/>
              </w:rPr>
              <w:t xml:space="preserve">that </w:t>
            </w:r>
            <w:r w:rsidR="00596E6B" w:rsidRPr="00596E6B">
              <w:rPr>
                <w:bCs/>
                <w:sz w:val="22"/>
                <w:szCs w:val="22"/>
              </w:rPr>
              <w:t>have been identified and  to some extent</w:t>
            </w:r>
            <w:r w:rsidR="00C54308">
              <w:rPr>
                <w:bCs/>
                <w:sz w:val="22"/>
                <w:szCs w:val="22"/>
              </w:rPr>
              <w:t xml:space="preserve"> will</w:t>
            </w:r>
            <w:r w:rsidR="00596E6B" w:rsidRPr="00596E6B">
              <w:rPr>
                <w:bCs/>
                <w:sz w:val="22"/>
                <w:szCs w:val="22"/>
              </w:rPr>
              <w:t xml:space="preserve"> be monitored, including through the Monitoring Hub</w:t>
            </w:r>
            <w:r w:rsidR="00C54308">
              <w:rPr>
                <w:bCs/>
                <w:sz w:val="22"/>
                <w:szCs w:val="22"/>
              </w:rPr>
              <w:t>.</w:t>
            </w:r>
            <w:r w:rsidR="005A083D">
              <w:rPr>
                <w:bCs/>
                <w:sz w:val="22"/>
                <w:szCs w:val="22"/>
              </w:rPr>
              <w:t xml:space="preserve"> A better understanding of root causes may be included as research theme under DMSP 3 and addressed through Denmark’s multilateral partners, notably the EU.</w:t>
            </w:r>
          </w:p>
        </w:tc>
        <w:tc>
          <w:tcPr>
            <w:tcW w:w="1929" w:type="dxa"/>
          </w:tcPr>
          <w:p w:rsidR="00E748CC" w:rsidRPr="00596E6B" w:rsidRDefault="00596E6B" w:rsidP="00E748CC">
            <w:pPr>
              <w:pStyle w:val="Default"/>
              <w:rPr>
                <w:bCs/>
                <w:sz w:val="22"/>
                <w:szCs w:val="22"/>
              </w:rPr>
            </w:pPr>
            <w:r w:rsidRPr="00430028">
              <w:rPr>
                <w:b/>
                <w:bCs/>
                <w:color w:val="00B050"/>
                <w:sz w:val="22"/>
                <w:szCs w:val="22"/>
              </w:rPr>
              <w:t>Minor</w:t>
            </w:r>
          </w:p>
        </w:tc>
        <w:tc>
          <w:tcPr>
            <w:tcW w:w="4414" w:type="dxa"/>
          </w:tcPr>
          <w:p w:rsidR="00E748CC" w:rsidRPr="002A3359" w:rsidRDefault="002A3359" w:rsidP="00E748CC">
            <w:pPr>
              <w:pStyle w:val="Default"/>
              <w:rPr>
                <w:bCs/>
                <w:sz w:val="22"/>
                <w:szCs w:val="22"/>
              </w:rPr>
            </w:pPr>
            <w:r w:rsidRPr="002A3359">
              <w:rPr>
                <w:bCs/>
                <w:sz w:val="22"/>
                <w:szCs w:val="22"/>
              </w:rPr>
              <w:t>See Annex 1</w:t>
            </w:r>
            <w:r w:rsidR="00315ECB">
              <w:rPr>
                <w:bCs/>
                <w:sz w:val="22"/>
                <w:szCs w:val="22"/>
              </w:rPr>
              <w:t>.</w:t>
            </w:r>
          </w:p>
        </w:tc>
      </w:tr>
      <w:tr w:rsidR="00E748CC" w:rsidRPr="0073079C" w:rsidTr="00430028">
        <w:tc>
          <w:tcPr>
            <w:tcW w:w="1934" w:type="dxa"/>
          </w:tcPr>
          <w:p w:rsidR="00E748CC" w:rsidRPr="0073079C" w:rsidRDefault="00E748CC" w:rsidP="00E748CC">
            <w:pPr>
              <w:pStyle w:val="Default"/>
              <w:rPr>
                <w:bCs/>
                <w:sz w:val="22"/>
                <w:szCs w:val="22"/>
              </w:rPr>
            </w:pPr>
            <w:r w:rsidRPr="0073079C">
              <w:rPr>
                <w:bCs/>
                <w:sz w:val="22"/>
                <w:szCs w:val="22"/>
              </w:rPr>
              <w:t>COVID-19 pandemic impacts pace of implementation and achievement of results</w:t>
            </w:r>
          </w:p>
        </w:tc>
        <w:tc>
          <w:tcPr>
            <w:tcW w:w="1260" w:type="dxa"/>
          </w:tcPr>
          <w:p w:rsidR="00E748CC" w:rsidRPr="00430028" w:rsidRDefault="00E748CC" w:rsidP="00E748CC">
            <w:pPr>
              <w:pStyle w:val="Default"/>
              <w:rPr>
                <w:b/>
                <w:bCs/>
                <w:color w:val="FF0000"/>
                <w:sz w:val="22"/>
                <w:szCs w:val="22"/>
              </w:rPr>
            </w:pPr>
            <w:r w:rsidRPr="00430028">
              <w:rPr>
                <w:b/>
                <w:bCs/>
                <w:color w:val="FF0000"/>
                <w:sz w:val="22"/>
                <w:szCs w:val="22"/>
              </w:rPr>
              <w:t>Very likely</w:t>
            </w:r>
          </w:p>
          <w:p w:rsidR="00E748CC" w:rsidRPr="0073079C" w:rsidRDefault="00E748CC" w:rsidP="00E748CC"/>
          <w:p w:rsidR="00E748CC" w:rsidRDefault="00E748CC" w:rsidP="00E748CC">
            <w:pPr>
              <w:rPr>
                <w:rFonts w:ascii="Calibri" w:hAnsi="Calibri" w:cs="Calibri"/>
                <w:bCs/>
                <w:color w:val="000000"/>
                <w:sz w:val="22"/>
              </w:rPr>
            </w:pPr>
          </w:p>
          <w:p w:rsidR="00E748CC" w:rsidRPr="0073079C" w:rsidRDefault="00E748CC" w:rsidP="00E748CC"/>
        </w:tc>
        <w:tc>
          <w:tcPr>
            <w:tcW w:w="1257" w:type="dxa"/>
          </w:tcPr>
          <w:p w:rsidR="00E748CC" w:rsidRPr="0073079C" w:rsidRDefault="00E748CC" w:rsidP="00E748CC">
            <w:pPr>
              <w:pStyle w:val="Default"/>
              <w:rPr>
                <w:bCs/>
                <w:sz w:val="22"/>
                <w:szCs w:val="22"/>
              </w:rPr>
            </w:pPr>
            <w:r w:rsidRPr="00430028">
              <w:rPr>
                <w:b/>
                <w:bCs/>
                <w:color w:val="FF0000"/>
                <w:sz w:val="22"/>
                <w:szCs w:val="22"/>
              </w:rPr>
              <w:t>Major</w:t>
            </w:r>
          </w:p>
        </w:tc>
        <w:tc>
          <w:tcPr>
            <w:tcW w:w="3766" w:type="dxa"/>
          </w:tcPr>
          <w:p w:rsidR="00FB6F94" w:rsidRDefault="00E748CC" w:rsidP="00C54308">
            <w:pPr>
              <w:pStyle w:val="Default"/>
              <w:rPr>
                <w:bCs/>
                <w:sz w:val="22"/>
                <w:szCs w:val="22"/>
              </w:rPr>
            </w:pPr>
            <w:r w:rsidRPr="0073079C">
              <w:rPr>
                <w:bCs/>
                <w:sz w:val="22"/>
                <w:szCs w:val="22"/>
              </w:rPr>
              <w:t>As regard</w:t>
            </w:r>
            <w:r w:rsidR="00C54308">
              <w:rPr>
                <w:bCs/>
                <w:sz w:val="22"/>
                <w:szCs w:val="22"/>
              </w:rPr>
              <w:t>s</w:t>
            </w:r>
            <w:r w:rsidRPr="0073079C">
              <w:rPr>
                <w:bCs/>
                <w:sz w:val="22"/>
                <w:szCs w:val="22"/>
              </w:rPr>
              <w:t xml:space="preserve"> </w:t>
            </w:r>
            <w:r w:rsidR="00FB6F94">
              <w:rPr>
                <w:bCs/>
                <w:sz w:val="22"/>
                <w:szCs w:val="22"/>
              </w:rPr>
              <w:t xml:space="preserve">to </w:t>
            </w:r>
            <w:r w:rsidRPr="0073079C">
              <w:rPr>
                <w:bCs/>
                <w:sz w:val="22"/>
                <w:szCs w:val="22"/>
              </w:rPr>
              <w:t xml:space="preserve">COVID-19 response and preparedness, adaptive programming by the programme’s management </w:t>
            </w:r>
            <w:r w:rsidR="00FB6F94">
              <w:rPr>
                <w:bCs/>
                <w:sz w:val="22"/>
                <w:szCs w:val="22"/>
              </w:rPr>
              <w:t>(</w:t>
            </w:r>
            <w:r w:rsidRPr="0073079C">
              <w:rPr>
                <w:bCs/>
                <w:sz w:val="22"/>
                <w:szCs w:val="22"/>
              </w:rPr>
              <w:t>Defence Command Denmark (DCD), UNODC</w:t>
            </w:r>
            <w:r w:rsidR="00C54308">
              <w:rPr>
                <w:bCs/>
                <w:sz w:val="22"/>
                <w:szCs w:val="22"/>
              </w:rPr>
              <w:t>,</w:t>
            </w:r>
            <w:r w:rsidRPr="0073079C">
              <w:rPr>
                <w:bCs/>
                <w:sz w:val="22"/>
                <w:szCs w:val="22"/>
              </w:rPr>
              <w:t xml:space="preserve"> and KAIPTC</w:t>
            </w:r>
            <w:r w:rsidR="00FB6F94">
              <w:rPr>
                <w:bCs/>
                <w:sz w:val="22"/>
                <w:szCs w:val="22"/>
              </w:rPr>
              <w:t>)</w:t>
            </w:r>
            <w:r w:rsidR="00C54308">
              <w:rPr>
                <w:bCs/>
                <w:sz w:val="22"/>
                <w:szCs w:val="22"/>
              </w:rPr>
              <w:t xml:space="preserve"> </w:t>
            </w:r>
            <w:r w:rsidRPr="0073079C">
              <w:rPr>
                <w:bCs/>
                <w:sz w:val="22"/>
                <w:szCs w:val="22"/>
              </w:rPr>
              <w:t>ha</w:t>
            </w:r>
            <w:r w:rsidR="00C54308">
              <w:rPr>
                <w:bCs/>
                <w:sz w:val="22"/>
                <w:szCs w:val="22"/>
              </w:rPr>
              <w:t>s</w:t>
            </w:r>
            <w:r w:rsidRPr="0073079C">
              <w:rPr>
                <w:bCs/>
                <w:sz w:val="22"/>
                <w:szCs w:val="22"/>
              </w:rPr>
              <w:t xml:space="preserve"> laid a sound foundation for meeting ongoing and current constraints and risk. </w:t>
            </w:r>
          </w:p>
          <w:p w:rsidR="00FB6F94" w:rsidRDefault="00E748CC">
            <w:pPr>
              <w:pStyle w:val="Default"/>
              <w:rPr>
                <w:bCs/>
                <w:sz w:val="22"/>
                <w:szCs w:val="22"/>
              </w:rPr>
            </w:pPr>
            <w:r w:rsidRPr="0073079C">
              <w:rPr>
                <w:bCs/>
                <w:sz w:val="22"/>
                <w:szCs w:val="22"/>
              </w:rPr>
              <w:t xml:space="preserve">Partners have gained skills and experience to deliver despite COVID-19 impacts. </w:t>
            </w:r>
            <w:r w:rsidR="00FB6F94">
              <w:rPr>
                <w:bCs/>
                <w:sz w:val="22"/>
                <w:szCs w:val="22"/>
              </w:rPr>
              <w:t>DMSP</w:t>
            </w:r>
            <w:r w:rsidR="00FB6F94" w:rsidRPr="0073079C">
              <w:rPr>
                <w:bCs/>
                <w:sz w:val="22"/>
                <w:szCs w:val="22"/>
              </w:rPr>
              <w:t xml:space="preserve"> </w:t>
            </w:r>
            <w:r w:rsidRPr="0073079C">
              <w:rPr>
                <w:bCs/>
                <w:sz w:val="22"/>
                <w:szCs w:val="22"/>
              </w:rPr>
              <w:t>3 will build on the foresight to expedite UNODC’s installation of video teleconferencing equipment for nine maritime security agencies in Ghana and eight in Nigeria</w:t>
            </w:r>
            <w:r w:rsidR="00FB6F94">
              <w:rPr>
                <w:bCs/>
                <w:sz w:val="22"/>
                <w:szCs w:val="22"/>
              </w:rPr>
              <w:t xml:space="preserve"> and additional units being available at MLE authorities donated through the EU-funded and SWAIMS implemented by UNODC.</w:t>
            </w:r>
          </w:p>
          <w:p w:rsidR="00FB6F94" w:rsidRDefault="00FB6F94">
            <w:pPr>
              <w:pStyle w:val="Default"/>
              <w:rPr>
                <w:bCs/>
                <w:sz w:val="22"/>
                <w:szCs w:val="22"/>
              </w:rPr>
            </w:pPr>
          </w:p>
          <w:p w:rsidR="00E748CC" w:rsidRPr="0073079C" w:rsidRDefault="00E36E4D">
            <w:pPr>
              <w:pStyle w:val="Default"/>
              <w:rPr>
                <w:bCs/>
                <w:sz w:val="22"/>
                <w:szCs w:val="22"/>
              </w:rPr>
            </w:pPr>
            <w:r>
              <w:rPr>
                <w:bCs/>
                <w:sz w:val="22"/>
                <w:szCs w:val="22"/>
              </w:rPr>
              <w:t>INTERPOL</w:t>
            </w:r>
            <w:r w:rsidR="00FB6F94">
              <w:rPr>
                <w:bCs/>
                <w:sz w:val="22"/>
                <w:szCs w:val="22"/>
              </w:rPr>
              <w:t xml:space="preserve"> also gained experience in COVID-19 alternative  implementation</w:t>
            </w:r>
            <w:r>
              <w:rPr>
                <w:bCs/>
                <w:sz w:val="22"/>
                <w:szCs w:val="22"/>
              </w:rPr>
              <w:t xml:space="preserve"> in all beneficiary countries during the US-funded Project AGWE in the latter years. </w:t>
            </w:r>
            <w:r w:rsidR="00FB6F94">
              <w:rPr>
                <w:bCs/>
                <w:sz w:val="22"/>
                <w:szCs w:val="22"/>
              </w:rPr>
              <w:t xml:space="preserve"> </w:t>
            </w:r>
          </w:p>
        </w:tc>
        <w:tc>
          <w:tcPr>
            <w:tcW w:w="1929" w:type="dxa"/>
          </w:tcPr>
          <w:p w:rsidR="00E748CC" w:rsidRPr="0073079C" w:rsidRDefault="00E748CC" w:rsidP="00E748CC">
            <w:pPr>
              <w:pStyle w:val="Default"/>
              <w:rPr>
                <w:bCs/>
                <w:sz w:val="22"/>
                <w:szCs w:val="22"/>
              </w:rPr>
            </w:pPr>
            <w:r w:rsidRPr="00430028">
              <w:rPr>
                <w:b/>
                <w:bCs/>
                <w:color w:val="00B050"/>
                <w:sz w:val="22"/>
                <w:szCs w:val="22"/>
              </w:rPr>
              <w:t>Minor</w:t>
            </w:r>
          </w:p>
        </w:tc>
        <w:tc>
          <w:tcPr>
            <w:tcW w:w="4414" w:type="dxa"/>
          </w:tcPr>
          <w:p w:rsidR="00E36E4D" w:rsidRDefault="00E748CC" w:rsidP="00E748CC">
            <w:pPr>
              <w:pStyle w:val="Default"/>
              <w:rPr>
                <w:bCs/>
                <w:sz w:val="22"/>
                <w:szCs w:val="22"/>
              </w:rPr>
            </w:pPr>
            <w:r w:rsidRPr="0073079C">
              <w:rPr>
                <w:bCs/>
                <w:sz w:val="22"/>
                <w:szCs w:val="22"/>
              </w:rPr>
              <w:t>The MTR (June 2021) concluded DMSP 2 progress has been made despite the multifaceted and cascading impacts of the COVID-19 pandemic. Adaptive programme- and engagement management by the representations in Accra and Abuja has demonstrated tenacity.</w:t>
            </w:r>
          </w:p>
          <w:p w:rsidR="00E36E4D" w:rsidRDefault="00E36E4D" w:rsidP="00E748CC">
            <w:pPr>
              <w:pStyle w:val="Default"/>
              <w:rPr>
                <w:bCs/>
                <w:sz w:val="22"/>
                <w:szCs w:val="22"/>
              </w:rPr>
            </w:pPr>
          </w:p>
          <w:p w:rsidR="00E748CC" w:rsidRPr="0073079C" w:rsidRDefault="00E748CC">
            <w:pPr>
              <w:pStyle w:val="Default"/>
              <w:rPr>
                <w:bCs/>
                <w:sz w:val="22"/>
                <w:szCs w:val="22"/>
              </w:rPr>
            </w:pPr>
            <w:r w:rsidRPr="0073079C">
              <w:rPr>
                <w:bCs/>
                <w:sz w:val="22"/>
                <w:szCs w:val="22"/>
              </w:rPr>
              <w:t xml:space="preserve">The collaboration and coordination between the two on the ground has been exemplary. A solid partnership foundation has been achieved with the UNODC and KAIPTC on which to build in </w:t>
            </w:r>
            <w:r w:rsidR="00E36E4D">
              <w:rPr>
                <w:bCs/>
                <w:sz w:val="22"/>
                <w:szCs w:val="22"/>
              </w:rPr>
              <w:t>DMSP</w:t>
            </w:r>
            <w:r w:rsidR="00E36E4D" w:rsidRPr="0073079C">
              <w:rPr>
                <w:bCs/>
                <w:sz w:val="22"/>
                <w:szCs w:val="22"/>
              </w:rPr>
              <w:t xml:space="preserve"> </w:t>
            </w:r>
            <w:r w:rsidRPr="0073079C">
              <w:rPr>
                <w:bCs/>
                <w:sz w:val="22"/>
                <w:szCs w:val="22"/>
              </w:rPr>
              <w:t xml:space="preserve">3. Similarly, DCD and (independently of DMSP 2) INTERPOL have acquired COVID-19 adapted management skills. Moreover, counterparts in general have acquired e-collaboration skills through the most used platforms (Zoom </w:t>
            </w:r>
            <w:r w:rsidR="00E36E4D">
              <w:rPr>
                <w:bCs/>
                <w:sz w:val="22"/>
                <w:szCs w:val="22"/>
              </w:rPr>
              <w:t xml:space="preserve">and Cisco Webex platforms </w:t>
            </w:r>
            <w:r w:rsidRPr="0073079C">
              <w:rPr>
                <w:bCs/>
                <w:sz w:val="22"/>
                <w:szCs w:val="22"/>
              </w:rPr>
              <w:t>in particular)</w:t>
            </w:r>
            <w:r w:rsidR="006334F4">
              <w:rPr>
                <w:bCs/>
                <w:sz w:val="22"/>
                <w:szCs w:val="22"/>
              </w:rPr>
              <w:t>.</w:t>
            </w:r>
          </w:p>
        </w:tc>
      </w:tr>
      <w:tr w:rsidR="00E748CC" w:rsidRPr="0073079C" w:rsidTr="00430028">
        <w:tc>
          <w:tcPr>
            <w:tcW w:w="1934" w:type="dxa"/>
          </w:tcPr>
          <w:p w:rsidR="00E748CC" w:rsidRPr="0073079C" w:rsidRDefault="00E748CC" w:rsidP="00E748CC">
            <w:pPr>
              <w:pStyle w:val="Default"/>
              <w:rPr>
                <w:sz w:val="22"/>
                <w:szCs w:val="22"/>
              </w:rPr>
            </w:pPr>
            <w:r w:rsidRPr="0073079C">
              <w:rPr>
                <w:sz w:val="22"/>
                <w:szCs w:val="22"/>
              </w:rPr>
              <w:t>Changes in government priorities away from maritime security</w:t>
            </w:r>
          </w:p>
        </w:tc>
        <w:tc>
          <w:tcPr>
            <w:tcW w:w="1260" w:type="dxa"/>
          </w:tcPr>
          <w:p w:rsidR="00E748CC" w:rsidRPr="00430028" w:rsidRDefault="00E748CC" w:rsidP="00E748CC">
            <w:pPr>
              <w:pStyle w:val="Default"/>
              <w:rPr>
                <w:b/>
                <w:sz w:val="22"/>
                <w:szCs w:val="22"/>
              </w:rPr>
            </w:pPr>
            <w:r w:rsidRPr="00430028">
              <w:rPr>
                <w:b/>
                <w:color w:val="00B050"/>
                <w:sz w:val="22"/>
                <w:szCs w:val="22"/>
              </w:rPr>
              <w:t>Unlikely</w:t>
            </w:r>
          </w:p>
        </w:tc>
        <w:tc>
          <w:tcPr>
            <w:tcW w:w="1257" w:type="dxa"/>
          </w:tcPr>
          <w:p w:rsidR="00E748CC" w:rsidRPr="00430028" w:rsidRDefault="00E748CC" w:rsidP="00E748CC">
            <w:pPr>
              <w:pStyle w:val="Default"/>
              <w:rPr>
                <w:b/>
                <w:sz w:val="22"/>
                <w:szCs w:val="22"/>
              </w:rPr>
            </w:pPr>
            <w:r w:rsidRPr="00430028">
              <w:rPr>
                <w:b/>
                <w:color w:val="FF0000"/>
                <w:sz w:val="22"/>
                <w:szCs w:val="22"/>
              </w:rPr>
              <w:t>Major</w:t>
            </w:r>
          </w:p>
        </w:tc>
        <w:tc>
          <w:tcPr>
            <w:tcW w:w="3766" w:type="dxa"/>
            <w:shd w:val="clear" w:color="auto" w:fill="auto"/>
          </w:tcPr>
          <w:p w:rsidR="00E36E4D" w:rsidRDefault="00E748CC" w:rsidP="00E748CC">
            <w:pPr>
              <w:pStyle w:val="Default"/>
              <w:rPr>
                <w:sz w:val="22"/>
                <w:szCs w:val="22"/>
              </w:rPr>
            </w:pPr>
            <w:r w:rsidRPr="0073079C">
              <w:rPr>
                <w:sz w:val="22"/>
                <w:szCs w:val="22"/>
              </w:rPr>
              <w:t xml:space="preserve">Constant monitoring of the political </w:t>
            </w:r>
            <w:r w:rsidR="00526933">
              <w:rPr>
                <w:sz w:val="22"/>
                <w:szCs w:val="22"/>
              </w:rPr>
              <w:t>landscape</w:t>
            </w:r>
            <w:r w:rsidRPr="0073079C">
              <w:rPr>
                <w:sz w:val="22"/>
                <w:szCs w:val="22"/>
              </w:rPr>
              <w:t>, including at institutional level by the Danish Embassies, UNODC, and KAIPTC</w:t>
            </w:r>
            <w:r w:rsidR="006334F4">
              <w:rPr>
                <w:sz w:val="22"/>
                <w:szCs w:val="22"/>
              </w:rPr>
              <w:t xml:space="preserve"> –</w:t>
            </w:r>
            <w:r w:rsidRPr="0073079C">
              <w:rPr>
                <w:sz w:val="22"/>
                <w:szCs w:val="22"/>
              </w:rPr>
              <w:t xml:space="preserve"> drawing also upon EU assessments. </w:t>
            </w:r>
          </w:p>
          <w:p w:rsidR="00E36E4D" w:rsidRDefault="00E36E4D" w:rsidP="00E748CC">
            <w:pPr>
              <w:pStyle w:val="Default"/>
              <w:rPr>
                <w:sz w:val="22"/>
                <w:szCs w:val="22"/>
              </w:rPr>
            </w:pPr>
          </w:p>
          <w:p w:rsidR="00E748CC" w:rsidRPr="0073079C" w:rsidRDefault="00E748CC" w:rsidP="00E748CC">
            <w:pPr>
              <w:pStyle w:val="Default"/>
              <w:rPr>
                <w:sz w:val="22"/>
                <w:szCs w:val="22"/>
              </w:rPr>
            </w:pPr>
            <w:r w:rsidRPr="0073079C">
              <w:rPr>
                <w:sz w:val="22"/>
                <w:szCs w:val="22"/>
              </w:rPr>
              <w:t xml:space="preserve">Dialogue with government stakeholders (esp. GMA and NIMASA) at senior level in concert with other donors. Development of scenarios </w:t>
            </w:r>
            <w:r w:rsidR="006334F4">
              <w:rPr>
                <w:sz w:val="22"/>
                <w:szCs w:val="22"/>
              </w:rPr>
              <w:t>and</w:t>
            </w:r>
            <w:r w:rsidRPr="0073079C">
              <w:rPr>
                <w:sz w:val="22"/>
                <w:szCs w:val="22"/>
              </w:rPr>
              <w:t xml:space="preserve"> risk responses.</w:t>
            </w:r>
          </w:p>
        </w:tc>
        <w:tc>
          <w:tcPr>
            <w:tcW w:w="1929" w:type="dxa"/>
          </w:tcPr>
          <w:p w:rsidR="00E748CC" w:rsidRPr="0073079C" w:rsidRDefault="00315ECB" w:rsidP="00523931">
            <w:pPr>
              <w:pStyle w:val="Default"/>
              <w:rPr>
                <w:sz w:val="22"/>
                <w:szCs w:val="22"/>
              </w:rPr>
            </w:pPr>
            <w:r w:rsidRPr="00B42D2B">
              <w:rPr>
                <w:b/>
                <w:color w:val="00B050"/>
                <w:sz w:val="22"/>
                <w:szCs w:val="22"/>
              </w:rPr>
              <w:t>Minor</w:t>
            </w:r>
            <w:r w:rsidRPr="0073079C">
              <w:rPr>
                <w:sz w:val="22"/>
                <w:szCs w:val="22"/>
              </w:rPr>
              <w:t xml:space="preserve"> </w:t>
            </w:r>
            <w:r w:rsidR="00E748CC" w:rsidRPr="0073079C">
              <w:rPr>
                <w:sz w:val="22"/>
                <w:szCs w:val="22"/>
              </w:rPr>
              <w:t>risk in the short to medium term.</w:t>
            </w:r>
          </w:p>
        </w:tc>
        <w:tc>
          <w:tcPr>
            <w:tcW w:w="4414" w:type="dxa"/>
          </w:tcPr>
          <w:p w:rsidR="00E748CC" w:rsidRPr="0073079C" w:rsidRDefault="00E748CC" w:rsidP="00E748CC">
            <w:pPr>
              <w:pStyle w:val="Default"/>
              <w:rPr>
                <w:sz w:val="22"/>
                <w:szCs w:val="22"/>
              </w:rPr>
            </w:pPr>
            <w:r w:rsidRPr="0073079C">
              <w:rPr>
                <w:sz w:val="22"/>
                <w:szCs w:val="22"/>
              </w:rPr>
              <w:t xml:space="preserve">There will be a likely ‘leading by example’ effect by the </w:t>
            </w:r>
            <w:r w:rsidR="006334F4">
              <w:rPr>
                <w:sz w:val="22"/>
                <w:szCs w:val="22"/>
              </w:rPr>
              <w:t xml:space="preserve">Nigerian </w:t>
            </w:r>
            <w:r w:rsidRPr="0073079C">
              <w:rPr>
                <w:sz w:val="22"/>
                <w:szCs w:val="22"/>
              </w:rPr>
              <w:t>initiation in June 2021 of the highly anticipated Integrated National Security and Waterways Protection Infrastructure, the Deep Blue Project, under the Nigerian Maritime Administration and Safety Agency (NIMASA). Designed for the total spectrum of maritime security and better maritime domain awareness, including intelligence, the Deep Blue Project is the first intergovernmental and integrated maritime security project in West and Central Africa</w:t>
            </w:r>
            <w:r w:rsidR="006334F4">
              <w:rPr>
                <w:sz w:val="22"/>
                <w:szCs w:val="22"/>
              </w:rPr>
              <w:t>.</w:t>
            </w:r>
          </w:p>
          <w:p w:rsidR="00E748CC" w:rsidRPr="0073079C" w:rsidRDefault="00E748CC" w:rsidP="00E748CC">
            <w:pPr>
              <w:pStyle w:val="Default"/>
              <w:rPr>
                <w:sz w:val="22"/>
                <w:szCs w:val="22"/>
              </w:rPr>
            </w:pPr>
          </w:p>
        </w:tc>
      </w:tr>
      <w:tr w:rsidR="00E748CC" w:rsidRPr="0073079C" w:rsidTr="00430028">
        <w:tc>
          <w:tcPr>
            <w:tcW w:w="1934" w:type="dxa"/>
          </w:tcPr>
          <w:p w:rsidR="00E748CC" w:rsidRPr="0073079C" w:rsidRDefault="00E748CC" w:rsidP="00E748CC">
            <w:pPr>
              <w:pStyle w:val="Default"/>
              <w:rPr>
                <w:sz w:val="22"/>
                <w:szCs w:val="22"/>
              </w:rPr>
            </w:pPr>
            <w:r w:rsidRPr="0073079C">
              <w:rPr>
                <w:sz w:val="22"/>
                <w:szCs w:val="22"/>
              </w:rPr>
              <w:t xml:space="preserve">Further deterioration in maritime security situation in the GoG </w:t>
            </w:r>
          </w:p>
        </w:tc>
        <w:tc>
          <w:tcPr>
            <w:tcW w:w="1260" w:type="dxa"/>
          </w:tcPr>
          <w:p w:rsidR="00E748CC" w:rsidRPr="00430028" w:rsidRDefault="00E748CC" w:rsidP="00E748CC">
            <w:pPr>
              <w:pStyle w:val="Default"/>
              <w:rPr>
                <w:b/>
                <w:sz w:val="22"/>
                <w:szCs w:val="22"/>
              </w:rPr>
            </w:pPr>
            <w:r w:rsidRPr="00430028">
              <w:rPr>
                <w:b/>
                <w:color w:val="E36C0A" w:themeColor="accent6" w:themeShade="BF"/>
                <w:sz w:val="22"/>
                <w:szCs w:val="22"/>
              </w:rPr>
              <w:t>Likely</w:t>
            </w:r>
          </w:p>
        </w:tc>
        <w:tc>
          <w:tcPr>
            <w:tcW w:w="1257" w:type="dxa"/>
          </w:tcPr>
          <w:p w:rsidR="00E748CC" w:rsidRPr="00430028" w:rsidRDefault="00523931" w:rsidP="00E748CC">
            <w:pPr>
              <w:pStyle w:val="Default"/>
              <w:rPr>
                <w:b/>
                <w:sz w:val="22"/>
                <w:szCs w:val="22"/>
              </w:rPr>
            </w:pPr>
            <w:r w:rsidRPr="00430028">
              <w:rPr>
                <w:b/>
                <w:color w:val="E36C0A" w:themeColor="accent6" w:themeShade="BF"/>
                <w:sz w:val="22"/>
                <w:szCs w:val="22"/>
              </w:rPr>
              <w:t>S</w:t>
            </w:r>
            <w:r w:rsidR="00E748CC" w:rsidRPr="00430028">
              <w:rPr>
                <w:b/>
                <w:color w:val="E36C0A" w:themeColor="accent6" w:themeShade="BF"/>
                <w:sz w:val="22"/>
                <w:szCs w:val="22"/>
              </w:rPr>
              <w:t>ignificant</w:t>
            </w:r>
          </w:p>
        </w:tc>
        <w:tc>
          <w:tcPr>
            <w:tcW w:w="3766" w:type="dxa"/>
          </w:tcPr>
          <w:p w:rsidR="00E748CC" w:rsidRPr="0073079C" w:rsidRDefault="00E748CC">
            <w:pPr>
              <w:pStyle w:val="Default"/>
              <w:rPr>
                <w:sz w:val="22"/>
                <w:szCs w:val="22"/>
              </w:rPr>
            </w:pPr>
            <w:r w:rsidRPr="0073079C">
              <w:rPr>
                <w:sz w:val="22"/>
                <w:szCs w:val="22"/>
              </w:rPr>
              <w:t xml:space="preserve">The overall security situation in the </w:t>
            </w:r>
            <w:r w:rsidR="00E36E4D">
              <w:rPr>
                <w:sz w:val="22"/>
                <w:szCs w:val="22"/>
              </w:rPr>
              <w:t xml:space="preserve">GoG </w:t>
            </w:r>
            <w:r w:rsidRPr="0073079C">
              <w:rPr>
                <w:sz w:val="22"/>
                <w:szCs w:val="22"/>
              </w:rPr>
              <w:t>region is deteriorating with rising numbers of piracy and other maritime crimes occurring unabated. Piracy and other maritime crime related financial flows feed on land crime networks of kingpins, sponsors interlink with corrupt officials, and have become bolder and more capable deep offshore pirates who target international shipping traffic</w:t>
            </w:r>
            <w:r w:rsidR="006334F4">
              <w:rPr>
                <w:sz w:val="22"/>
                <w:szCs w:val="22"/>
              </w:rPr>
              <w:t xml:space="preserve"> as well as</w:t>
            </w:r>
            <w:r w:rsidRPr="0073079C">
              <w:rPr>
                <w:sz w:val="22"/>
                <w:szCs w:val="22"/>
              </w:rPr>
              <w:t xml:space="preserve"> coastal low-reach pirates</w:t>
            </w:r>
            <w:r w:rsidR="00E36E4D">
              <w:rPr>
                <w:sz w:val="22"/>
                <w:szCs w:val="22"/>
              </w:rPr>
              <w:t>,</w:t>
            </w:r>
            <w:r w:rsidRPr="0073079C">
              <w:rPr>
                <w:sz w:val="22"/>
                <w:szCs w:val="22"/>
              </w:rPr>
              <w:t xml:space="preserve"> who operate up to 40 nautical miles from shore and primarily target local vessels</w:t>
            </w:r>
            <w:r w:rsidR="006334F4">
              <w:rPr>
                <w:sz w:val="22"/>
                <w:szCs w:val="22"/>
              </w:rPr>
              <w:t>.</w:t>
            </w:r>
          </w:p>
        </w:tc>
        <w:tc>
          <w:tcPr>
            <w:tcW w:w="1929" w:type="dxa"/>
          </w:tcPr>
          <w:p w:rsidR="00E748CC" w:rsidRPr="0073079C" w:rsidRDefault="00E748CC" w:rsidP="00E748CC">
            <w:pPr>
              <w:pStyle w:val="Default"/>
              <w:rPr>
                <w:sz w:val="22"/>
                <w:szCs w:val="22"/>
              </w:rPr>
            </w:pPr>
            <w:r w:rsidRPr="00430028">
              <w:rPr>
                <w:b/>
                <w:color w:val="FF0000"/>
                <w:sz w:val="22"/>
                <w:szCs w:val="22"/>
              </w:rPr>
              <w:t>Major</w:t>
            </w:r>
            <w:r w:rsidRPr="0073079C">
              <w:rPr>
                <w:sz w:val="22"/>
                <w:szCs w:val="22"/>
              </w:rPr>
              <w:t xml:space="preserve"> but depends upon extent of escalation and acceleration and effectiveness of ECJC counter measures. Difficult to predict with trends in piracy and other maritime crime to be closely monitored</w:t>
            </w:r>
            <w:r w:rsidR="006334F4">
              <w:rPr>
                <w:sz w:val="22"/>
                <w:szCs w:val="22"/>
              </w:rPr>
              <w:t>.</w:t>
            </w:r>
          </w:p>
        </w:tc>
        <w:tc>
          <w:tcPr>
            <w:tcW w:w="4414" w:type="dxa"/>
          </w:tcPr>
          <w:p w:rsidR="00E748CC" w:rsidRPr="0073079C" w:rsidRDefault="00E748CC">
            <w:pPr>
              <w:pStyle w:val="Default"/>
              <w:rPr>
                <w:sz w:val="22"/>
                <w:szCs w:val="22"/>
              </w:rPr>
            </w:pPr>
            <w:r w:rsidRPr="0073079C">
              <w:rPr>
                <w:sz w:val="22"/>
                <w:szCs w:val="22"/>
              </w:rPr>
              <w:t xml:space="preserve">There has been an increasing trend towards offshore attacks off the coast of Nigeria (including kidnap for ransom) and </w:t>
            </w:r>
            <w:r w:rsidR="00DC6A54">
              <w:rPr>
                <w:sz w:val="22"/>
                <w:szCs w:val="22"/>
              </w:rPr>
              <w:t xml:space="preserve">a </w:t>
            </w:r>
            <w:r w:rsidRPr="0073079C">
              <w:rPr>
                <w:sz w:val="22"/>
                <w:szCs w:val="22"/>
              </w:rPr>
              <w:t xml:space="preserve">private sector now considering </w:t>
            </w:r>
            <w:r w:rsidR="00E36E4D" w:rsidRPr="0073079C">
              <w:rPr>
                <w:sz w:val="22"/>
                <w:szCs w:val="22"/>
              </w:rPr>
              <w:t>scop</w:t>
            </w:r>
            <w:r w:rsidR="00E36E4D">
              <w:rPr>
                <w:sz w:val="22"/>
                <w:szCs w:val="22"/>
              </w:rPr>
              <w:t>ing</w:t>
            </w:r>
            <w:r w:rsidR="00E36E4D" w:rsidRPr="0073079C">
              <w:rPr>
                <w:sz w:val="22"/>
                <w:szCs w:val="22"/>
              </w:rPr>
              <w:t xml:space="preserve"> </w:t>
            </w:r>
            <w:r w:rsidRPr="0073079C">
              <w:rPr>
                <w:sz w:val="22"/>
                <w:szCs w:val="22"/>
              </w:rPr>
              <w:t>for armed guards on board vessels. The beginning of piracy convictions in Nigerian and Togo provide a counter trend to the increasing sophistication of piracy and the criminal networks that feed on the related illicit economy.</w:t>
            </w:r>
          </w:p>
        </w:tc>
      </w:tr>
    </w:tbl>
    <w:p w:rsidR="00315ECB" w:rsidRDefault="00315ECB">
      <w:pPr>
        <w:rPr>
          <w:rStyle w:val="Heading2Char"/>
          <w:b/>
          <w:color w:val="auto"/>
        </w:rPr>
      </w:pPr>
      <w:r>
        <w:rPr>
          <w:rStyle w:val="Heading2Char"/>
          <w:b/>
          <w:color w:val="auto"/>
        </w:rPr>
        <w:br w:type="page"/>
      </w:r>
    </w:p>
    <w:p w:rsidR="003E6C07" w:rsidRPr="0073079C" w:rsidRDefault="003E6C07" w:rsidP="003E6C07">
      <w:r w:rsidRPr="0073079C">
        <w:rPr>
          <w:rStyle w:val="Heading2Char"/>
          <w:b/>
          <w:color w:val="auto"/>
        </w:rPr>
        <w:lastRenderedPageBreak/>
        <w:t>Programmatic risks</w:t>
      </w:r>
      <w:r w:rsidR="00FB1488" w:rsidRPr="0073079C">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2"/>
        <w:gridCol w:w="1272"/>
        <w:gridCol w:w="1086"/>
        <w:gridCol w:w="2584"/>
        <w:gridCol w:w="3072"/>
        <w:gridCol w:w="4714"/>
      </w:tblGrid>
      <w:tr w:rsidR="00C86C10" w:rsidRPr="0073079C" w:rsidTr="00430028">
        <w:tc>
          <w:tcPr>
            <w:tcW w:w="1834" w:type="dxa"/>
          </w:tcPr>
          <w:p w:rsidR="00C86C10" w:rsidRPr="0073079C" w:rsidRDefault="00C86C10" w:rsidP="00B045D6">
            <w:pPr>
              <w:pStyle w:val="Default"/>
              <w:rPr>
                <w:b/>
                <w:sz w:val="22"/>
                <w:szCs w:val="22"/>
              </w:rPr>
            </w:pPr>
            <w:r w:rsidRPr="0073079C">
              <w:rPr>
                <w:b/>
                <w:sz w:val="22"/>
                <w:szCs w:val="22"/>
              </w:rPr>
              <w:t>Risk Factor</w:t>
            </w:r>
          </w:p>
        </w:tc>
        <w:tc>
          <w:tcPr>
            <w:tcW w:w="1274" w:type="dxa"/>
          </w:tcPr>
          <w:p w:rsidR="00C86C10" w:rsidRPr="0073079C" w:rsidRDefault="00C86C10" w:rsidP="00B045D6">
            <w:pPr>
              <w:pStyle w:val="Default"/>
              <w:rPr>
                <w:b/>
                <w:sz w:val="22"/>
                <w:szCs w:val="22"/>
              </w:rPr>
            </w:pPr>
            <w:r w:rsidRPr="0073079C">
              <w:rPr>
                <w:b/>
                <w:sz w:val="22"/>
                <w:szCs w:val="22"/>
              </w:rPr>
              <w:t>Likelihood</w:t>
            </w:r>
          </w:p>
        </w:tc>
        <w:tc>
          <w:tcPr>
            <w:tcW w:w="998" w:type="dxa"/>
          </w:tcPr>
          <w:p w:rsidR="00C86C10" w:rsidRPr="0073079C" w:rsidRDefault="00C86C10" w:rsidP="00B045D6">
            <w:pPr>
              <w:pStyle w:val="Default"/>
              <w:rPr>
                <w:b/>
                <w:sz w:val="22"/>
                <w:szCs w:val="22"/>
              </w:rPr>
            </w:pPr>
            <w:r w:rsidRPr="0073079C">
              <w:rPr>
                <w:b/>
                <w:sz w:val="22"/>
                <w:szCs w:val="22"/>
              </w:rPr>
              <w:t>Impact</w:t>
            </w:r>
          </w:p>
        </w:tc>
        <w:tc>
          <w:tcPr>
            <w:tcW w:w="2601" w:type="dxa"/>
          </w:tcPr>
          <w:p w:rsidR="00C86C10" w:rsidRPr="0073079C" w:rsidRDefault="00C86C10" w:rsidP="00B045D6">
            <w:pPr>
              <w:pStyle w:val="Default"/>
              <w:rPr>
                <w:b/>
                <w:sz w:val="22"/>
                <w:szCs w:val="22"/>
              </w:rPr>
            </w:pPr>
            <w:r w:rsidRPr="0073079C">
              <w:rPr>
                <w:b/>
                <w:sz w:val="22"/>
                <w:szCs w:val="22"/>
              </w:rPr>
              <w:t>Risk response</w:t>
            </w:r>
          </w:p>
        </w:tc>
        <w:tc>
          <w:tcPr>
            <w:tcW w:w="3093" w:type="dxa"/>
          </w:tcPr>
          <w:p w:rsidR="00C86C10" w:rsidRPr="0073079C" w:rsidRDefault="00C86C10" w:rsidP="00B045D6">
            <w:pPr>
              <w:pStyle w:val="Default"/>
              <w:rPr>
                <w:b/>
                <w:sz w:val="22"/>
                <w:szCs w:val="22"/>
              </w:rPr>
            </w:pPr>
            <w:r w:rsidRPr="0073079C">
              <w:rPr>
                <w:b/>
                <w:sz w:val="22"/>
                <w:szCs w:val="22"/>
              </w:rPr>
              <w:t>Residual risk</w:t>
            </w:r>
          </w:p>
        </w:tc>
        <w:tc>
          <w:tcPr>
            <w:tcW w:w="4760" w:type="dxa"/>
          </w:tcPr>
          <w:p w:rsidR="00C86C10" w:rsidRPr="0073079C" w:rsidRDefault="00C86C10" w:rsidP="00B045D6">
            <w:pPr>
              <w:pStyle w:val="Default"/>
              <w:rPr>
                <w:b/>
                <w:sz w:val="22"/>
                <w:szCs w:val="22"/>
              </w:rPr>
            </w:pPr>
            <w:r w:rsidRPr="0073079C">
              <w:rPr>
                <w:b/>
                <w:sz w:val="22"/>
                <w:szCs w:val="22"/>
              </w:rPr>
              <w:t>Background to assessment</w:t>
            </w:r>
          </w:p>
        </w:tc>
      </w:tr>
      <w:tr w:rsidR="00147A86" w:rsidRPr="0073079C" w:rsidTr="00430028">
        <w:tc>
          <w:tcPr>
            <w:tcW w:w="1834" w:type="dxa"/>
          </w:tcPr>
          <w:p w:rsidR="00147A86" w:rsidRPr="0073079C" w:rsidRDefault="00E17D74" w:rsidP="0048134A">
            <w:pPr>
              <w:pStyle w:val="Default"/>
              <w:rPr>
                <w:sz w:val="22"/>
                <w:szCs w:val="22"/>
              </w:rPr>
            </w:pPr>
            <w:r w:rsidRPr="0073079C">
              <w:rPr>
                <w:sz w:val="22"/>
                <w:szCs w:val="22"/>
              </w:rPr>
              <w:t>S</w:t>
            </w:r>
            <w:r w:rsidR="007A4D69" w:rsidRPr="0073079C">
              <w:rPr>
                <w:sz w:val="22"/>
                <w:szCs w:val="22"/>
              </w:rPr>
              <w:t>i</w:t>
            </w:r>
            <w:r w:rsidRPr="0073079C">
              <w:rPr>
                <w:sz w:val="22"/>
                <w:szCs w:val="22"/>
              </w:rPr>
              <w:t xml:space="preserve">loed approaches to </w:t>
            </w:r>
            <w:r w:rsidR="007A4D69" w:rsidRPr="0073079C">
              <w:rPr>
                <w:sz w:val="22"/>
                <w:szCs w:val="22"/>
              </w:rPr>
              <w:t xml:space="preserve">implementation by UNODC, INTERPOL, </w:t>
            </w:r>
            <w:r w:rsidR="00A016F1" w:rsidRPr="0073079C">
              <w:rPr>
                <w:sz w:val="22"/>
                <w:szCs w:val="22"/>
              </w:rPr>
              <w:t>KAIPTC,</w:t>
            </w:r>
            <w:r w:rsidR="007A4D69" w:rsidRPr="0073079C">
              <w:rPr>
                <w:sz w:val="22"/>
                <w:szCs w:val="22"/>
              </w:rPr>
              <w:t xml:space="preserve"> and DCD</w:t>
            </w:r>
            <w:r w:rsidR="00147A86" w:rsidRPr="0073079C">
              <w:rPr>
                <w:sz w:val="22"/>
                <w:szCs w:val="22"/>
              </w:rPr>
              <w:t xml:space="preserve"> </w:t>
            </w:r>
          </w:p>
        </w:tc>
        <w:tc>
          <w:tcPr>
            <w:tcW w:w="1274" w:type="dxa"/>
          </w:tcPr>
          <w:p w:rsidR="00147A86" w:rsidRPr="00430028" w:rsidRDefault="00DC6A54" w:rsidP="00B045D6">
            <w:pPr>
              <w:pStyle w:val="Default"/>
              <w:rPr>
                <w:b/>
                <w:sz w:val="22"/>
                <w:szCs w:val="22"/>
              </w:rPr>
            </w:pPr>
            <w:r w:rsidRPr="00430028">
              <w:rPr>
                <w:b/>
                <w:color w:val="E36C0A" w:themeColor="accent6" w:themeShade="BF"/>
                <w:sz w:val="22"/>
                <w:szCs w:val="22"/>
              </w:rPr>
              <w:t>L</w:t>
            </w:r>
            <w:r w:rsidR="007A4D69" w:rsidRPr="00430028">
              <w:rPr>
                <w:b/>
                <w:color w:val="E36C0A" w:themeColor="accent6" w:themeShade="BF"/>
                <w:sz w:val="22"/>
                <w:szCs w:val="22"/>
              </w:rPr>
              <w:t>ikely</w:t>
            </w:r>
          </w:p>
        </w:tc>
        <w:tc>
          <w:tcPr>
            <w:tcW w:w="998" w:type="dxa"/>
          </w:tcPr>
          <w:p w:rsidR="00147A86" w:rsidRPr="00430028" w:rsidRDefault="00147A86" w:rsidP="00866DE6">
            <w:pPr>
              <w:pStyle w:val="Default"/>
              <w:rPr>
                <w:b/>
                <w:sz w:val="22"/>
                <w:szCs w:val="22"/>
              </w:rPr>
            </w:pPr>
            <w:r w:rsidRPr="00430028">
              <w:rPr>
                <w:b/>
                <w:color w:val="FF0000"/>
                <w:sz w:val="22"/>
                <w:szCs w:val="22"/>
              </w:rPr>
              <w:t>Major</w:t>
            </w:r>
          </w:p>
        </w:tc>
        <w:tc>
          <w:tcPr>
            <w:tcW w:w="2601" w:type="dxa"/>
          </w:tcPr>
          <w:p w:rsidR="00147A86" w:rsidRDefault="00BB0323" w:rsidP="00317FD9">
            <w:pPr>
              <w:pStyle w:val="Default"/>
              <w:rPr>
                <w:sz w:val="22"/>
                <w:szCs w:val="22"/>
              </w:rPr>
            </w:pPr>
            <w:r>
              <w:rPr>
                <w:sz w:val="22"/>
                <w:szCs w:val="22"/>
              </w:rPr>
              <w:t xml:space="preserve"> Continue to build on good relations established as part of DMSP 2 and promote coordination and exploitation of synergies through the newly established</w:t>
            </w:r>
          </w:p>
          <w:p w:rsidR="00526933" w:rsidRPr="0073079C" w:rsidRDefault="00526933" w:rsidP="00317FD9">
            <w:pPr>
              <w:pStyle w:val="Default"/>
              <w:rPr>
                <w:sz w:val="22"/>
                <w:szCs w:val="22"/>
              </w:rPr>
            </w:pPr>
            <w:r>
              <w:rPr>
                <w:sz w:val="22"/>
                <w:szCs w:val="22"/>
              </w:rPr>
              <w:t xml:space="preserve">Cross </w:t>
            </w:r>
            <w:r w:rsidR="00BB0323">
              <w:rPr>
                <w:sz w:val="22"/>
                <w:szCs w:val="22"/>
              </w:rPr>
              <w:t>Engagement Coordination C</w:t>
            </w:r>
            <w:r>
              <w:rPr>
                <w:sz w:val="22"/>
                <w:szCs w:val="22"/>
              </w:rPr>
              <w:t>ommittee</w:t>
            </w:r>
            <w:r w:rsidR="00BB0323">
              <w:rPr>
                <w:sz w:val="22"/>
                <w:szCs w:val="22"/>
              </w:rPr>
              <w:t>.</w:t>
            </w:r>
            <w:r>
              <w:rPr>
                <w:sz w:val="22"/>
                <w:szCs w:val="22"/>
              </w:rPr>
              <w:t xml:space="preserve"> </w:t>
            </w:r>
          </w:p>
        </w:tc>
        <w:tc>
          <w:tcPr>
            <w:tcW w:w="3093" w:type="dxa"/>
          </w:tcPr>
          <w:p w:rsidR="00147A86" w:rsidRPr="0073079C" w:rsidRDefault="00315ECB" w:rsidP="004206D5">
            <w:pPr>
              <w:pStyle w:val="Default"/>
              <w:rPr>
                <w:sz w:val="22"/>
                <w:szCs w:val="22"/>
              </w:rPr>
            </w:pPr>
            <w:r w:rsidRPr="00B42D2B">
              <w:rPr>
                <w:b/>
                <w:color w:val="00B050"/>
                <w:sz w:val="22"/>
                <w:szCs w:val="22"/>
              </w:rPr>
              <w:t>Minor</w:t>
            </w:r>
            <w:r w:rsidR="004B6394" w:rsidRPr="0073079C">
              <w:rPr>
                <w:sz w:val="22"/>
                <w:szCs w:val="22"/>
              </w:rPr>
              <w:t>, but weak buy-in may also affect implementation. The programme builds upon existing good relations between implementing partners and local stakeholders.</w:t>
            </w:r>
          </w:p>
        </w:tc>
        <w:tc>
          <w:tcPr>
            <w:tcW w:w="4760" w:type="dxa"/>
          </w:tcPr>
          <w:p w:rsidR="00D22B46" w:rsidRDefault="00EE1825" w:rsidP="00DC6A54">
            <w:pPr>
              <w:pStyle w:val="Default"/>
              <w:rPr>
                <w:sz w:val="22"/>
                <w:szCs w:val="22"/>
              </w:rPr>
            </w:pPr>
            <w:r w:rsidRPr="0073079C">
              <w:rPr>
                <w:sz w:val="22"/>
                <w:szCs w:val="22"/>
              </w:rPr>
              <w:t xml:space="preserve">Existing collaboration between UNODC and INTERPOL and </w:t>
            </w:r>
            <w:r w:rsidR="000F37F4" w:rsidRPr="0073079C">
              <w:rPr>
                <w:sz w:val="22"/>
                <w:szCs w:val="22"/>
              </w:rPr>
              <w:t xml:space="preserve">the fact that DCS already independently </w:t>
            </w:r>
            <w:r w:rsidR="00EC232A" w:rsidRPr="0073079C">
              <w:rPr>
                <w:sz w:val="22"/>
                <w:szCs w:val="22"/>
              </w:rPr>
              <w:t>contribute</w:t>
            </w:r>
            <w:r w:rsidR="000F37F4" w:rsidRPr="0073079C">
              <w:rPr>
                <w:sz w:val="22"/>
                <w:szCs w:val="22"/>
              </w:rPr>
              <w:t xml:space="preserve"> to OBANGAME </w:t>
            </w:r>
            <w:r w:rsidR="00D22B46">
              <w:rPr>
                <w:sz w:val="22"/>
                <w:szCs w:val="22"/>
              </w:rPr>
              <w:t xml:space="preserve">EXPRESS </w:t>
            </w:r>
            <w:r w:rsidR="000F37F4" w:rsidRPr="0073079C">
              <w:rPr>
                <w:sz w:val="22"/>
                <w:szCs w:val="22"/>
              </w:rPr>
              <w:t xml:space="preserve">exercises </w:t>
            </w:r>
            <w:r w:rsidR="006E5B39" w:rsidRPr="0073079C">
              <w:rPr>
                <w:sz w:val="22"/>
                <w:szCs w:val="22"/>
              </w:rPr>
              <w:t xml:space="preserve">implies that the programme </w:t>
            </w:r>
            <w:r w:rsidR="00EC232A" w:rsidRPr="0073079C">
              <w:rPr>
                <w:sz w:val="22"/>
                <w:szCs w:val="22"/>
              </w:rPr>
              <w:t>builds</w:t>
            </w:r>
            <w:r w:rsidR="006E5B39" w:rsidRPr="0073079C">
              <w:rPr>
                <w:sz w:val="22"/>
                <w:szCs w:val="22"/>
              </w:rPr>
              <w:t xml:space="preserve"> on existing relations and </w:t>
            </w:r>
            <w:r w:rsidR="00EC232A" w:rsidRPr="0073079C">
              <w:rPr>
                <w:sz w:val="22"/>
                <w:szCs w:val="22"/>
              </w:rPr>
              <w:t>collaboration</w:t>
            </w:r>
            <w:r w:rsidR="007E58AC" w:rsidRPr="0073079C">
              <w:rPr>
                <w:sz w:val="22"/>
                <w:szCs w:val="22"/>
              </w:rPr>
              <w:t xml:space="preserve"> rather than expecting new relat</w:t>
            </w:r>
            <w:r w:rsidR="00DC6A54">
              <w:rPr>
                <w:sz w:val="22"/>
                <w:szCs w:val="22"/>
              </w:rPr>
              <w:t>ions</w:t>
            </w:r>
            <w:r w:rsidR="007E58AC" w:rsidRPr="0073079C">
              <w:rPr>
                <w:sz w:val="22"/>
                <w:szCs w:val="22"/>
              </w:rPr>
              <w:t xml:space="preserve"> to be effective.</w:t>
            </w:r>
          </w:p>
          <w:p w:rsidR="00D22B46" w:rsidRDefault="00D22B46" w:rsidP="00DC6A54">
            <w:pPr>
              <w:pStyle w:val="Default"/>
              <w:rPr>
                <w:sz w:val="22"/>
                <w:szCs w:val="22"/>
              </w:rPr>
            </w:pPr>
          </w:p>
          <w:p w:rsidR="007E58AC" w:rsidRPr="0073079C" w:rsidRDefault="007E58AC">
            <w:pPr>
              <w:pStyle w:val="Default"/>
              <w:rPr>
                <w:sz w:val="22"/>
                <w:szCs w:val="22"/>
              </w:rPr>
            </w:pPr>
            <w:r w:rsidRPr="0073079C">
              <w:rPr>
                <w:sz w:val="22"/>
                <w:szCs w:val="22"/>
              </w:rPr>
              <w:t xml:space="preserve">However, </w:t>
            </w:r>
            <w:r w:rsidR="00D62F3D" w:rsidRPr="0073079C">
              <w:rPr>
                <w:sz w:val="22"/>
                <w:szCs w:val="22"/>
              </w:rPr>
              <w:t xml:space="preserve">the in principle agreed collaboration </w:t>
            </w:r>
            <w:r w:rsidR="00EC232A" w:rsidRPr="0073079C">
              <w:rPr>
                <w:sz w:val="22"/>
                <w:szCs w:val="22"/>
              </w:rPr>
              <w:t>between</w:t>
            </w:r>
            <w:r w:rsidR="00D62F3D" w:rsidRPr="0073079C">
              <w:rPr>
                <w:sz w:val="22"/>
                <w:szCs w:val="22"/>
              </w:rPr>
              <w:t xml:space="preserve"> KAIPTC and</w:t>
            </w:r>
            <w:r w:rsidR="007E18FB" w:rsidRPr="0073079C">
              <w:rPr>
                <w:sz w:val="22"/>
                <w:szCs w:val="22"/>
              </w:rPr>
              <w:t xml:space="preserve"> UNODC need</w:t>
            </w:r>
            <w:r w:rsidR="00DC6A54">
              <w:rPr>
                <w:sz w:val="22"/>
                <w:szCs w:val="22"/>
              </w:rPr>
              <w:t>s</w:t>
            </w:r>
            <w:r w:rsidR="007E18FB" w:rsidRPr="0073079C">
              <w:rPr>
                <w:sz w:val="22"/>
                <w:szCs w:val="22"/>
              </w:rPr>
              <w:t xml:space="preserve"> </w:t>
            </w:r>
            <w:r w:rsidR="00EC232A" w:rsidRPr="0073079C">
              <w:rPr>
                <w:sz w:val="22"/>
                <w:szCs w:val="22"/>
              </w:rPr>
              <w:t>careful</w:t>
            </w:r>
            <w:r w:rsidR="007E18FB" w:rsidRPr="0073079C">
              <w:rPr>
                <w:sz w:val="22"/>
                <w:szCs w:val="22"/>
              </w:rPr>
              <w:t xml:space="preserve"> attention </w:t>
            </w:r>
            <w:r w:rsidR="00D74067" w:rsidRPr="0073079C">
              <w:rPr>
                <w:sz w:val="22"/>
                <w:szCs w:val="22"/>
              </w:rPr>
              <w:t>since it is new and regarding a new theme in the programme</w:t>
            </w:r>
            <w:r w:rsidR="00D22B46">
              <w:rPr>
                <w:sz w:val="22"/>
                <w:szCs w:val="22"/>
              </w:rPr>
              <w:t xml:space="preserve"> in the </w:t>
            </w:r>
            <w:r w:rsidR="00D74067" w:rsidRPr="0073079C">
              <w:rPr>
                <w:sz w:val="22"/>
                <w:szCs w:val="22"/>
              </w:rPr>
              <w:t>WPS</w:t>
            </w:r>
            <w:r w:rsidR="00D22B46">
              <w:rPr>
                <w:sz w:val="22"/>
                <w:szCs w:val="22"/>
              </w:rPr>
              <w:t>-agenda.</w:t>
            </w:r>
            <w:r w:rsidR="00D62F3D" w:rsidRPr="0073079C">
              <w:rPr>
                <w:sz w:val="22"/>
                <w:szCs w:val="22"/>
              </w:rPr>
              <w:t xml:space="preserve"> </w:t>
            </w:r>
          </w:p>
        </w:tc>
      </w:tr>
      <w:tr w:rsidR="00A1254B" w:rsidRPr="0073079C" w:rsidTr="00430028">
        <w:tc>
          <w:tcPr>
            <w:tcW w:w="1834" w:type="dxa"/>
          </w:tcPr>
          <w:p w:rsidR="00A1254B" w:rsidRPr="0073079C" w:rsidRDefault="00A1254B" w:rsidP="00A1254B">
            <w:pPr>
              <w:pStyle w:val="Default"/>
              <w:rPr>
                <w:sz w:val="22"/>
                <w:szCs w:val="22"/>
              </w:rPr>
            </w:pPr>
            <w:r w:rsidRPr="0073079C">
              <w:rPr>
                <w:sz w:val="22"/>
                <w:szCs w:val="22"/>
              </w:rPr>
              <w:t xml:space="preserve">Fragmented and output </w:t>
            </w:r>
            <w:r w:rsidR="00EC232A" w:rsidRPr="0073079C">
              <w:rPr>
                <w:sz w:val="22"/>
                <w:szCs w:val="22"/>
              </w:rPr>
              <w:t>focused</w:t>
            </w:r>
            <w:r w:rsidRPr="0073079C">
              <w:rPr>
                <w:sz w:val="22"/>
                <w:szCs w:val="22"/>
              </w:rPr>
              <w:t xml:space="preserve"> monitoring and evaluation</w:t>
            </w:r>
          </w:p>
        </w:tc>
        <w:tc>
          <w:tcPr>
            <w:tcW w:w="1274" w:type="dxa"/>
          </w:tcPr>
          <w:p w:rsidR="00A1254B" w:rsidRPr="0073079C" w:rsidRDefault="00DC6A54" w:rsidP="00A1254B">
            <w:pPr>
              <w:pStyle w:val="Default"/>
              <w:rPr>
                <w:sz w:val="22"/>
                <w:szCs w:val="22"/>
              </w:rPr>
            </w:pPr>
            <w:r w:rsidRPr="00430028">
              <w:rPr>
                <w:b/>
                <w:color w:val="E36C0A" w:themeColor="accent6" w:themeShade="BF"/>
                <w:sz w:val="22"/>
                <w:szCs w:val="22"/>
              </w:rPr>
              <w:t>L</w:t>
            </w:r>
            <w:r w:rsidR="00A1254B" w:rsidRPr="00430028">
              <w:rPr>
                <w:b/>
                <w:color w:val="E36C0A" w:themeColor="accent6" w:themeShade="BF"/>
                <w:sz w:val="22"/>
                <w:szCs w:val="22"/>
              </w:rPr>
              <w:t>ikely</w:t>
            </w:r>
          </w:p>
        </w:tc>
        <w:tc>
          <w:tcPr>
            <w:tcW w:w="998" w:type="dxa"/>
          </w:tcPr>
          <w:p w:rsidR="00A1254B" w:rsidRPr="0073079C" w:rsidRDefault="00DC6A54" w:rsidP="00A1254B">
            <w:pPr>
              <w:pStyle w:val="Default"/>
              <w:rPr>
                <w:sz w:val="22"/>
                <w:szCs w:val="22"/>
              </w:rPr>
            </w:pPr>
            <w:r w:rsidRPr="00430028">
              <w:rPr>
                <w:b/>
                <w:color w:val="FF0000"/>
                <w:sz w:val="22"/>
                <w:szCs w:val="22"/>
              </w:rPr>
              <w:t>M</w:t>
            </w:r>
            <w:r w:rsidR="00A1254B" w:rsidRPr="00430028">
              <w:rPr>
                <w:b/>
                <w:color w:val="FF0000"/>
                <w:sz w:val="22"/>
                <w:szCs w:val="22"/>
              </w:rPr>
              <w:t>ajor</w:t>
            </w:r>
          </w:p>
        </w:tc>
        <w:tc>
          <w:tcPr>
            <w:tcW w:w="2601" w:type="dxa"/>
          </w:tcPr>
          <w:p w:rsidR="00A1254B" w:rsidRDefault="009B5843" w:rsidP="00A1254B">
            <w:pPr>
              <w:pStyle w:val="Default"/>
              <w:rPr>
                <w:sz w:val="22"/>
                <w:szCs w:val="22"/>
              </w:rPr>
            </w:pPr>
            <w:r w:rsidRPr="0073079C">
              <w:rPr>
                <w:sz w:val="22"/>
                <w:szCs w:val="22"/>
              </w:rPr>
              <w:t>Locally recruited MEL</w:t>
            </w:r>
            <w:r w:rsidR="00711006" w:rsidRPr="0073079C">
              <w:rPr>
                <w:sz w:val="22"/>
                <w:szCs w:val="22"/>
              </w:rPr>
              <w:t xml:space="preserve"> tasked to </w:t>
            </w:r>
            <w:r w:rsidR="00EC232A" w:rsidRPr="0073079C">
              <w:rPr>
                <w:sz w:val="22"/>
                <w:szCs w:val="22"/>
              </w:rPr>
              <w:t>coordinate</w:t>
            </w:r>
            <w:r w:rsidR="00711006" w:rsidRPr="0073079C">
              <w:rPr>
                <w:sz w:val="22"/>
                <w:szCs w:val="22"/>
              </w:rPr>
              <w:t xml:space="preserve"> M&amp;E</w:t>
            </w:r>
            <w:r w:rsidR="00BB0323">
              <w:rPr>
                <w:sz w:val="22"/>
                <w:szCs w:val="22"/>
              </w:rPr>
              <w:t xml:space="preserve"> under the coordination of the MSPA. Priority given to the establishment of a strong MEAL culture across the DMSP 3 in the initial phase of the program. </w:t>
            </w:r>
            <w:r w:rsidR="00B37BF0">
              <w:rPr>
                <w:sz w:val="22"/>
                <w:szCs w:val="22"/>
              </w:rPr>
              <w:t>Development</w:t>
            </w:r>
            <w:r w:rsidR="00BB0323">
              <w:rPr>
                <w:sz w:val="22"/>
                <w:szCs w:val="22"/>
              </w:rPr>
              <w:t xml:space="preserve"> of MEAL plan essential in this regard.</w:t>
            </w:r>
            <w:r w:rsidR="00711006" w:rsidRPr="0073079C">
              <w:rPr>
                <w:sz w:val="22"/>
                <w:szCs w:val="22"/>
              </w:rPr>
              <w:t xml:space="preserve"> </w:t>
            </w:r>
          </w:p>
          <w:p w:rsidR="00D22B46" w:rsidRDefault="00D22B46" w:rsidP="00A1254B">
            <w:pPr>
              <w:pStyle w:val="Default"/>
              <w:rPr>
                <w:sz w:val="22"/>
                <w:szCs w:val="22"/>
              </w:rPr>
            </w:pPr>
          </w:p>
          <w:p w:rsidR="00A1254B" w:rsidRPr="0073079C" w:rsidRDefault="00A1254B" w:rsidP="00A1254B">
            <w:pPr>
              <w:pStyle w:val="Default"/>
              <w:rPr>
                <w:sz w:val="22"/>
                <w:szCs w:val="22"/>
              </w:rPr>
            </w:pPr>
          </w:p>
          <w:p w:rsidR="00A1254B" w:rsidRPr="0073079C" w:rsidRDefault="00A1254B" w:rsidP="00DC6A54">
            <w:pPr>
              <w:pStyle w:val="Default"/>
              <w:rPr>
                <w:sz w:val="22"/>
                <w:szCs w:val="22"/>
              </w:rPr>
            </w:pPr>
          </w:p>
        </w:tc>
        <w:tc>
          <w:tcPr>
            <w:tcW w:w="3093" w:type="dxa"/>
          </w:tcPr>
          <w:p w:rsidR="00A1254B" w:rsidRPr="0073079C" w:rsidRDefault="00315ECB" w:rsidP="00A1254B">
            <w:pPr>
              <w:pStyle w:val="Default"/>
              <w:rPr>
                <w:sz w:val="22"/>
                <w:szCs w:val="22"/>
              </w:rPr>
            </w:pPr>
            <w:r w:rsidRPr="00B42D2B">
              <w:rPr>
                <w:b/>
                <w:color w:val="00B050"/>
                <w:sz w:val="22"/>
                <w:szCs w:val="22"/>
              </w:rPr>
              <w:lastRenderedPageBreak/>
              <w:t>Minor</w:t>
            </w:r>
            <w:r w:rsidR="00DC6A54">
              <w:rPr>
                <w:sz w:val="22"/>
                <w:szCs w:val="22"/>
              </w:rPr>
              <w:t>. O</w:t>
            </w:r>
            <w:r w:rsidR="00316146" w:rsidRPr="0073079C">
              <w:rPr>
                <w:sz w:val="22"/>
                <w:szCs w:val="22"/>
              </w:rPr>
              <w:t xml:space="preserve">nce partners are coordinated and </w:t>
            </w:r>
            <w:r w:rsidR="0009141D" w:rsidRPr="0073079C">
              <w:rPr>
                <w:sz w:val="22"/>
                <w:szCs w:val="22"/>
              </w:rPr>
              <w:t>committed to synergetic monitoring</w:t>
            </w:r>
            <w:r w:rsidR="00DC6A54">
              <w:rPr>
                <w:sz w:val="22"/>
                <w:szCs w:val="22"/>
              </w:rPr>
              <w:t>,</w:t>
            </w:r>
            <w:r w:rsidR="0009141D" w:rsidRPr="0073079C">
              <w:rPr>
                <w:sz w:val="22"/>
                <w:szCs w:val="22"/>
              </w:rPr>
              <w:t xml:space="preserve"> the MEL can be assumed to be </w:t>
            </w:r>
            <w:r w:rsidR="00EC232A" w:rsidRPr="0073079C">
              <w:rPr>
                <w:sz w:val="22"/>
                <w:szCs w:val="22"/>
              </w:rPr>
              <w:t>able to</w:t>
            </w:r>
            <w:r w:rsidR="0009141D" w:rsidRPr="0073079C">
              <w:rPr>
                <w:sz w:val="22"/>
                <w:szCs w:val="22"/>
              </w:rPr>
              <w:t xml:space="preserve"> </w:t>
            </w:r>
            <w:r w:rsidR="00F35812" w:rsidRPr="0073079C">
              <w:rPr>
                <w:sz w:val="22"/>
                <w:szCs w:val="22"/>
              </w:rPr>
              <w:t xml:space="preserve">guide the process and collate </w:t>
            </w:r>
            <w:r w:rsidR="00BE2B7F" w:rsidRPr="0073079C">
              <w:rPr>
                <w:sz w:val="22"/>
                <w:szCs w:val="22"/>
              </w:rPr>
              <w:t>partner monitoring</w:t>
            </w:r>
            <w:r w:rsidR="00F35812" w:rsidRPr="0073079C">
              <w:rPr>
                <w:sz w:val="22"/>
                <w:szCs w:val="22"/>
              </w:rPr>
              <w:t xml:space="preserve"> results</w:t>
            </w:r>
            <w:r w:rsidR="00D35C27" w:rsidRPr="0073079C">
              <w:rPr>
                <w:sz w:val="22"/>
                <w:szCs w:val="22"/>
              </w:rPr>
              <w:t xml:space="preserve"> in the mandatory PSF reporting formats.</w:t>
            </w:r>
          </w:p>
          <w:p w:rsidR="00D35C27" w:rsidRPr="0073079C" w:rsidRDefault="00D35C27" w:rsidP="00A1254B">
            <w:pPr>
              <w:pStyle w:val="Default"/>
              <w:rPr>
                <w:sz w:val="22"/>
                <w:szCs w:val="22"/>
              </w:rPr>
            </w:pPr>
          </w:p>
          <w:p w:rsidR="00D35C27" w:rsidRPr="0073079C" w:rsidRDefault="00D35C27">
            <w:pPr>
              <w:pStyle w:val="Default"/>
              <w:rPr>
                <w:sz w:val="22"/>
                <w:szCs w:val="22"/>
              </w:rPr>
            </w:pPr>
            <w:r w:rsidRPr="0073079C">
              <w:rPr>
                <w:sz w:val="22"/>
                <w:szCs w:val="22"/>
              </w:rPr>
              <w:t xml:space="preserve">Investment in UNODC </w:t>
            </w:r>
            <w:r w:rsidR="006D3D82" w:rsidRPr="0073079C">
              <w:rPr>
                <w:sz w:val="22"/>
                <w:szCs w:val="22"/>
              </w:rPr>
              <w:t xml:space="preserve">virtual Donor Technical Group and related regular reporting on </w:t>
            </w:r>
            <w:r w:rsidR="004A718D" w:rsidRPr="0073079C">
              <w:rPr>
                <w:sz w:val="22"/>
                <w:szCs w:val="22"/>
              </w:rPr>
              <w:t xml:space="preserve">regional </w:t>
            </w:r>
            <w:r w:rsidR="004F7E5D" w:rsidRPr="0073079C">
              <w:rPr>
                <w:sz w:val="22"/>
                <w:szCs w:val="22"/>
              </w:rPr>
              <w:t>indicators</w:t>
            </w:r>
            <w:r w:rsidR="004A718D" w:rsidRPr="0073079C">
              <w:rPr>
                <w:sz w:val="22"/>
                <w:szCs w:val="22"/>
              </w:rPr>
              <w:t xml:space="preserve"> will </w:t>
            </w:r>
            <w:r w:rsidR="00BB0323">
              <w:rPr>
                <w:sz w:val="22"/>
                <w:szCs w:val="22"/>
              </w:rPr>
              <w:t xml:space="preserve">further </w:t>
            </w:r>
            <w:r w:rsidR="004A718D" w:rsidRPr="0073079C">
              <w:rPr>
                <w:sz w:val="22"/>
                <w:szCs w:val="22"/>
              </w:rPr>
              <w:t>mitigate the risk</w:t>
            </w:r>
            <w:r w:rsidR="00DC6A54">
              <w:rPr>
                <w:sz w:val="22"/>
                <w:szCs w:val="22"/>
              </w:rPr>
              <w:t>.</w:t>
            </w:r>
          </w:p>
        </w:tc>
        <w:tc>
          <w:tcPr>
            <w:tcW w:w="4760" w:type="dxa"/>
          </w:tcPr>
          <w:p w:rsidR="00A1254B" w:rsidRPr="0073079C" w:rsidRDefault="007E3152" w:rsidP="00A1254B">
            <w:pPr>
              <w:pStyle w:val="Default"/>
              <w:rPr>
                <w:sz w:val="22"/>
                <w:szCs w:val="22"/>
              </w:rPr>
            </w:pPr>
            <w:r w:rsidRPr="0073079C">
              <w:rPr>
                <w:sz w:val="22"/>
                <w:szCs w:val="22"/>
              </w:rPr>
              <w:t xml:space="preserve">There is a structural gap </w:t>
            </w:r>
            <w:r w:rsidR="00523976" w:rsidRPr="0073079C">
              <w:rPr>
                <w:sz w:val="22"/>
                <w:szCs w:val="22"/>
              </w:rPr>
              <w:t xml:space="preserve">in the </w:t>
            </w:r>
            <w:r w:rsidR="00EC232A" w:rsidRPr="0073079C">
              <w:rPr>
                <w:sz w:val="22"/>
                <w:szCs w:val="22"/>
              </w:rPr>
              <w:t>alignment</w:t>
            </w:r>
            <w:r w:rsidR="00523976" w:rsidRPr="0073079C">
              <w:rPr>
                <w:sz w:val="22"/>
                <w:szCs w:val="22"/>
              </w:rPr>
              <w:t xml:space="preserve"> framework with UNODC because </w:t>
            </w:r>
            <w:r w:rsidR="00A3393B" w:rsidRPr="0073079C">
              <w:rPr>
                <w:sz w:val="22"/>
                <w:szCs w:val="22"/>
              </w:rPr>
              <w:t xml:space="preserve">there is </w:t>
            </w:r>
            <w:r w:rsidR="00BE2B7F" w:rsidRPr="0073079C">
              <w:rPr>
                <w:sz w:val="22"/>
                <w:szCs w:val="22"/>
              </w:rPr>
              <w:t>no regional</w:t>
            </w:r>
            <w:r w:rsidR="00817E18" w:rsidRPr="0073079C">
              <w:rPr>
                <w:sz w:val="22"/>
                <w:szCs w:val="22"/>
              </w:rPr>
              <w:t xml:space="preserve"> GoG maritime </w:t>
            </w:r>
            <w:r w:rsidR="00825BF0" w:rsidRPr="0073079C">
              <w:rPr>
                <w:sz w:val="22"/>
                <w:szCs w:val="22"/>
              </w:rPr>
              <w:t>E</w:t>
            </w:r>
            <w:r w:rsidR="00C442A7" w:rsidRPr="0073079C">
              <w:rPr>
                <w:sz w:val="22"/>
                <w:szCs w:val="22"/>
              </w:rPr>
              <w:t xml:space="preserve">CJC </w:t>
            </w:r>
            <w:r w:rsidR="00817E18" w:rsidRPr="0073079C">
              <w:rPr>
                <w:sz w:val="22"/>
                <w:szCs w:val="22"/>
              </w:rPr>
              <w:t>programme articulated by UNODC</w:t>
            </w:r>
            <w:r w:rsidR="00DC6A54">
              <w:rPr>
                <w:sz w:val="22"/>
                <w:szCs w:val="22"/>
              </w:rPr>
              <w:t>. T</w:t>
            </w:r>
            <w:r w:rsidR="00817E18" w:rsidRPr="0073079C">
              <w:rPr>
                <w:sz w:val="22"/>
                <w:szCs w:val="22"/>
              </w:rPr>
              <w:t xml:space="preserve">he DMSP 3 </w:t>
            </w:r>
            <w:r w:rsidR="00DC6A54">
              <w:rPr>
                <w:sz w:val="22"/>
                <w:szCs w:val="22"/>
              </w:rPr>
              <w:t xml:space="preserve">can </w:t>
            </w:r>
            <w:r w:rsidR="00817E18" w:rsidRPr="0073079C">
              <w:rPr>
                <w:sz w:val="22"/>
                <w:szCs w:val="22"/>
              </w:rPr>
              <w:t>therefor</w:t>
            </w:r>
            <w:r w:rsidR="00DC6A54">
              <w:rPr>
                <w:sz w:val="22"/>
                <w:szCs w:val="22"/>
              </w:rPr>
              <w:t>e</w:t>
            </w:r>
            <w:r w:rsidR="00817E18" w:rsidRPr="0073079C">
              <w:rPr>
                <w:sz w:val="22"/>
                <w:szCs w:val="22"/>
              </w:rPr>
              <w:t xml:space="preserve"> </w:t>
            </w:r>
            <w:r w:rsidR="00523976" w:rsidRPr="0073079C">
              <w:rPr>
                <w:sz w:val="22"/>
                <w:szCs w:val="22"/>
              </w:rPr>
              <w:t xml:space="preserve">only </w:t>
            </w:r>
            <w:r w:rsidR="00EC232A" w:rsidRPr="0073079C">
              <w:rPr>
                <w:sz w:val="22"/>
                <w:szCs w:val="22"/>
              </w:rPr>
              <w:t>align</w:t>
            </w:r>
            <w:r w:rsidR="00523976" w:rsidRPr="0073079C">
              <w:rPr>
                <w:sz w:val="22"/>
                <w:szCs w:val="22"/>
              </w:rPr>
              <w:t xml:space="preserve"> with </w:t>
            </w:r>
            <w:r w:rsidR="00A3393B" w:rsidRPr="0073079C">
              <w:rPr>
                <w:sz w:val="22"/>
                <w:szCs w:val="22"/>
              </w:rPr>
              <w:t>UNODC</w:t>
            </w:r>
            <w:r w:rsidR="00D22B46">
              <w:rPr>
                <w:sz w:val="22"/>
                <w:szCs w:val="22"/>
              </w:rPr>
              <w:t xml:space="preserve"> GMCP </w:t>
            </w:r>
            <w:r w:rsidR="00825BF0" w:rsidRPr="0073079C">
              <w:rPr>
                <w:sz w:val="22"/>
                <w:szCs w:val="22"/>
              </w:rPr>
              <w:t xml:space="preserve">approach. Relatedly, there is no </w:t>
            </w:r>
            <w:r w:rsidR="00BE2B7F" w:rsidRPr="0073079C">
              <w:rPr>
                <w:sz w:val="22"/>
                <w:szCs w:val="22"/>
              </w:rPr>
              <w:t>regional ECJC</w:t>
            </w:r>
            <w:r w:rsidR="00C442A7" w:rsidRPr="0073079C">
              <w:rPr>
                <w:sz w:val="22"/>
                <w:szCs w:val="22"/>
              </w:rPr>
              <w:t xml:space="preserve"> results framework, and neither UNODC </w:t>
            </w:r>
            <w:r w:rsidR="00CB048D" w:rsidRPr="0073079C">
              <w:rPr>
                <w:sz w:val="22"/>
                <w:szCs w:val="22"/>
              </w:rPr>
              <w:t>nor</w:t>
            </w:r>
            <w:r w:rsidR="00C442A7" w:rsidRPr="0073079C">
              <w:rPr>
                <w:sz w:val="22"/>
                <w:szCs w:val="22"/>
              </w:rPr>
              <w:t xml:space="preserve"> INTERPOL </w:t>
            </w:r>
            <w:r w:rsidR="00DC6A54">
              <w:rPr>
                <w:sz w:val="22"/>
                <w:szCs w:val="22"/>
              </w:rPr>
              <w:t>h</w:t>
            </w:r>
            <w:r w:rsidR="00C442A7" w:rsidRPr="0073079C">
              <w:rPr>
                <w:sz w:val="22"/>
                <w:szCs w:val="22"/>
              </w:rPr>
              <w:t>a</w:t>
            </w:r>
            <w:r w:rsidR="00D22B46">
              <w:rPr>
                <w:sz w:val="22"/>
                <w:szCs w:val="22"/>
              </w:rPr>
              <w:t>ve</w:t>
            </w:r>
            <w:r w:rsidR="00C442A7" w:rsidRPr="0073079C">
              <w:rPr>
                <w:sz w:val="22"/>
                <w:szCs w:val="22"/>
              </w:rPr>
              <w:t xml:space="preserve"> had incentives to collaborate on </w:t>
            </w:r>
            <w:r w:rsidR="00191EC3" w:rsidRPr="0073079C">
              <w:rPr>
                <w:sz w:val="22"/>
                <w:szCs w:val="22"/>
              </w:rPr>
              <w:t>country MLE profiles. Both agencies have committed to do so as part of the DMSP</w:t>
            </w:r>
            <w:r w:rsidR="00D22B46">
              <w:rPr>
                <w:sz w:val="22"/>
                <w:szCs w:val="22"/>
              </w:rPr>
              <w:t xml:space="preserve"> </w:t>
            </w:r>
            <w:r w:rsidR="00191EC3" w:rsidRPr="0073079C">
              <w:rPr>
                <w:sz w:val="22"/>
                <w:szCs w:val="22"/>
              </w:rPr>
              <w:t>3</w:t>
            </w:r>
            <w:r w:rsidR="009E3491" w:rsidRPr="0073079C">
              <w:rPr>
                <w:sz w:val="22"/>
                <w:szCs w:val="22"/>
              </w:rPr>
              <w:t>.</w:t>
            </w:r>
          </w:p>
          <w:p w:rsidR="009E3491" w:rsidRPr="0073079C" w:rsidRDefault="009E3491" w:rsidP="00A1254B">
            <w:pPr>
              <w:pStyle w:val="Default"/>
              <w:rPr>
                <w:sz w:val="22"/>
                <w:szCs w:val="22"/>
              </w:rPr>
            </w:pPr>
          </w:p>
          <w:p w:rsidR="009E3491" w:rsidRPr="0073079C" w:rsidRDefault="009E3491" w:rsidP="00A1254B">
            <w:pPr>
              <w:pStyle w:val="Default"/>
              <w:rPr>
                <w:sz w:val="22"/>
                <w:szCs w:val="22"/>
              </w:rPr>
            </w:pPr>
            <w:r w:rsidRPr="0073079C">
              <w:rPr>
                <w:sz w:val="22"/>
                <w:szCs w:val="22"/>
              </w:rPr>
              <w:t xml:space="preserve">UNODC’s </w:t>
            </w:r>
            <w:r w:rsidR="00EC232A" w:rsidRPr="0073079C">
              <w:rPr>
                <w:sz w:val="22"/>
                <w:szCs w:val="22"/>
              </w:rPr>
              <w:t>commitment</w:t>
            </w:r>
            <w:r w:rsidRPr="0073079C">
              <w:rPr>
                <w:sz w:val="22"/>
                <w:szCs w:val="22"/>
              </w:rPr>
              <w:t xml:space="preserve"> to act as convener of a virtual donor technical </w:t>
            </w:r>
            <w:r w:rsidR="00BE2B7F" w:rsidRPr="0073079C">
              <w:rPr>
                <w:sz w:val="22"/>
                <w:szCs w:val="22"/>
              </w:rPr>
              <w:t>group and</w:t>
            </w:r>
            <w:r w:rsidRPr="0073079C">
              <w:rPr>
                <w:sz w:val="22"/>
                <w:szCs w:val="22"/>
              </w:rPr>
              <w:t xml:space="preserve"> regularly provide updates </w:t>
            </w:r>
            <w:r w:rsidR="00813DAB" w:rsidRPr="0073079C">
              <w:rPr>
                <w:sz w:val="22"/>
                <w:szCs w:val="22"/>
              </w:rPr>
              <w:t xml:space="preserve">means the DMSP 3 is poised to make a </w:t>
            </w:r>
            <w:r w:rsidR="00AA6B8D" w:rsidRPr="0073079C">
              <w:rPr>
                <w:sz w:val="22"/>
                <w:szCs w:val="22"/>
              </w:rPr>
              <w:t xml:space="preserve">key contribution to address the practice and continued risk of </w:t>
            </w:r>
            <w:r w:rsidR="00EC232A" w:rsidRPr="0073079C">
              <w:rPr>
                <w:sz w:val="22"/>
                <w:szCs w:val="22"/>
              </w:rPr>
              <w:t>fragmented</w:t>
            </w:r>
            <w:r w:rsidR="00F94EBA" w:rsidRPr="0073079C">
              <w:rPr>
                <w:sz w:val="22"/>
                <w:szCs w:val="22"/>
              </w:rPr>
              <w:t xml:space="preserve"> and output focussed monitoring</w:t>
            </w:r>
            <w:r w:rsidR="00133FAB">
              <w:rPr>
                <w:sz w:val="22"/>
                <w:szCs w:val="22"/>
              </w:rPr>
              <w:t>.</w:t>
            </w:r>
          </w:p>
        </w:tc>
      </w:tr>
      <w:tr w:rsidR="00A1254B" w:rsidRPr="0073079C" w:rsidTr="00430028">
        <w:tc>
          <w:tcPr>
            <w:tcW w:w="1834" w:type="dxa"/>
          </w:tcPr>
          <w:p w:rsidR="00A1254B" w:rsidRPr="0073079C" w:rsidRDefault="00A1254B" w:rsidP="00A1254B">
            <w:pPr>
              <w:pStyle w:val="Default"/>
              <w:rPr>
                <w:sz w:val="22"/>
                <w:szCs w:val="22"/>
              </w:rPr>
            </w:pPr>
            <w:r w:rsidRPr="0073079C">
              <w:rPr>
                <w:sz w:val="22"/>
                <w:szCs w:val="22"/>
              </w:rPr>
              <w:t>Turnover in staff at key institutions, including course participants, complicates implementation and reduces impact</w:t>
            </w:r>
          </w:p>
        </w:tc>
        <w:tc>
          <w:tcPr>
            <w:tcW w:w="1274" w:type="dxa"/>
          </w:tcPr>
          <w:p w:rsidR="00A1254B" w:rsidRPr="0073079C" w:rsidRDefault="00A1254B" w:rsidP="00A1254B">
            <w:pPr>
              <w:pStyle w:val="Default"/>
              <w:rPr>
                <w:sz w:val="22"/>
                <w:szCs w:val="22"/>
              </w:rPr>
            </w:pPr>
            <w:r w:rsidRPr="00430028">
              <w:rPr>
                <w:b/>
                <w:color w:val="E36C0A" w:themeColor="accent6" w:themeShade="BF"/>
                <w:sz w:val="22"/>
                <w:szCs w:val="22"/>
              </w:rPr>
              <w:t>Likely</w:t>
            </w:r>
            <w:r w:rsidRPr="0073079C">
              <w:rPr>
                <w:sz w:val="22"/>
                <w:szCs w:val="22"/>
              </w:rPr>
              <w:t xml:space="preserve"> to varying degrees</w:t>
            </w:r>
          </w:p>
        </w:tc>
        <w:tc>
          <w:tcPr>
            <w:tcW w:w="998" w:type="dxa"/>
          </w:tcPr>
          <w:p w:rsidR="00A1254B" w:rsidRPr="0073079C" w:rsidRDefault="00315ECB" w:rsidP="00A1254B">
            <w:pPr>
              <w:pStyle w:val="Default"/>
              <w:rPr>
                <w:sz w:val="22"/>
                <w:szCs w:val="22"/>
              </w:rPr>
            </w:pPr>
            <w:r w:rsidRPr="00B42D2B">
              <w:rPr>
                <w:b/>
                <w:color w:val="00B050"/>
                <w:sz w:val="22"/>
                <w:szCs w:val="22"/>
              </w:rPr>
              <w:t>Minor</w:t>
            </w:r>
            <w:r w:rsidRPr="0073079C">
              <w:rPr>
                <w:sz w:val="22"/>
                <w:szCs w:val="22"/>
              </w:rPr>
              <w:t xml:space="preserve"> </w:t>
            </w:r>
            <w:r w:rsidR="00A1254B" w:rsidRPr="0073079C">
              <w:rPr>
                <w:sz w:val="22"/>
                <w:szCs w:val="22"/>
              </w:rPr>
              <w:t xml:space="preserve">but depends upon individual case </w:t>
            </w:r>
          </w:p>
        </w:tc>
        <w:tc>
          <w:tcPr>
            <w:tcW w:w="2601" w:type="dxa"/>
          </w:tcPr>
          <w:p w:rsidR="00A1254B" w:rsidRPr="0073079C" w:rsidRDefault="00A1254B" w:rsidP="00A1254B">
            <w:pPr>
              <w:pStyle w:val="Default"/>
              <w:rPr>
                <w:sz w:val="22"/>
                <w:szCs w:val="22"/>
              </w:rPr>
            </w:pPr>
            <w:r w:rsidRPr="0073079C">
              <w:rPr>
                <w:sz w:val="22"/>
                <w:szCs w:val="22"/>
              </w:rPr>
              <w:t xml:space="preserve">Maintain focus on areas that have political and operational priority and buy-in. Emphasise importance of continuity in staff </w:t>
            </w:r>
            <w:r w:rsidR="00133FAB">
              <w:rPr>
                <w:sz w:val="22"/>
                <w:szCs w:val="22"/>
              </w:rPr>
              <w:t>and</w:t>
            </w:r>
            <w:r w:rsidRPr="0073079C">
              <w:rPr>
                <w:sz w:val="22"/>
                <w:szCs w:val="22"/>
              </w:rPr>
              <w:t xml:space="preserve"> reach agreement on this with sending institutions.</w:t>
            </w:r>
          </w:p>
        </w:tc>
        <w:tc>
          <w:tcPr>
            <w:tcW w:w="3093" w:type="dxa"/>
          </w:tcPr>
          <w:p w:rsidR="00D22B46" w:rsidRDefault="00315ECB" w:rsidP="00A1254B">
            <w:pPr>
              <w:pStyle w:val="Default"/>
              <w:rPr>
                <w:sz w:val="22"/>
                <w:szCs w:val="22"/>
              </w:rPr>
            </w:pPr>
            <w:r w:rsidRPr="00B42D2B">
              <w:rPr>
                <w:b/>
                <w:color w:val="00B050"/>
                <w:sz w:val="22"/>
                <w:szCs w:val="22"/>
              </w:rPr>
              <w:t>Minor</w:t>
            </w:r>
            <w:r w:rsidR="00A1254B" w:rsidRPr="0073079C">
              <w:rPr>
                <w:sz w:val="22"/>
                <w:szCs w:val="22"/>
              </w:rPr>
              <w:t>. Would lead to delays in the short to medium term if there is significant change/rotation of staff. Key priority areas are likely to remain relevant. Impact depends upon individuals concerned.</w:t>
            </w:r>
          </w:p>
          <w:p w:rsidR="00D22B46" w:rsidRDefault="00D22B46" w:rsidP="00A1254B">
            <w:pPr>
              <w:pStyle w:val="Default"/>
              <w:rPr>
                <w:sz w:val="22"/>
                <w:szCs w:val="22"/>
              </w:rPr>
            </w:pPr>
          </w:p>
          <w:p w:rsidR="00A1254B" w:rsidRPr="0073079C" w:rsidRDefault="00A1254B" w:rsidP="00A1254B">
            <w:pPr>
              <w:pStyle w:val="Default"/>
              <w:rPr>
                <w:sz w:val="22"/>
                <w:szCs w:val="22"/>
              </w:rPr>
            </w:pPr>
            <w:r w:rsidRPr="0073079C">
              <w:rPr>
                <w:sz w:val="22"/>
                <w:szCs w:val="22"/>
              </w:rPr>
              <w:t>Nb. Could also be beneficial</w:t>
            </w:r>
            <w:r w:rsidR="00133FAB">
              <w:rPr>
                <w:sz w:val="22"/>
                <w:szCs w:val="22"/>
              </w:rPr>
              <w:t>.</w:t>
            </w:r>
          </w:p>
        </w:tc>
        <w:tc>
          <w:tcPr>
            <w:tcW w:w="4760" w:type="dxa"/>
          </w:tcPr>
          <w:p w:rsidR="00A1254B" w:rsidRPr="0073079C" w:rsidRDefault="00A1254B" w:rsidP="00A1254B">
            <w:pPr>
              <w:pStyle w:val="Default"/>
              <w:rPr>
                <w:sz w:val="22"/>
                <w:szCs w:val="22"/>
              </w:rPr>
            </w:pPr>
            <w:r w:rsidRPr="0073079C">
              <w:rPr>
                <w:sz w:val="22"/>
                <w:szCs w:val="22"/>
              </w:rPr>
              <w:t xml:space="preserve">Changes in staff may be felt in terms of delays in </w:t>
            </w:r>
            <w:r w:rsidR="00D22B46" w:rsidRPr="0073079C">
              <w:rPr>
                <w:sz w:val="22"/>
                <w:szCs w:val="22"/>
              </w:rPr>
              <w:t>decision-making</w:t>
            </w:r>
            <w:r w:rsidRPr="0073079C">
              <w:rPr>
                <w:sz w:val="22"/>
                <w:szCs w:val="22"/>
              </w:rPr>
              <w:t xml:space="preserve"> and adjustments to budgets. The severity will depend upon the concrete situation. </w:t>
            </w:r>
          </w:p>
        </w:tc>
      </w:tr>
      <w:tr w:rsidR="00A1254B" w:rsidRPr="0073079C" w:rsidTr="00430028">
        <w:tc>
          <w:tcPr>
            <w:tcW w:w="1834" w:type="dxa"/>
          </w:tcPr>
          <w:p w:rsidR="00A1254B" w:rsidRPr="0073079C" w:rsidRDefault="00A1254B" w:rsidP="00A1254B">
            <w:pPr>
              <w:pStyle w:val="Default"/>
              <w:rPr>
                <w:sz w:val="22"/>
                <w:szCs w:val="22"/>
              </w:rPr>
            </w:pPr>
            <w:r w:rsidRPr="0073079C">
              <w:rPr>
                <w:sz w:val="22"/>
                <w:szCs w:val="22"/>
              </w:rPr>
              <w:t>ICC lacks capacity to fully take a leadership role</w:t>
            </w:r>
          </w:p>
        </w:tc>
        <w:tc>
          <w:tcPr>
            <w:tcW w:w="1274" w:type="dxa"/>
          </w:tcPr>
          <w:p w:rsidR="00A1254B" w:rsidRPr="0073079C" w:rsidRDefault="00A1254B" w:rsidP="00A1254B">
            <w:pPr>
              <w:pStyle w:val="Default"/>
              <w:rPr>
                <w:sz w:val="22"/>
                <w:szCs w:val="22"/>
              </w:rPr>
            </w:pPr>
            <w:r w:rsidRPr="00430028">
              <w:rPr>
                <w:b/>
                <w:color w:val="E36C0A" w:themeColor="accent6" w:themeShade="BF"/>
                <w:sz w:val="22"/>
                <w:szCs w:val="22"/>
              </w:rPr>
              <w:t>Likely</w:t>
            </w:r>
            <w:r w:rsidRPr="0073079C">
              <w:rPr>
                <w:sz w:val="22"/>
                <w:szCs w:val="22"/>
              </w:rPr>
              <w:t xml:space="preserve"> </w:t>
            </w:r>
          </w:p>
        </w:tc>
        <w:tc>
          <w:tcPr>
            <w:tcW w:w="998" w:type="dxa"/>
          </w:tcPr>
          <w:p w:rsidR="00A1254B" w:rsidRPr="0073079C" w:rsidRDefault="00A1254B" w:rsidP="00A1254B">
            <w:pPr>
              <w:pStyle w:val="Default"/>
              <w:rPr>
                <w:sz w:val="22"/>
                <w:szCs w:val="22"/>
              </w:rPr>
            </w:pPr>
            <w:r w:rsidRPr="00430028">
              <w:rPr>
                <w:b/>
                <w:color w:val="FF0000"/>
                <w:sz w:val="22"/>
                <w:szCs w:val="22"/>
              </w:rPr>
              <w:t>Major</w:t>
            </w:r>
            <w:r w:rsidRPr="0073079C">
              <w:rPr>
                <w:sz w:val="22"/>
                <w:szCs w:val="22"/>
              </w:rPr>
              <w:t xml:space="preserve"> (for regional aspects)</w:t>
            </w:r>
          </w:p>
        </w:tc>
        <w:tc>
          <w:tcPr>
            <w:tcW w:w="2601" w:type="dxa"/>
          </w:tcPr>
          <w:p w:rsidR="003129D2" w:rsidRDefault="00A1254B" w:rsidP="00A1254B">
            <w:pPr>
              <w:pStyle w:val="Default"/>
              <w:rPr>
                <w:sz w:val="22"/>
                <w:szCs w:val="22"/>
              </w:rPr>
            </w:pPr>
            <w:r w:rsidRPr="0073079C">
              <w:rPr>
                <w:sz w:val="22"/>
                <w:szCs w:val="22"/>
              </w:rPr>
              <w:t>Include ICC in programming and support its capacity development and linkages to regional coordination and national structures.</w:t>
            </w:r>
            <w:r w:rsidR="003129D2">
              <w:rPr>
                <w:sz w:val="22"/>
                <w:szCs w:val="22"/>
              </w:rPr>
              <w:t xml:space="preserve"> </w:t>
            </w:r>
          </w:p>
          <w:p w:rsidR="003129D2" w:rsidRDefault="003129D2" w:rsidP="00A1254B">
            <w:pPr>
              <w:pStyle w:val="Default"/>
              <w:rPr>
                <w:sz w:val="22"/>
                <w:szCs w:val="22"/>
              </w:rPr>
            </w:pPr>
          </w:p>
          <w:p w:rsidR="00A1254B" w:rsidRPr="0073079C" w:rsidRDefault="003129D2" w:rsidP="00A1254B">
            <w:pPr>
              <w:pStyle w:val="Default"/>
              <w:rPr>
                <w:sz w:val="22"/>
                <w:szCs w:val="22"/>
              </w:rPr>
            </w:pPr>
            <w:r>
              <w:rPr>
                <w:sz w:val="22"/>
                <w:szCs w:val="22"/>
              </w:rPr>
              <w:t>Especially UNODC and KAIPTC can mitigate the risk via existing networks and collaboration with ICC.</w:t>
            </w:r>
          </w:p>
        </w:tc>
        <w:tc>
          <w:tcPr>
            <w:tcW w:w="3093" w:type="dxa"/>
          </w:tcPr>
          <w:p w:rsidR="00A1254B" w:rsidRDefault="00315ECB" w:rsidP="00A1254B">
            <w:pPr>
              <w:pStyle w:val="Default"/>
              <w:rPr>
                <w:sz w:val="22"/>
                <w:szCs w:val="22"/>
              </w:rPr>
            </w:pPr>
            <w:r w:rsidRPr="00430028">
              <w:rPr>
                <w:b/>
                <w:color w:val="E36C0A" w:themeColor="accent6" w:themeShade="BF"/>
                <w:sz w:val="22"/>
                <w:szCs w:val="22"/>
              </w:rPr>
              <w:t>Likely</w:t>
            </w:r>
            <w:r>
              <w:rPr>
                <w:sz w:val="22"/>
                <w:szCs w:val="22"/>
              </w:rPr>
              <w:t xml:space="preserve">. </w:t>
            </w:r>
            <w:r w:rsidR="00A1254B" w:rsidRPr="0073079C">
              <w:rPr>
                <w:sz w:val="22"/>
                <w:szCs w:val="22"/>
              </w:rPr>
              <w:t xml:space="preserve">Absence of strong ICC leadership limits the pressure it can place on regional states to fulfil their pledges, </w:t>
            </w:r>
            <w:r w:rsidR="00BE2B7F" w:rsidRPr="0073079C">
              <w:rPr>
                <w:sz w:val="22"/>
                <w:szCs w:val="22"/>
              </w:rPr>
              <w:t>e.g.,</w:t>
            </w:r>
            <w:r w:rsidR="00A1254B" w:rsidRPr="0073079C">
              <w:rPr>
                <w:sz w:val="22"/>
                <w:szCs w:val="22"/>
              </w:rPr>
              <w:t xml:space="preserve"> regarding staffing.</w:t>
            </w:r>
          </w:p>
          <w:p w:rsidR="00D22B46" w:rsidRDefault="00D22B46" w:rsidP="00A1254B">
            <w:pPr>
              <w:pStyle w:val="Default"/>
              <w:rPr>
                <w:sz w:val="22"/>
                <w:szCs w:val="22"/>
              </w:rPr>
            </w:pPr>
          </w:p>
          <w:p w:rsidR="00D22B46" w:rsidRPr="0073079C" w:rsidRDefault="00D22B46" w:rsidP="00A1254B">
            <w:pPr>
              <w:pStyle w:val="Default"/>
              <w:rPr>
                <w:sz w:val="22"/>
                <w:szCs w:val="22"/>
              </w:rPr>
            </w:pPr>
          </w:p>
        </w:tc>
        <w:tc>
          <w:tcPr>
            <w:tcW w:w="4760" w:type="dxa"/>
          </w:tcPr>
          <w:p w:rsidR="003129D2" w:rsidRDefault="00A1254B" w:rsidP="00133FAB">
            <w:pPr>
              <w:pStyle w:val="Default"/>
              <w:rPr>
                <w:sz w:val="22"/>
                <w:szCs w:val="22"/>
              </w:rPr>
            </w:pPr>
            <w:r w:rsidRPr="0073079C">
              <w:rPr>
                <w:sz w:val="22"/>
                <w:szCs w:val="22"/>
              </w:rPr>
              <w:t xml:space="preserve">ICC </w:t>
            </w:r>
            <w:r w:rsidR="00BE2B7F" w:rsidRPr="0073079C">
              <w:rPr>
                <w:sz w:val="22"/>
                <w:szCs w:val="22"/>
              </w:rPr>
              <w:t xml:space="preserve">is </w:t>
            </w:r>
            <w:r w:rsidR="00133FAB">
              <w:rPr>
                <w:sz w:val="22"/>
                <w:szCs w:val="22"/>
              </w:rPr>
              <w:t>slowly but stead</w:t>
            </w:r>
            <w:r w:rsidR="003129D2">
              <w:rPr>
                <w:sz w:val="22"/>
                <w:szCs w:val="22"/>
              </w:rPr>
              <w:t>ily</w:t>
            </w:r>
            <w:r w:rsidR="00133FAB" w:rsidRPr="0073079C">
              <w:rPr>
                <w:sz w:val="22"/>
                <w:szCs w:val="22"/>
              </w:rPr>
              <w:t xml:space="preserve"> </w:t>
            </w:r>
            <w:r w:rsidRPr="0073079C">
              <w:rPr>
                <w:sz w:val="22"/>
                <w:szCs w:val="22"/>
              </w:rPr>
              <w:t>building up its role and capacity. The Yaoundé structure require member states to contribute staff, equipment</w:t>
            </w:r>
            <w:r w:rsidR="00133FAB">
              <w:rPr>
                <w:sz w:val="22"/>
                <w:szCs w:val="22"/>
              </w:rPr>
              <w:t>,</w:t>
            </w:r>
            <w:r w:rsidRPr="0073079C">
              <w:rPr>
                <w:sz w:val="22"/>
                <w:szCs w:val="22"/>
              </w:rPr>
              <w:t xml:space="preserve"> and infrastructure</w:t>
            </w:r>
            <w:r w:rsidR="00133FAB">
              <w:rPr>
                <w:sz w:val="22"/>
                <w:szCs w:val="22"/>
              </w:rPr>
              <w:t>,</w:t>
            </w:r>
            <w:r w:rsidRPr="0073079C">
              <w:rPr>
                <w:sz w:val="22"/>
                <w:szCs w:val="22"/>
              </w:rPr>
              <w:t xml:space="preserve"> and </w:t>
            </w:r>
            <w:r w:rsidR="00133FAB">
              <w:rPr>
                <w:sz w:val="22"/>
                <w:szCs w:val="22"/>
              </w:rPr>
              <w:t xml:space="preserve">to </w:t>
            </w:r>
            <w:r w:rsidRPr="0073079C">
              <w:rPr>
                <w:sz w:val="22"/>
                <w:szCs w:val="22"/>
              </w:rPr>
              <w:t>develop coordination arrangements, including legal arrangements.</w:t>
            </w:r>
          </w:p>
          <w:p w:rsidR="003129D2" w:rsidRDefault="003129D2" w:rsidP="00133FAB">
            <w:pPr>
              <w:pStyle w:val="Default"/>
              <w:rPr>
                <w:sz w:val="22"/>
                <w:szCs w:val="22"/>
              </w:rPr>
            </w:pPr>
          </w:p>
          <w:p w:rsidR="00A1254B" w:rsidRPr="0073079C" w:rsidRDefault="00A1254B" w:rsidP="00133FAB">
            <w:pPr>
              <w:pStyle w:val="Default"/>
              <w:rPr>
                <w:sz w:val="22"/>
                <w:szCs w:val="22"/>
              </w:rPr>
            </w:pPr>
            <w:r w:rsidRPr="0073079C">
              <w:rPr>
                <w:sz w:val="22"/>
                <w:szCs w:val="22"/>
              </w:rPr>
              <w:t>ICC has a key role in promoting this.</w:t>
            </w:r>
          </w:p>
        </w:tc>
      </w:tr>
      <w:tr w:rsidR="00A1254B" w:rsidRPr="0073079C" w:rsidTr="00430028">
        <w:tc>
          <w:tcPr>
            <w:tcW w:w="1834" w:type="dxa"/>
          </w:tcPr>
          <w:p w:rsidR="00A1254B" w:rsidRPr="0073079C" w:rsidRDefault="00A1254B" w:rsidP="00A1254B">
            <w:pPr>
              <w:pStyle w:val="Default"/>
              <w:rPr>
                <w:sz w:val="22"/>
                <w:szCs w:val="22"/>
              </w:rPr>
            </w:pPr>
            <w:r w:rsidRPr="0073079C">
              <w:rPr>
                <w:sz w:val="22"/>
                <w:szCs w:val="22"/>
              </w:rPr>
              <w:lastRenderedPageBreak/>
              <w:t>Government partners lack capacity to implement agreed activities (</w:t>
            </w:r>
            <w:r w:rsidR="00BE2B7F" w:rsidRPr="0073079C">
              <w:rPr>
                <w:sz w:val="22"/>
                <w:szCs w:val="22"/>
              </w:rPr>
              <w:t>e.g.,</w:t>
            </w:r>
            <w:r w:rsidRPr="0073079C">
              <w:rPr>
                <w:sz w:val="22"/>
                <w:szCs w:val="22"/>
              </w:rPr>
              <w:t xml:space="preserve"> training exercises) and programme progress is thus less strong than expected</w:t>
            </w:r>
          </w:p>
        </w:tc>
        <w:tc>
          <w:tcPr>
            <w:tcW w:w="1274" w:type="dxa"/>
          </w:tcPr>
          <w:p w:rsidR="00A1254B" w:rsidRPr="0073079C" w:rsidRDefault="00A1254B" w:rsidP="00A1254B">
            <w:pPr>
              <w:pStyle w:val="Default"/>
              <w:rPr>
                <w:sz w:val="22"/>
                <w:szCs w:val="22"/>
              </w:rPr>
            </w:pPr>
            <w:r w:rsidRPr="00430028">
              <w:rPr>
                <w:b/>
                <w:color w:val="E36C0A" w:themeColor="accent6" w:themeShade="BF"/>
                <w:sz w:val="22"/>
                <w:szCs w:val="22"/>
              </w:rPr>
              <w:t>Likely</w:t>
            </w:r>
          </w:p>
        </w:tc>
        <w:tc>
          <w:tcPr>
            <w:tcW w:w="998" w:type="dxa"/>
          </w:tcPr>
          <w:p w:rsidR="00A1254B" w:rsidRPr="0073079C" w:rsidRDefault="00A1254B" w:rsidP="00A1254B">
            <w:pPr>
              <w:pStyle w:val="Default"/>
              <w:rPr>
                <w:sz w:val="22"/>
                <w:szCs w:val="22"/>
              </w:rPr>
            </w:pPr>
            <w:r w:rsidRPr="00430028">
              <w:rPr>
                <w:b/>
                <w:color w:val="FF0000"/>
                <w:sz w:val="22"/>
                <w:szCs w:val="22"/>
              </w:rPr>
              <w:t>Major</w:t>
            </w:r>
          </w:p>
        </w:tc>
        <w:tc>
          <w:tcPr>
            <w:tcW w:w="2601" w:type="dxa"/>
          </w:tcPr>
          <w:p w:rsidR="00A1254B" w:rsidRPr="0073079C" w:rsidRDefault="00A1254B" w:rsidP="00A1254B">
            <w:pPr>
              <w:pStyle w:val="Default"/>
              <w:rPr>
                <w:sz w:val="22"/>
                <w:szCs w:val="22"/>
              </w:rPr>
            </w:pPr>
            <w:r w:rsidRPr="0073079C">
              <w:rPr>
                <w:sz w:val="22"/>
                <w:szCs w:val="22"/>
              </w:rPr>
              <w:t xml:space="preserve">Capacity development support included in all engagements is based on assessment of capacity limitations. Monitoring </w:t>
            </w:r>
            <w:r w:rsidR="00133FAB">
              <w:rPr>
                <w:sz w:val="22"/>
                <w:szCs w:val="22"/>
              </w:rPr>
              <w:t>and</w:t>
            </w:r>
            <w:r w:rsidRPr="0073079C">
              <w:rPr>
                <w:sz w:val="22"/>
                <w:szCs w:val="22"/>
              </w:rPr>
              <w:t xml:space="preserve"> tailoring of delivery (via annual work plan) to assessment of possibly shortfalls.  Regular dialogue</w:t>
            </w:r>
            <w:r w:rsidR="00133FAB">
              <w:rPr>
                <w:sz w:val="22"/>
                <w:szCs w:val="22"/>
              </w:rPr>
              <w:t>.</w:t>
            </w:r>
            <w:r w:rsidRPr="0073079C">
              <w:rPr>
                <w:sz w:val="22"/>
                <w:szCs w:val="22"/>
              </w:rPr>
              <w:t xml:space="preserve"> </w:t>
            </w:r>
          </w:p>
        </w:tc>
        <w:tc>
          <w:tcPr>
            <w:tcW w:w="3093" w:type="dxa"/>
          </w:tcPr>
          <w:p w:rsidR="00A1254B" w:rsidRPr="0073079C" w:rsidRDefault="00315ECB" w:rsidP="00A1254B">
            <w:pPr>
              <w:pStyle w:val="Default"/>
              <w:rPr>
                <w:sz w:val="22"/>
                <w:szCs w:val="22"/>
              </w:rPr>
            </w:pPr>
            <w:r w:rsidRPr="00430028">
              <w:rPr>
                <w:b/>
                <w:color w:val="E36C0A" w:themeColor="accent6" w:themeShade="BF"/>
                <w:sz w:val="22"/>
                <w:szCs w:val="22"/>
              </w:rPr>
              <w:t>Likely</w:t>
            </w:r>
            <w:r>
              <w:rPr>
                <w:sz w:val="22"/>
                <w:szCs w:val="22"/>
              </w:rPr>
              <w:t xml:space="preserve"> l</w:t>
            </w:r>
            <w:r w:rsidR="00133FAB" w:rsidRPr="0073079C">
              <w:rPr>
                <w:sz w:val="22"/>
                <w:szCs w:val="22"/>
              </w:rPr>
              <w:t>ong-term</w:t>
            </w:r>
            <w:r w:rsidR="00A1254B" w:rsidRPr="0073079C">
              <w:rPr>
                <w:sz w:val="22"/>
                <w:szCs w:val="22"/>
              </w:rPr>
              <w:t xml:space="preserve"> risks reduced, although it may not be possible to avoid some knock-on effects for speed (and possibly also extent) of implementation. Focus on priority inputs</w:t>
            </w:r>
            <w:r w:rsidR="00133FAB">
              <w:rPr>
                <w:sz w:val="22"/>
                <w:szCs w:val="22"/>
              </w:rPr>
              <w:t>.</w:t>
            </w:r>
          </w:p>
        </w:tc>
        <w:tc>
          <w:tcPr>
            <w:tcW w:w="4760" w:type="dxa"/>
          </w:tcPr>
          <w:p w:rsidR="003129D2" w:rsidRDefault="00A1254B" w:rsidP="00133FAB">
            <w:pPr>
              <w:pStyle w:val="Default"/>
              <w:rPr>
                <w:sz w:val="22"/>
                <w:szCs w:val="22"/>
              </w:rPr>
            </w:pPr>
            <w:r w:rsidRPr="0073079C">
              <w:rPr>
                <w:sz w:val="22"/>
                <w:szCs w:val="22"/>
              </w:rPr>
              <w:t xml:space="preserve">Institutional capacity is affected also by political will for </w:t>
            </w:r>
            <w:r w:rsidR="00BE2B7F" w:rsidRPr="0073079C">
              <w:rPr>
                <w:sz w:val="22"/>
                <w:szCs w:val="22"/>
              </w:rPr>
              <w:t>reform,</w:t>
            </w:r>
            <w:r w:rsidRPr="0073079C">
              <w:rPr>
                <w:sz w:val="22"/>
                <w:szCs w:val="22"/>
              </w:rPr>
              <w:t xml:space="preserve"> and this may vary according to the area concerned. High staff turnover will further </w:t>
            </w:r>
            <w:r w:rsidR="00133FAB">
              <w:rPr>
                <w:sz w:val="22"/>
                <w:szCs w:val="22"/>
              </w:rPr>
              <w:t xml:space="preserve">negatively </w:t>
            </w:r>
            <w:r w:rsidRPr="0073079C">
              <w:rPr>
                <w:sz w:val="22"/>
                <w:szCs w:val="22"/>
              </w:rPr>
              <w:t>impact absorption capacity.</w:t>
            </w:r>
          </w:p>
          <w:p w:rsidR="003129D2" w:rsidRDefault="003129D2" w:rsidP="00133FAB">
            <w:pPr>
              <w:pStyle w:val="Default"/>
              <w:rPr>
                <w:sz w:val="22"/>
                <w:szCs w:val="22"/>
              </w:rPr>
            </w:pPr>
          </w:p>
          <w:p w:rsidR="00A1254B" w:rsidRPr="0073079C" w:rsidRDefault="00A1254B" w:rsidP="00133FAB">
            <w:pPr>
              <w:pStyle w:val="Default"/>
              <w:rPr>
                <w:sz w:val="22"/>
                <w:szCs w:val="22"/>
              </w:rPr>
            </w:pPr>
            <w:r w:rsidRPr="0073079C">
              <w:rPr>
                <w:sz w:val="22"/>
                <w:szCs w:val="22"/>
              </w:rPr>
              <w:t>Shortfalls in this area are foreseen by the mix of national and direct implementation modality.</w:t>
            </w:r>
          </w:p>
        </w:tc>
      </w:tr>
    </w:tbl>
    <w:p w:rsidR="00315ECB" w:rsidRDefault="00315ECB">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2"/>
        <w:gridCol w:w="1265"/>
        <w:gridCol w:w="1170"/>
        <w:gridCol w:w="2574"/>
        <w:gridCol w:w="3055"/>
        <w:gridCol w:w="4674"/>
      </w:tblGrid>
      <w:tr w:rsidR="00A1254B" w:rsidRPr="0073079C" w:rsidTr="00430028">
        <w:tc>
          <w:tcPr>
            <w:tcW w:w="1834" w:type="dxa"/>
          </w:tcPr>
          <w:p w:rsidR="00A1254B" w:rsidRPr="0073079C" w:rsidRDefault="00A1254B" w:rsidP="00A1254B">
            <w:pPr>
              <w:pStyle w:val="Default"/>
              <w:rPr>
                <w:sz w:val="22"/>
                <w:szCs w:val="22"/>
              </w:rPr>
            </w:pPr>
            <w:r w:rsidRPr="0073079C">
              <w:rPr>
                <w:sz w:val="22"/>
                <w:szCs w:val="22"/>
              </w:rPr>
              <w:lastRenderedPageBreak/>
              <w:t>Sudden changes in deployment plans by partners where Danish contributions form integrated elements (PSE 4 only)</w:t>
            </w:r>
          </w:p>
        </w:tc>
        <w:tc>
          <w:tcPr>
            <w:tcW w:w="1274" w:type="dxa"/>
          </w:tcPr>
          <w:p w:rsidR="00A1254B" w:rsidRPr="0073079C" w:rsidRDefault="00A1254B" w:rsidP="00A1254B">
            <w:pPr>
              <w:pStyle w:val="Default"/>
              <w:rPr>
                <w:sz w:val="22"/>
                <w:szCs w:val="22"/>
              </w:rPr>
            </w:pPr>
            <w:r w:rsidRPr="00430028">
              <w:rPr>
                <w:b/>
                <w:color w:val="00B050"/>
                <w:sz w:val="22"/>
                <w:szCs w:val="22"/>
              </w:rPr>
              <w:t>Unlikely</w:t>
            </w:r>
          </w:p>
        </w:tc>
        <w:tc>
          <w:tcPr>
            <w:tcW w:w="998" w:type="dxa"/>
          </w:tcPr>
          <w:p w:rsidR="00A1254B" w:rsidRPr="0073079C" w:rsidRDefault="00A1254B" w:rsidP="00A1254B">
            <w:pPr>
              <w:pStyle w:val="Default"/>
              <w:rPr>
                <w:sz w:val="22"/>
                <w:szCs w:val="22"/>
              </w:rPr>
            </w:pPr>
            <w:r w:rsidRPr="00430028">
              <w:rPr>
                <w:b/>
                <w:color w:val="E36C0A" w:themeColor="accent6" w:themeShade="BF"/>
                <w:sz w:val="22"/>
                <w:szCs w:val="22"/>
              </w:rPr>
              <w:t>Significant</w:t>
            </w:r>
          </w:p>
        </w:tc>
        <w:tc>
          <w:tcPr>
            <w:tcW w:w="2601" w:type="dxa"/>
          </w:tcPr>
          <w:p w:rsidR="00A1254B" w:rsidRPr="0073079C" w:rsidRDefault="00A1254B" w:rsidP="00A1254B">
            <w:pPr>
              <w:pStyle w:val="Default"/>
              <w:rPr>
                <w:sz w:val="22"/>
                <w:szCs w:val="22"/>
              </w:rPr>
            </w:pPr>
            <w:r w:rsidRPr="0073079C">
              <w:rPr>
                <w:sz w:val="22"/>
                <w:szCs w:val="22"/>
              </w:rPr>
              <w:t xml:space="preserve">Maintain </w:t>
            </w:r>
            <w:r w:rsidR="00FD1296" w:rsidRPr="0073079C">
              <w:rPr>
                <w:sz w:val="22"/>
                <w:szCs w:val="22"/>
              </w:rPr>
              <w:t>forward-looking</w:t>
            </w:r>
            <w:r w:rsidRPr="0073079C">
              <w:rPr>
                <w:sz w:val="22"/>
                <w:szCs w:val="22"/>
              </w:rPr>
              <w:t xml:space="preserve"> dialogue via bilateral informal/formal contacts (</w:t>
            </w:r>
            <w:r w:rsidR="004A3254" w:rsidRPr="0073079C">
              <w:rPr>
                <w:sz w:val="22"/>
                <w:szCs w:val="22"/>
              </w:rPr>
              <w:t>MOD</w:t>
            </w:r>
            <w:r w:rsidRPr="0073079C">
              <w:rPr>
                <w:sz w:val="22"/>
                <w:szCs w:val="22"/>
              </w:rPr>
              <w:t xml:space="preserve">/DCD, units) and ensure commitment to early notice of any changes. </w:t>
            </w:r>
          </w:p>
        </w:tc>
        <w:tc>
          <w:tcPr>
            <w:tcW w:w="3093" w:type="dxa"/>
          </w:tcPr>
          <w:p w:rsidR="00A1254B" w:rsidRPr="0073079C" w:rsidRDefault="00315ECB" w:rsidP="00A1254B">
            <w:pPr>
              <w:pStyle w:val="Default"/>
              <w:rPr>
                <w:sz w:val="22"/>
                <w:szCs w:val="22"/>
              </w:rPr>
            </w:pPr>
            <w:r w:rsidRPr="00B42D2B">
              <w:rPr>
                <w:b/>
                <w:color w:val="00B050"/>
                <w:sz w:val="22"/>
                <w:szCs w:val="22"/>
              </w:rPr>
              <w:t>Minor</w:t>
            </w:r>
            <w:r w:rsidRPr="0073079C">
              <w:rPr>
                <w:sz w:val="22"/>
                <w:szCs w:val="22"/>
              </w:rPr>
              <w:t xml:space="preserve"> </w:t>
            </w:r>
            <w:r w:rsidR="00A1254B" w:rsidRPr="0073079C">
              <w:rPr>
                <w:sz w:val="22"/>
                <w:szCs w:val="22"/>
              </w:rPr>
              <w:t xml:space="preserve">but likely to remain as Denmark is a junior partner in </w:t>
            </w:r>
            <w:r w:rsidR="00A016F1" w:rsidRPr="0073079C">
              <w:rPr>
                <w:sz w:val="22"/>
                <w:szCs w:val="22"/>
              </w:rPr>
              <w:t>several</w:t>
            </w:r>
            <w:r w:rsidR="00A1254B" w:rsidRPr="0073079C">
              <w:rPr>
                <w:sz w:val="22"/>
                <w:szCs w:val="22"/>
              </w:rPr>
              <w:t xml:space="preserve"> engagement areas. </w:t>
            </w:r>
          </w:p>
        </w:tc>
        <w:tc>
          <w:tcPr>
            <w:tcW w:w="4760" w:type="dxa"/>
          </w:tcPr>
          <w:p w:rsidR="00A1254B" w:rsidRPr="0073079C" w:rsidRDefault="00A1254B" w:rsidP="00A1254B">
            <w:pPr>
              <w:pStyle w:val="Default"/>
              <w:rPr>
                <w:sz w:val="22"/>
                <w:szCs w:val="22"/>
              </w:rPr>
            </w:pPr>
            <w:r w:rsidRPr="0073079C">
              <w:rPr>
                <w:sz w:val="22"/>
                <w:szCs w:val="22"/>
              </w:rPr>
              <w:t>Some other partners have shorter commitment periods (typically one year</w:t>
            </w:r>
            <w:r w:rsidR="00BE2B7F" w:rsidRPr="0073079C">
              <w:rPr>
                <w:sz w:val="22"/>
                <w:szCs w:val="22"/>
              </w:rPr>
              <w:t>),</w:t>
            </w:r>
            <w:r w:rsidRPr="0073079C">
              <w:rPr>
                <w:sz w:val="22"/>
                <w:szCs w:val="22"/>
              </w:rPr>
              <w:t xml:space="preserve"> and this makes them vulnerable to changes. </w:t>
            </w:r>
          </w:p>
        </w:tc>
      </w:tr>
      <w:tr w:rsidR="00A1254B" w:rsidRPr="0073079C" w:rsidTr="00430028">
        <w:tc>
          <w:tcPr>
            <w:tcW w:w="1834" w:type="dxa"/>
          </w:tcPr>
          <w:p w:rsidR="00A1254B" w:rsidRPr="0073079C" w:rsidRDefault="00A1254B" w:rsidP="00A1254B">
            <w:pPr>
              <w:pStyle w:val="Default"/>
              <w:rPr>
                <w:sz w:val="22"/>
                <w:szCs w:val="22"/>
              </w:rPr>
            </w:pPr>
            <w:r w:rsidRPr="0073079C">
              <w:rPr>
                <w:sz w:val="22"/>
                <w:szCs w:val="22"/>
              </w:rPr>
              <w:t>Agreements allowing deployment of military trainers are not in place from outset and may have implications for deployment of DK personnel</w:t>
            </w:r>
          </w:p>
        </w:tc>
        <w:tc>
          <w:tcPr>
            <w:tcW w:w="1274" w:type="dxa"/>
          </w:tcPr>
          <w:p w:rsidR="00A1254B" w:rsidRPr="00430028" w:rsidRDefault="00A1254B" w:rsidP="00A1254B">
            <w:pPr>
              <w:pStyle w:val="Default"/>
              <w:rPr>
                <w:b/>
                <w:sz w:val="22"/>
                <w:szCs w:val="22"/>
              </w:rPr>
            </w:pPr>
            <w:r w:rsidRPr="00430028">
              <w:rPr>
                <w:b/>
                <w:color w:val="E36C0A" w:themeColor="accent6" w:themeShade="BF"/>
                <w:sz w:val="22"/>
                <w:szCs w:val="22"/>
              </w:rPr>
              <w:t>Likely</w:t>
            </w:r>
            <w:r w:rsidRPr="00430028">
              <w:rPr>
                <w:b/>
                <w:sz w:val="22"/>
                <w:szCs w:val="22"/>
              </w:rPr>
              <w:t xml:space="preserve"> </w:t>
            </w:r>
          </w:p>
        </w:tc>
        <w:tc>
          <w:tcPr>
            <w:tcW w:w="998" w:type="dxa"/>
          </w:tcPr>
          <w:p w:rsidR="00A1254B" w:rsidRPr="00430028" w:rsidRDefault="00315ECB" w:rsidP="00A1254B">
            <w:pPr>
              <w:pStyle w:val="Default"/>
              <w:rPr>
                <w:b/>
                <w:sz w:val="22"/>
                <w:szCs w:val="22"/>
              </w:rPr>
            </w:pPr>
            <w:r w:rsidRPr="00B42D2B">
              <w:rPr>
                <w:b/>
                <w:color w:val="00B050"/>
                <w:sz w:val="22"/>
                <w:szCs w:val="22"/>
              </w:rPr>
              <w:t>Minor</w:t>
            </w:r>
          </w:p>
        </w:tc>
        <w:tc>
          <w:tcPr>
            <w:tcW w:w="2601" w:type="dxa"/>
          </w:tcPr>
          <w:p w:rsidR="00A1254B" w:rsidRPr="0073079C" w:rsidRDefault="00A1254B" w:rsidP="00A1254B">
            <w:pPr>
              <w:pStyle w:val="Default"/>
              <w:rPr>
                <w:sz w:val="22"/>
                <w:szCs w:val="22"/>
              </w:rPr>
            </w:pPr>
            <w:r w:rsidRPr="0073079C">
              <w:rPr>
                <w:sz w:val="22"/>
                <w:szCs w:val="22"/>
              </w:rPr>
              <w:t xml:space="preserve">Maintain contacts with </w:t>
            </w:r>
            <w:r w:rsidR="006017FA" w:rsidRPr="0073079C">
              <w:rPr>
                <w:sz w:val="22"/>
                <w:szCs w:val="22"/>
              </w:rPr>
              <w:t>counterparts</w:t>
            </w:r>
            <w:r w:rsidRPr="0073079C">
              <w:rPr>
                <w:sz w:val="22"/>
                <w:szCs w:val="22"/>
              </w:rPr>
              <w:t xml:space="preserve">/ other partners and seek completion of agreement. Ensure fall back arrangements </w:t>
            </w:r>
            <w:r w:rsidR="00A97FFB">
              <w:rPr>
                <w:sz w:val="22"/>
                <w:szCs w:val="22"/>
              </w:rPr>
              <w:t xml:space="preserve">are </w:t>
            </w:r>
            <w:r w:rsidRPr="0073079C">
              <w:rPr>
                <w:sz w:val="22"/>
                <w:szCs w:val="22"/>
              </w:rPr>
              <w:t>in place.</w:t>
            </w:r>
          </w:p>
        </w:tc>
        <w:tc>
          <w:tcPr>
            <w:tcW w:w="3093" w:type="dxa"/>
          </w:tcPr>
          <w:p w:rsidR="00A1254B" w:rsidRPr="0073079C" w:rsidRDefault="00315ECB" w:rsidP="00A1254B">
            <w:pPr>
              <w:pStyle w:val="Default"/>
              <w:rPr>
                <w:sz w:val="22"/>
                <w:szCs w:val="22"/>
              </w:rPr>
            </w:pPr>
            <w:r w:rsidRPr="00B42D2B">
              <w:rPr>
                <w:b/>
                <w:color w:val="00B050"/>
                <w:sz w:val="22"/>
                <w:szCs w:val="22"/>
              </w:rPr>
              <w:t>Minor</w:t>
            </w:r>
            <w:r w:rsidR="00A1254B" w:rsidRPr="0073079C">
              <w:rPr>
                <w:sz w:val="22"/>
                <w:szCs w:val="22"/>
              </w:rPr>
              <w:t>. Interim arrangements allow temporary presence of DK advisors/trainers.</w:t>
            </w:r>
          </w:p>
        </w:tc>
        <w:tc>
          <w:tcPr>
            <w:tcW w:w="4760" w:type="dxa"/>
          </w:tcPr>
          <w:p w:rsidR="00A1254B" w:rsidRPr="0073079C" w:rsidRDefault="00A1254B" w:rsidP="00A1254B">
            <w:pPr>
              <w:pStyle w:val="Default"/>
              <w:rPr>
                <w:sz w:val="22"/>
                <w:szCs w:val="22"/>
              </w:rPr>
            </w:pPr>
            <w:r w:rsidRPr="0073079C">
              <w:rPr>
                <w:sz w:val="22"/>
                <w:szCs w:val="22"/>
              </w:rPr>
              <w:t>Interim arrangements allow temporary presence of DK advisors/trainers.</w:t>
            </w:r>
          </w:p>
        </w:tc>
      </w:tr>
      <w:tr w:rsidR="00A1254B" w:rsidRPr="0073079C" w:rsidTr="00430028">
        <w:tc>
          <w:tcPr>
            <w:tcW w:w="1834" w:type="dxa"/>
          </w:tcPr>
          <w:p w:rsidR="00A1254B" w:rsidRPr="0073079C" w:rsidRDefault="00A1254B" w:rsidP="00A1254B">
            <w:pPr>
              <w:pStyle w:val="Default"/>
              <w:rPr>
                <w:sz w:val="22"/>
                <w:szCs w:val="22"/>
              </w:rPr>
            </w:pPr>
            <w:r w:rsidRPr="0073079C">
              <w:rPr>
                <w:sz w:val="22"/>
                <w:szCs w:val="22"/>
              </w:rPr>
              <w:t xml:space="preserve">Not possible to identify suitable candidates for advisory positions </w:t>
            </w:r>
          </w:p>
        </w:tc>
        <w:tc>
          <w:tcPr>
            <w:tcW w:w="1274" w:type="dxa"/>
          </w:tcPr>
          <w:p w:rsidR="00A1254B" w:rsidRPr="00430028" w:rsidRDefault="00A1254B" w:rsidP="00A1254B">
            <w:pPr>
              <w:pStyle w:val="Default"/>
              <w:rPr>
                <w:b/>
                <w:sz w:val="22"/>
                <w:szCs w:val="22"/>
              </w:rPr>
            </w:pPr>
            <w:r w:rsidRPr="00430028">
              <w:rPr>
                <w:b/>
                <w:color w:val="00B050"/>
                <w:sz w:val="22"/>
                <w:szCs w:val="22"/>
              </w:rPr>
              <w:t>Unlikely</w:t>
            </w:r>
          </w:p>
        </w:tc>
        <w:tc>
          <w:tcPr>
            <w:tcW w:w="998" w:type="dxa"/>
          </w:tcPr>
          <w:p w:rsidR="00A1254B" w:rsidRPr="00430028" w:rsidRDefault="00A1254B" w:rsidP="00A1254B">
            <w:pPr>
              <w:pStyle w:val="Default"/>
              <w:rPr>
                <w:b/>
                <w:sz w:val="22"/>
                <w:szCs w:val="22"/>
              </w:rPr>
            </w:pPr>
            <w:r w:rsidRPr="00430028">
              <w:rPr>
                <w:b/>
                <w:color w:val="FF0000"/>
                <w:sz w:val="22"/>
                <w:szCs w:val="22"/>
              </w:rPr>
              <w:t>Major</w:t>
            </w:r>
          </w:p>
        </w:tc>
        <w:tc>
          <w:tcPr>
            <w:tcW w:w="2601" w:type="dxa"/>
          </w:tcPr>
          <w:p w:rsidR="00A1254B" w:rsidRPr="0073079C" w:rsidRDefault="00A1254B" w:rsidP="00A1254B">
            <w:pPr>
              <w:pStyle w:val="Default"/>
              <w:rPr>
                <w:sz w:val="22"/>
                <w:szCs w:val="22"/>
              </w:rPr>
            </w:pPr>
            <w:r w:rsidRPr="0073079C">
              <w:rPr>
                <w:sz w:val="22"/>
                <w:szCs w:val="22"/>
              </w:rPr>
              <w:t xml:space="preserve">Danish Embassies </w:t>
            </w:r>
            <w:r w:rsidR="006E345B" w:rsidRPr="0073079C">
              <w:rPr>
                <w:sz w:val="22"/>
                <w:szCs w:val="22"/>
              </w:rPr>
              <w:t xml:space="preserve">to </w:t>
            </w:r>
            <w:r w:rsidRPr="0073079C">
              <w:rPr>
                <w:sz w:val="22"/>
                <w:szCs w:val="22"/>
              </w:rPr>
              <w:t>ensure early identification of candidates through existing systems and that rotation arrangements are in place. May need to adjust job descriptions. DK SOF and other experts considered to be less at risk, except if urgent operational requirements arise elsewhere.</w:t>
            </w:r>
          </w:p>
        </w:tc>
        <w:tc>
          <w:tcPr>
            <w:tcW w:w="3093" w:type="dxa"/>
          </w:tcPr>
          <w:p w:rsidR="00A1254B" w:rsidRPr="0073079C" w:rsidRDefault="00A1254B">
            <w:pPr>
              <w:pStyle w:val="Default"/>
              <w:rPr>
                <w:sz w:val="22"/>
                <w:szCs w:val="22"/>
              </w:rPr>
            </w:pPr>
            <w:r w:rsidRPr="00430028">
              <w:rPr>
                <w:b/>
                <w:color w:val="FF0000"/>
                <w:sz w:val="22"/>
                <w:szCs w:val="22"/>
              </w:rPr>
              <w:t>Major</w:t>
            </w:r>
            <w:r w:rsidRPr="0073079C">
              <w:rPr>
                <w:sz w:val="22"/>
                <w:szCs w:val="22"/>
              </w:rPr>
              <w:t xml:space="preserve">. The </w:t>
            </w:r>
            <w:r w:rsidR="00BE2B7F" w:rsidRPr="0073079C">
              <w:rPr>
                <w:sz w:val="22"/>
                <w:szCs w:val="22"/>
              </w:rPr>
              <w:t>long-term</w:t>
            </w:r>
            <w:r w:rsidRPr="0073079C">
              <w:rPr>
                <w:sz w:val="22"/>
                <w:szCs w:val="22"/>
              </w:rPr>
              <w:t xml:space="preserve"> nature of most positions should enable candidates to be identified. But it may also prove difficult to find the right match and to attract qualified people to</w:t>
            </w:r>
            <w:r w:rsidR="006E345B" w:rsidRPr="0073079C">
              <w:rPr>
                <w:sz w:val="22"/>
                <w:szCs w:val="22"/>
              </w:rPr>
              <w:t xml:space="preserve"> the </w:t>
            </w:r>
            <w:r w:rsidR="00A97FFB">
              <w:rPr>
                <w:sz w:val="22"/>
                <w:szCs w:val="22"/>
              </w:rPr>
              <w:t>k</w:t>
            </w:r>
            <w:r w:rsidR="006E345B" w:rsidRPr="0073079C">
              <w:rPr>
                <w:sz w:val="22"/>
                <w:szCs w:val="22"/>
              </w:rPr>
              <w:t>ey MPSA and MEL pos</w:t>
            </w:r>
            <w:r w:rsidR="005A1227" w:rsidRPr="0073079C">
              <w:rPr>
                <w:sz w:val="22"/>
                <w:szCs w:val="22"/>
              </w:rPr>
              <w:t>itions</w:t>
            </w:r>
            <w:r w:rsidRPr="0073079C">
              <w:rPr>
                <w:sz w:val="22"/>
                <w:szCs w:val="22"/>
              </w:rPr>
              <w:t xml:space="preserve">. </w:t>
            </w:r>
            <w:r w:rsidR="005A1227" w:rsidRPr="0073079C">
              <w:rPr>
                <w:sz w:val="22"/>
                <w:szCs w:val="22"/>
              </w:rPr>
              <w:t>Experience with recruitment of a qualified CMA in Nigeria</w:t>
            </w:r>
            <w:r w:rsidR="00D738FA" w:rsidRPr="0073079C">
              <w:rPr>
                <w:sz w:val="22"/>
                <w:szCs w:val="22"/>
              </w:rPr>
              <w:t xml:space="preserve"> was </w:t>
            </w:r>
            <w:r w:rsidR="00FB6F94">
              <w:rPr>
                <w:sz w:val="22"/>
                <w:szCs w:val="22"/>
              </w:rPr>
              <w:t>positive</w:t>
            </w:r>
            <w:r w:rsidR="00D738FA" w:rsidRPr="0073079C">
              <w:rPr>
                <w:sz w:val="22"/>
                <w:szCs w:val="22"/>
              </w:rPr>
              <w:t xml:space="preserve">. To build on the experience and institutional memory, </w:t>
            </w:r>
            <w:r w:rsidR="00986485" w:rsidRPr="0073079C">
              <w:rPr>
                <w:sz w:val="22"/>
                <w:szCs w:val="22"/>
              </w:rPr>
              <w:t xml:space="preserve">rolling over the current DMSP 2 CMA to phase 3 would be </w:t>
            </w:r>
            <w:r w:rsidR="004F5617" w:rsidRPr="0073079C">
              <w:rPr>
                <w:sz w:val="22"/>
                <w:szCs w:val="22"/>
              </w:rPr>
              <w:t>in the programme’s interest.</w:t>
            </w:r>
          </w:p>
        </w:tc>
        <w:tc>
          <w:tcPr>
            <w:tcW w:w="4760" w:type="dxa"/>
          </w:tcPr>
          <w:p w:rsidR="00A1254B" w:rsidRPr="0073079C" w:rsidRDefault="004366E8" w:rsidP="00A1254B">
            <w:pPr>
              <w:pStyle w:val="Default"/>
              <w:rPr>
                <w:sz w:val="22"/>
                <w:szCs w:val="22"/>
              </w:rPr>
            </w:pPr>
            <w:r w:rsidRPr="0073079C">
              <w:rPr>
                <w:sz w:val="22"/>
                <w:szCs w:val="22"/>
              </w:rPr>
              <w:t xml:space="preserve">Since </w:t>
            </w:r>
            <w:r w:rsidR="0097716B" w:rsidRPr="0073079C">
              <w:rPr>
                <w:sz w:val="22"/>
                <w:szCs w:val="22"/>
              </w:rPr>
              <w:t xml:space="preserve">skills required for the MSPA are </w:t>
            </w:r>
            <w:r w:rsidR="005D4F73" w:rsidRPr="0073079C">
              <w:rPr>
                <w:sz w:val="22"/>
                <w:szCs w:val="22"/>
              </w:rPr>
              <w:t>at regional</w:t>
            </w:r>
            <w:r w:rsidR="00756EFF">
              <w:rPr>
                <w:sz w:val="22"/>
                <w:szCs w:val="22"/>
              </w:rPr>
              <w:t xml:space="preserve"> and</w:t>
            </w:r>
            <w:r w:rsidR="005D4F73" w:rsidRPr="0073079C">
              <w:rPr>
                <w:sz w:val="22"/>
                <w:szCs w:val="22"/>
              </w:rPr>
              <w:t xml:space="preserve"> international level (including </w:t>
            </w:r>
            <w:r w:rsidR="003C2B6F" w:rsidRPr="0073079C">
              <w:rPr>
                <w:sz w:val="22"/>
                <w:szCs w:val="22"/>
              </w:rPr>
              <w:t>fluent English and French since beneficiary countries are francophone)</w:t>
            </w:r>
            <w:r w:rsidR="00756EFF">
              <w:rPr>
                <w:sz w:val="22"/>
                <w:szCs w:val="22"/>
              </w:rPr>
              <w:t>.</w:t>
            </w:r>
            <w:r w:rsidR="003C2B6F" w:rsidRPr="0073079C">
              <w:rPr>
                <w:sz w:val="22"/>
                <w:szCs w:val="22"/>
              </w:rPr>
              <w:t xml:space="preserve"> </w:t>
            </w:r>
            <w:r w:rsidR="00A1254B" w:rsidRPr="0073079C">
              <w:rPr>
                <w:sz w:val="22"/>
                <w:szCs w:val="22"/>
              </w:rPr>
              <w:t>For the two locally recruited advisors it may be difficult to identify candidates with the correct profiles</w:t>
            </w:r>
            <w:r w:rsidRPr="0073079C">
              <w:rPr>
                <w:sz w:val="22"/>
                <w:szCs w:val="22"/>
              </w:rPr>
              <w:t xml:space="preserve"> within </w:t>
            </w:r>
            <w:r w:rsidR="006017FA" w:rsidRPr="0073079C">
              <w:rPr>
                <w:sz w:val="22"/>
                <w:szCs w:val="22"/>
              </w:rPr>
              <w:t>the</w:t>
            </w:r>
            <w:r w:rsidRPr="0073079C">
              <w:rPr>
                <w:sz w:val="22"/>
                <w:szCs w:val="22"/>
              </w:rPr>
              <w:t xml:space="preserve"> </w:t>
            </w:r>
            <w:r w:rsidR="006017FA" w:rsidRPr="0073079C">
              <w:rPr>
                <w:sz w:val="22"/>
                <w:szCs w:val="22"/>
              </w:rPr>
              <w:t>available</w:t>
            </w:r>
            <w:r w:rsidRPr="0073079C">
              <w:rPr>
                <w:sz w:val="22"/>
                <w:szCs w:val="22"/>
              </w:rPr>
              <w:t xml:space="preserve"> remuneration </w:t>
            </w:r>
            <w:r w:rsidR="006017FA" w:rsidRPr="0073079C">
              <w:rPr>
                <w:sz w:val="22"/>
                <w:szCs w:val="22"/>
              </w:rPr>
              <w:t>categories</w:t>
            </w:r>
            <w:r w:rsidR="00756EFF">
              <w:rPr>
                <w:sz w:val="22"/>
                <w:szCs w:val="22"/>
              </w:rPr>
              <w:t>.</w:t>
            </w:r>
            <w:r w:rsidRPr="0073079C">
              <w:rPr>
                <w:sz w:val="22"/>
                <w:szCs w:val="22"/>
              </w:rPr>
              <w:t xml:space="preserve"> </w:t>
            </w:r>
          </w:p>
          <w:p w:rsidR="00A1254B" w:rsidRPr="0073079C" w:rsidRDefault="00A1254B" w:rsidP="00A1254B">
            <w:pPr>
              <w:pStyle w:val="Default"/>
              <w:rPr>
                <w:sz w:val="22"/>
                <w:szCs w:val="22"/>
              </w:rPr>
            </w:pPr>
          </w:p>
          <w:p w:rsidR="00A1254B" w:rsidRPr="0073079C" w:rsidRDefault="00A1254B" w:rsidP="00A1254B">
            <w:pPr>
              <w:pStyle w:val="Default"/>
              <w:rPr>
                <w:sz w:val="22"/>
                <w:szCs w:val="22"/>
              </w:rPr>
            </w:pPr>
          </w:p>
        </w:tc>
      </w:tr>
    </w:tbl>
    <w:p w:rsidR="00315ECB" w:rsidRDefault="00315ECB">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4"/>
        <w:gridCol w:w="1274"/>
        <w:gridCol w:w="998"/>
        <w:gridCol w:w="2601"/>
        <w:gridCol w:w="3093"/>
        <w:gridCol w:w="4760"/>
      </w:tblGrid>
      <w:tr w:rsidR="00A1254B" w:rsidRPr="0073079C" w:rsidTr="00430028">
        <w:tc>
          <w:tcPr>
            <w:tcW w:w="1834" w:type="dxa"/>
          </w:tcPr>
          <w:p w:rsidR="00A1254B" w:rsidRPr="0073079C" w:rsidRDefault="00A1254B" w:rsidP="00A1254B">
            <w:pPr>
              <w:pStyle w:val="Default"/>
              <w:rPr>
                <w:sz w:val="22"/>
                <w:szCs w:val="22"/>
              </w:rPr>
            </w:pPr>
            <w:r w:rsidRPr="0073079C">
              <w:rPr>
                <w:sz w:val="22"/>
                <w:szCs w:val="22"/>
              </w:rPr>
              <w:lastRenderedPageBreak/>
              <w:t>Duplication of effort with other donors</w:t>
            </w:r>
          </w:p>
        </w:tc>
        <w:tc>
          <w:tcPr>
            <w:tcW w:w="1274" w:type="dxa"/>
          </w:tcPr>
          <w:p w:rsidR="00A1254B" w:rsidRPr="00430028" w:rsidRDefault="00A1254B" w:rsidP="00A1254B">
            <w:pPr>
              <w:pStyle w:val="Default"/>
              <w:rPr>
                <w:b/>
                <w:sz w:val="22"/>
                <w:szCs w:val="22"/>
              </w:rPr>
            </w:pPr>
            <w:r w:rsidRPr="00430028">
              <w:rPr>
                <w:b/>
                <w:color w:val="00B050"/>
                <w:sz w:val="22"/>
                <w:szCs w:val="22"/>
              </w:rPr>
              <w:t>Unlikely</w:t>
            </w:r>
          </w:p>
        </w:tc>
        <w:tc>
          <w:tcPr>
            <w:tcW w:w="998" w:type="dxa"/>
          </w:tcPr>
          <w:p w:rsidR="00A1254B" w:rsidRPr="00430028" w:rsidRDefault="00315ECB" w:rsidP="00A1254B">
            <w:pPr>
              <w:pStyle w:val="Default"/>
              <w:rPr>
                <w:b/>
                <w:sz w:val="22"/>
                <w:szCs w:val="22"/>
              </w:rPr>
            </w:pPr>
            <w:r w:rsidRPr="00B42D2B">
              <w:rPr>
                <w:b/>
                <w:color w:val="00B050"/>
                <w:sz w:val="22"/>
                <w:szCs w:val="22"/>
              </w:rPr>
              <w:t>Minor</w:t>
            </w:r>
          </w:p>
        </w:tc>
        <w:tc>
          <w:tcPr>
            <w:tcW w:w="2601" w:type="dxa"/>
          </w:tcPr>
          <w:p w:rsidR="00A1254B" w:rsidRPr="0073079C" w:rsidRDefault="003376D1" w:rsidP="00A1254B">
            <w:pPr>
              <w:pStyle w:val="Default"/>
              <w:rPr>
                <w:sz w:val="22"/>
                <w:szCs w:val="22"/>
              </w:rPr>
            </w:pPr>
            <w:r w:rsidRPr="0073079C">
              <w:rPr>
                <w:sz w:val="22"/>
                <w:szCs w:val="22"/>
              </w:rPr>
              <w:t xml:space="preserve">UNODC and INTERPOL are well </w:t>
            </w:r>
            <w:r w:rsidR="006017FA" w:rsidRPr="0073079C">
              <w:rPr>
                <w:sz w:val="22"/>
                <w:szCs w:val="22"/>
              </w:rPr>
              <w:t>positioned</w:t>
            </w:r>
            <w:r w:rsidRPr="0073079C">
              <w:rPr>
                <w:sz w:val="22"/>
                <w:szCs w:val="22"/>
              </w:rPr>
              <w:t xml:space="preserve"> to </w:t>
            </w:r>
            <w:r w:rsidR="006017FA" w:rsidRPr="0073079C">
              <w:rPr>
                <w:sz w:val="22"/>
                <w:szCs w:val="22"/>
              </w:rPr>
              <w:t>avoid</w:t>
            </w:r>
            <w:r w:rsidRPr="0073079C">
              <w:rPr>
                <w:sz w:val="22"/>
                <w:szCs w:val="22"/>
              </w:rPr>
              <w:t xml:space="preserve"> this</w:t>
            </w:r>
            <w:r w:rsidR="00756EFF">
              <w:rPr>
                <w:sz w:val="22"/>
                <w:szCs w:val="22"/>
              </w:rPr>
              <w:t>,</w:t>
            </w:r>
            <w:r w:rsidRPr="0073079C">
              <w:rPr>
                <w:sz w:val="22"/>
                <w:szCs w:val="22"/>
              </w:rPr>
              <w:t xml:space="preserve"> and </w:t>
            </w:r>
            <w:r w:rsidR="00DF1D8B" w:rsidRPr="0073079C">
              <w:rPr>
                <w:sz w:val="22"/>
                <w:szCs w:val="22"/>
              </w:rPr>
              <w:t xml:space="preserve">their proposals </w:t>
            </w:r>
            <w:r w:rsidR="00BE2B7F" w:rsidRPr="0073079C">
              <w:rPr>
                <w:sz w:val="22"/>
                <w:szCs w:val="22"/>
              </w:rPr>
              <w:t>for DMPS</w:t>
            </w:r>
            <w:r w:rsidR="00DF1D8B" w:rsidRPr="0073079C">
              <w:rPr>
                <w:sz w:val="22"/>
                <w:szCs w:val="22"/>
              </w:rPr>
              <w:t xml:space="preserve"> 3 outline how duplication is </w:t>
            </w:r>
            <w:r w:rsidR="00CB048D" w:rsidRPr="0073079C">
              <w:rPr>
                <w:sz w:val="22"/>
                <w:szCs w:val="22"/>
              </w:rPr>
              <w:t>avoided</w:t>
            </w:r>
            <w:r w:rsidR="00DF1D8B" w:rsidRPr="0073079C">
              <w:rPr>
                <w:sz w:val="22"/>
                <w:szCs w:val="22"/>
              </w:rPr>
              <w:t xml:space="preserve"> and </w:t>
            </w:r>
            <w:r w:rsidR="004F7E5D" w:rsidRPr="0073079C">
              <w:rPr>
                <w:sz w:val="22"/>
                <w:szCs w:val="22"/>
              </w:rPr>
              <w:t>complementarities</w:t>
            </w:r>
            <w:r w:rsidR="00DF1D8B" w:rsidRPr="0073079C">
              <w:rPr>
                <w:sz w:val="22"/>
                <w:szCs w:val="22"/>
              </w:rPr>
              <w:t xml:space="preserve"> are achieved</w:t>
            </w:r>
            <w:r w:rsidR="00756EFF">
              <w:rPr>
                <w:sz w:val="22"/>
                <w:szCs w:val="22"/>
              </w:rPr>
              <w:t>.</w:t>
            </w:r>
            <w:r w:rsidR="00DF1D8B" w:rsidRPr="0073079C">
              <w:rPr>
                <w:sz w:val="22"/>
                <w:szCs w:val="22"/>
              </w:rPr>
              <w:t xml:space="preserve"> The Virtual DTG (see above</w:t>
            </w:r>
            <w:r w:rsidR="00756EFF">
              <w:rPr>
                <w:sz w:val="22"/>
                <w:szCs w:val="22"/>
              </w:rPr>
              <w:t>)</w:t>
            </w:r>
            <w:r w:rsidR="00DF1D8B" w:rsidRPr="0073079C">
              <w:rPr>
                <w:sz w:val="22"/>
                <w:szCs w:val="22"/>
              </w:rPr>
              <w:t xml:space="preserve"> will furthermore reduce the </w:t>
            </w:r>
            <w:r w:rsidR="004F7E5D" w:rsidRPr="0073079C">
              <w:rPr>
                <w:sz w:val="22"/>
                <w:szCs w:val="22"/>
              </w:rPr>
              <w:t>risk</w:t>
            </w:r>
            <w:r w:rsidR="00756EFF">
              <w:rPr>
                <w:sz w:val="22"/>
                <w:szCs w:val="22"/>
              </w:rPr>
              <w:t>.</w:t>
            </w:r>
          </w:p>
        </w:tc>
        <w:tc>
          <w:tcPr>
            <w:tcW w:w="3093" w:type="dxa"/>
          </w:tcPr>
          <w:p w:rsidR="00A1254B" w:rsidRPr="0073079C" w:rsidRDefault="00A1254B" w:rsidP="00A1254B">
            <w:pPr>
              <w:pStyle w:val="Default"/>
              <w:rPr>
                <w:sz w:val="22"/>
                <w:szCs w:val="22"/>
              </w:rPr>
            </w:pPr>
            <w:r w:rsidRPr="00430028">
              <w:rPr>
                <w:b/>
                <w:color w:val="00B050"/>
                <w:sz w:val="22"/>
                <w:szCs w:val="22"/>
              </w:rPr>
              <w:t>Minor</w:t>
            </w:r>
            <w:r w:rsidRPr="0073079C">
              <w:rPr>
                <w:sz w:val="22"/>
                <w:szCs w:val="22"/>
              </w:rPr>
              <w:t xml:space="preserve"> as implementing partners </w:t>
            </w:r>
            <w:r w:rsidR="00BE2B7F" w:rsidRPr="0073079C">
              <w:rPr>
                <w:sz w:val="22"/>
                <w:szCs w:val="22"/>
              </w:rPr>
              <w:t>is</w:t>
            </w:r>
            <w:r w:rsidRPr="0073079C">
              <w:rPr>
                <w:sz w:val="22"/>
                <w:szCs w:val="22"/>
              </w:rPr>
              <w:t xml:space="preserve"> in regular contact </w:t>
            </w:r>
            <w:r w:rsidR="006E6B59" w:rsidRPr="0073079C">
              <w:rPr>
                <w:sz w:val="22"/>
                <w:szCs w:val="22"/>
              </w:rPr>
              <w:t xml:space="preserve">and this will be </w:t>
            </w:r>
            <w:r w:rsidR="00CB048D" w:rsidRPr="0073079C">
              <w:rPr>
                <w:sz w:val="22"/>
                <w:szCs w:val="22"/>
              </w:rPr>
              <w:t>facilitated</w:t>
            </w:r>
            <w:r w:rsidR="006E6B59" w:rsidRPr="0073079C">
              <w:rPr>
                <w:sz w:val="22"/>
                <w:szCs w:val="22"/>
              </w:rPr>
              <w:t xml:space="preserve"> by UNODC through the virtual DTG</w:t>
            </w:r>
            <w:r w:rsidR="00756EFF">
              <w:rPr>
                <w:sz w:val="22"/>
                <w:szCs w:val="22"/>
              </w:rPr>
              <w:t>.</w:t>
            </w:r>
          </w:p>
        </w:tc>
        <w:tc>
          <w:tcPr>
            <w:tcW w:w="4760" w:type="dxa"/>
          </w:tcPr>
          <w:p w:rsidR="00A1254B" w:rsidRPr="0073079C" w:rsidRDefault="00A1254B" w:rsidP="00A1254B">
            <w:pPr>
              <w:pStyle w:val="Default"/>
              <w:rPr>
                <w:sz w:val="22"/>
                <w:szCs w:val="22"/>
              </w:rPr>
            </w:pPr>
            <w:r w:rsidRPr="0073079C">
              <w:rPr>
                <w:sz w:val="22"/>
                <w:szCs w:val="22"/>
              </w:rPr>
              <w:t xml:space="preserve">The risk varies but the key actors are </w:t>
            </w:r>
            <w:r w:rsidR="00BE2B7F" w:rsidRPr="0073079C">
              <w:rPr>
                <w:sz w:val="22"/>
                <w:szCs w:val="22"/>
              </w:rPr>
              <w:t>connected,</w:t>
            </w:r>
            <w:r w:rsidRPr="0073079C">
              <w:rPr>
                <w:sz w:val="22"/>
                <w:szCs w:val="22"/>
              </w:rPr>
              <w:t xml:space="preserve"> and this means there is a general overview of which partner is active in which area. A more formalised exchange of information would be useful</w:t>
            </w:r>
            <w:r w:rsidR="00B47B3A" w:rsidRPr="0073079C">
              <w:rPr>
                <w:sz w:val="22"/>
                <w:szCs w:val="22"/>
              </w:rPr>
              <w:t xml:space="preserve"> and has been agreed with UNODC</w:t>
            </w:r>
            <w:r w:rsidR="00756EFF">
              <w:rPr>
                <w:sz w:val="22"/>
                <w:szCs w:val="22"/>
              </w:rPr>
              <w:t>, who is</w:t>
            </w:r>
            <w:r w:rsidR="00B47B3A" w:rsidRPr="0073079C">
              <w:rPr>
                <w:sz w:val="22"/>
                <w:szCs w:val="22"/>
              </w:rPr>
              <w:t xml:space="preserve"> taking the lead.</w:t>
            </w:r>
          </w:p>
        </w:tc>
      </w:tr>
    </w:tbl>
    <w:p w:rsidR="00315ECB" w:rsidRDefault="00315ECB">
      <w:pPr>
        <w:rPr>
          <w:rFonts w:asciiTheme="majorHAnsi" w:eastAsiaTheme="majorEastAsia" w:hAnsiTheme="majorHAnsi" w:cstheme="majorBidi"/>
          <w:b/>
          <w:sz w:val="26"/>
          <w:szCs w:val="26"/>
        </w:rPr>
      </w:pPr>
    </w:p>
    <w:p w:rsidR="003669AF" w:rsidRDefault="003669AF">
      <w:pPr>
        <w:rPr>
          <w:rFonts w:asciiTheme="majorHAnsi" w:eastAsiaTheme="majorEastAsia" w:hAnsiTheme="majorHAnsi" w:cstheme="majorBidi"/>
          <w:b/>
          <w:sz w:val="26"/>
          <w:szCs w:val="26"/>
        </w:rPr>
      </w:pPr>
      <w:r>
        <w:rPr>
          <w:b/>
        </w:rPr>
        <w:br w:type="page"/>
      </w:r>
    </w:p>
    <w:p w:rsidR="003E6C07" w:rsidRPr="0073079C" w:rsidRDefault="003E6C07" w:rsidP="00670E55">
      <w:pPr>
        <w:pStyle w:val="Heading2"/>
        <w:rPr>
          <w:b/>
          <w:color w:val="auto"/>
        </w:rPr>
      </w:pPr>
      <w:r w:rsidRPr="0073079C">
        <w:rPr>
          <w:b/>
          <w:color w:val="auto"/>
        </w:rPr>
        <w:lastRenderedPageBreak/>
        <w:t>Institutional risks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276"/>
        <w:gridCol w:w="1253"/>
        <w:gridCol w:w="2716"/>
        <w:gridCol w:w="2268"/>
        <w:gridCol w:w="5080"/>
      </w:tblGrid>
      <w:tr w:rsidR="00C86C10" w:rsidRPr="0073079C" w:rsidTr="00430028">
        <w:tc>
          <w:tcPr>
            <w:tcW w:w="1838" w:type="dxa"/>
          </w:tcPr>
          <w:p w:rsidR="00C86C10" w:rsidRPr="0073079C" w:rsidRDefault="00C86C10" w:rsidP="00B045D6">
            <w:pPr>
              <w:pStyle w:val="Default"/>
              <w:rPr>
                <w:b/>
                <w:sz w:val="22"/>
                <w:szCs w:val="22"/>
              </w:rPr>
            </w:pPr>
            <w:r w:rsidRPr="0073079C">
              <w:rPr>
                <w:b/>
                <w:sz w:val="22"/>
                <w:szCs w:val="22"/>
              </w:rPr>
              <w:t>Risk Factor</w:t>
            </w:r>
          </w:p>
        </w:tc>
        <w:tc>
          <w:tcPr>
            <w:tcW w:w="1276" w:type="dxa"/>
          </w:tcPr>
          <w:p w:rsidR="00C86C10" w:rsidRPr="0073079C" w:rsidRDefault="00C86C10" w:rsidP="00B045D6">
            <w:pPr>
              <w:pStyle w:val="Default"/>
              <w:rPr>
                <w:b/>
                <w:sz w:val="22"/>
                <w:szCs w:val="22"/>
              </w:rPr>
            </w:pPr>
            <w:r w:rsidRPr="0073079C">
              <w:rPr>
                <w:b/>
                <w:sz w:val="22"/>
                <w:szCs w:val="22"/>
              </w:rPr>
              <w:t>Likelihood</w:t>
            </w:r>
          </w:p>
        </w:tc>
        <w:tc>
          <w:tcPr>
            <w:tcW w:w="1253" w:type="dxa"/>
          </w:tcPr>
          <w:p w:rsidR="00C86C10" w:rsidRPr="0073079C" w:rsidRDefault="00C86C10" w:rsidP="00B045D6">
            <w:pPr>
              <w:pStyle w:val="Default"/>
              <w:rPr>
                <w:b/>
                <w:sz w:val="22"/>
                <w:szCs w:val="22"/>
              </w:rPr>
            </w:pPr>
            <w:r w:rsidRPr="0073079C">
              <w:rPr>
                <w:b/>
                <w:sz w:val="22"/>
                <w:szCs w:val="22"/>
              </w:rPr>
              <w:t>Impact</w:t>
            </w:r>
          </w:p>
        </w:tc>
        <w:tc>
          <w:tcPr>
            <w:tcW w:w="2716" w:type="dxa"/>
          </w:tcPr>
          <w:p w:rsidR="00C86C10" w:rsidRPr="0073079C" w:rsidRDefault="00C86C10" w:rsidP="00B045D6">
            <w:pPr>
              <w:pStyle w:val="Default"/>
              <w:rPr>
                <w:b/>
                <w:sz w:val="22"/>
                <w:szCs w:val="22"/>
              </w:rPr>
            </w:pPr>
            <w:r w:rsidRPr="0073079C">
              <w:rPr>
                <w:b/>
                <w:sz w:val="22"/>
                <w:szCs w:val="22"/>
              </w:rPr>
              <w:t>Risk response</w:t>
            </w:r>
          </w:p>
        </w:tc>
        <w:tc>
          <w:tcPr>
            <w:tcW w:w="2268" w:type="dxa"/>
          </w:tcPr>
          <w:p w:rsidR="00C86C10" w:rsidRPr="0073079C" w:rsidRDefault="00C86C10" w:rsidP="00B045D6">
            <w:pPr>
              <w:pStyle w:val="Default"/>
              <w:rPr>
                <w:b/>
                <w:sz w:val="22"/>
                <w:szCs w:val="22"/>
              </w:rPr>
            </w:pPr>
            <w:r w:rsidRPr="0073079C">
              <w:rPr>
                <w:b/>
                <w:sz w:val="22"/>
                <w:szCs w:val="22"/>
              </w:rPr>
              <w:t>Residual risk</w:t>
            </w:r>
          </w:p>
        </w:tc>
        <w:tc>
          <w:tcPr>
            <w:tcW w:w="5080" w:type="dxa"/>
          </w:tcPr>
          <w:p w:rsidR="00C86C10" w:rsidRPr="0073079C" w:rsidRDefault="00C86C10" w:rsidP="00B045D6">
            <w:pPr>
              <w:pStyle w:val="Default"/>
              <w:rPr>
                <w:b/>
                <w:sz w:val="22"/>
                <w:szCs w:val="22"/>
              </w:rPr>
            </w:pPr>
            <w:r w:rsidRPr="0073079C">
              <w:rPr>
                <w:b/>
                <w:sz w:val="22"/>
                <w:szCs w:val="22"/>
              </w:rPr>
              <w:t>Background to assessment</w:t>
            </w:r>
          </w:p>
        </w:tc>
      </w:tr>
      <w:tr w:rsidR="00C86C10" w:rsidRPr="0073079C" w:rsidTr="00430028">
        <w:tc>
          <w:tcPr>
            <w:tcW w:w="1838" w:type="dxa"/>
          </w:tcPr>
          <w:p w:rsidR="00C86C10" w:rsidRPr="0073079C" w:rsidRDefault="00213D89" w:rsidP="00DD143B">
            <w:pPr>
              <w:pStyle w:val="Default"/>
              <w:rPr>
                <w:sz w:val="22"/>
                <w:szCs w:val="22"/>
              </w:rPr>
            </w:pPr>
            <w:r w:rsidRPr="0073079C">
              <w:rPr>
                <w:sz w:val="22"/>
                <w:szCs w:val="22"/>
              </w:rPr>
              <w:t>Program</w:t>
            </w:r>
            <w:r w:rsidR="004516F4" w:rsidRPr="0073079C">
              <w:rPr>
                <w:sz w:val="22"/>
                <w:szCs w:val="22"/>
              </w:rPr>
              <w:t>m</w:t>
            </w:r>
            <w:r w:rsidRPr="0073079C">
              <w:rPr>
                <w:sz w:val="22"/>
                <w:szCs w:val="22"/>
              </w:rPr>
              <w:t>e</w:t>
            </w:r>
            <w:r w:rsidR="004516F4" w:rsidRPr="0073079C">
              <w:rPr>
                <w:sz w:val="22"/>
                <w:szCs w:val="22"/>
              </w:rPr>
              <w:t xml:space="preserve"> funds</w:t>
            </w:r>
            <w:r w:rsidR="00FB279D" w:rsidRPr="0073079C">
              <w:rPr>
                <w:sz w:val="22"/>
                <w:szCs w:val="22"/>
              </w:rPr>
              <w:t xml:space="preserve"> or equipment</w:t>
            </w:r>
            <w:r w:rsidR="004516F4" w:rsidRPr="0073079C">
              <w:rPr>
                <w:sz w:val="22"/>
                <w:szCs w:val="22"/>
              </w:rPr>
              <w:t xml:space="preserve"> misused</w:t>
            </w:r>
            <w:r w:rsidR="00FB279D" w:rsidRPr="0073079C">
              <w:rPr>
                <w:sz w:val="22"/>
                <w:szCs w:val="22"/>
              </w:rPr>
              <w:t xml:space="preserve"> or diverted to other use by </w:t>
            </w:r>
            <w:r w:rsidR="00DD143B" w:rsidRPr="0073079C">
              <w:rPr>
                <w:sz w:val="22"/>
                <w:szCs w:val="22"/>
              </w:rPr>
              <w:t>partners</w:t>
            </w:r>
            <w:r w:rsidR="00331E7F" w:rsidRPr="0073079C">
              <w:rPr>
                <w:sz w:val="22"/>
                <w:szCs w:val="22"/>
              </w:rPr>
              <w:t xml:space="preserve"> (</w:t>
            </w:r>
            <w:r w:rsidR="00756EFF">
              <w:rPr>
                <w:sz w:val="22"/>
                <w:szCs w:val="22"/>
              </w:rPr>
              <w:t>f</w:t>
            </w:r>
            <w:r w:rsidR="00D03992" w:rsidRPr="0073079C">
              <w:rPr>
                <w:sz w:val="22"/>
                <w:szCs w:val="22"/>
              </w:rPr>
              <w:t>iduciary and r</w:t>
            </w:r>
            <w:r w:rsidR="00331E7F" w:rsidRPr="0073079C">
              <w:rPr>
                <w:sz w:val="22"/>
                <w:szCs w:val="22"/>
              </w:rPr>
              <w:t>eputation</w:t>
            </w:r>
            <w:r w:rsidR="000C5CD6" w:rsidRPr="0073079C">
              <w:rPr>
                <w:sz w:val="22"/>
                <w:szCs w:val="22"/>
              </w:rPr>
              <w:t>al risk for Denmark)</w:t>
            </w:r>
          </w:p>
        </w:tc>
        <w:tc>
          <w:tcPr>
            <w:tcW w:w="1276" w:type="dxa"/>
          </w:tcPr>
          <w:p w:rsidR="00C86C10" w:rsidRPr="00430028" w:rsidRDefault="004516F4" w:rsidP="00B045D6">
            <w:pPr>
              <w:pStyle w:val="Default"/>
              <w:rPr>
                <w:b/>
                <w:sz w:val="22"/>
                <w:szCs w:val="22"/>
              </w:rPr>
            </w:pPr>
            <w:r w:rsidRPr="00430028">
              <w:rPr>
                <w:b/>
                <w:color w:val="00B050"/>
                <w:sz w:val="22"/>
                <w:szCs w:val="22"/>
              </w:rPr>
              <w:t>Unlikely</w:t>
            </w:r>
          </w:p>
        </w:tc>
        <w:tc>
          <w:tcPr>
            <w:tcW w:w="1253" w:type="dxa"/>
          </w:tcPr>
          <w:p w:rsidR="00C86C10" w:rsidRPr="00430028" w:rsidRDefault="00213D89" w:rsidP="00B045D6">
            <w:pPr>
              <w:pStyle w:val="Default"/>
              <w:rPr>
                <w:b/>
                <w:sz w:val="22"/>
                <w:szCs w:val="22"/>
              </w:rPr>
            </w:pPr>
            <w:r w:rsidRPr="00430028">
              <w:rPr>
                <w:b/>
                <w:color w:val="E36C0A" w:themeColor="accent6" w:themeShade="BF"/>
                <w:sz w:val="22"/>
                <w:szCs w:val="22"/>
              </w:rPr>
              <w:t>Significant</w:t>
            </w:r>
          </w:p>
        </w:tc>
        <w:tc>
          <w:tcPr>
            <w:tcW w:w="2716" w:type="dxa"/>
          </w:tcPr>
          <w:p w:rsidR="00C86C10" w:rsidRPr="0073079C" w:rsidRDefault="00331E7F" w:rsidP="00030AF5">
            <w:pPr>
              <w:pStyle w:val="Default"/>
              <w:rPr>
                <w:sz w:val="22"/>
                <w:szCs w:val="22"/>
              </w:rPr>
            </w:pPr>
            <w:r w:rsidRPr="0073079C">
              <w:rPr>
                <w:sz w:val="22"/>
                <w:szCs w:val="22"/>
              </w:rPr>
              <w:t xml:space="preserve">Zero tolerance for corruption/fraud. </w:t>
            </w:r>
            <w:r w:rsidR="00FB279D" w:rsidRPr="0073079C">
              <w:rPr>
                <w:sz w:val="22"/>
                <w:szCs w:val="22"/>
              </w:rPr>
              <w:t>For</w:t>
            </w:r>
            <w:r w:rsidR="00030AF5" w:rsidRPr="0073079C">
              <w:rPr>
                <w:sz w:val="22"/>
                <w:szCs w:val="22"/>
              </w:rPr>
              <w:t xml:space="preserve"> PSEs 1, 2</w:t>
            </w:r>
            <w:r w:rsidR="00756EFF">
              <w:rPr>
                <w:sz w:val="22"/>
                <w:szCs w:val="22"/>
              </w:rPr>
              <w:t>, and</w:t>
            </w:r>
            <w:r w:rsidR="00030AF5" w:rsidRPr="0073079C">
              <w:rPr>
                <w:sz w:val="22"/>
                <w:szCs w:val="22"/>
              </w:rPr>
              <w:t xml:space="preserve"> 3</w:t>
            </w:r>
            <w:r w:rsidR="00756EFF">
              <w:rPr>
                <w:sz w:val="22"/>
                <w:szCs w:val="22"/>
              </w:rPr>
              <w:t>,</w:t>
            </w:r>
            <w:r w:rsidR="00030AF5" w:rsidRPr="0073079C">
              <w:rPr>
                <w:sz w:val="22"/>
                <w:szCs w:val="22"/>
              </w:rPr>
              <w:t xml:space="preserve"> financial procedures </w:t>
            </w:r>
            <w:r w:rsidR="00756EFF">
              <w:rPr>
                <w:sz w:val="22"/>
                <w:szCs w:val="22"/>
              </w:rPr>
              <w:t xml:space="preserve">are </w:t>
            </w:r>
            <w:r w:rsidR="00030AF5" w:rsidRPr="0073079C">
              <w:rPr>
                <w:sz w:val="22"/>
                <w:szCs w:val="22"/>
              </w:rPr>
              <w:t>set out in SOPs. R</w:t>
            </w:r>
            <w:r w:rsidR="00213D89" w:rsidRPr="0073079C">
              <w:rPr>
                <w:sz w:val="22"/>
                <w:szCs w:val="22"/>
              </w:rPr>
              <w:t>egularly reviewed and subject to audit.</w:t>
            </w:r>
            <w:r w:rsidRPr="0073079C">
              <w:rPr>
                <w:sz w:val="22"/>
                <w:szCs w:val="22"/>
              </w:rPr>
              <w:t xml:space="preserve"> Cases of corruption/misuse would lead to termination of support. </w:t>
            </w:r>
          </w:p>
        </w:tc>
        <w:tc>
          <w:tcPr>
            <w:tcW w:w="2268" w:type="dxa"/>
          </w:tcPr>
          <w:p w:rsidR="00C86C10" w:rsidRPr="0073079C" w:rsidRDefault="00315ECB" w:rsidP="00B045D6">
            <w:pPr>
              <w:pStyle w:val="Default"/>
              <w:rPr>
                <w:sz w:val="22"/>
                <w:szCs w:val="22"/>
              </w:rPr>
            </w:pPr>
            <w:r w:rsidRPr="00B42D2B">
              <w:rPr>
                <w:b/>
                <w:color w:val="00B050"/>
                <w:sz w:val="22"/>
                <w:szCs w:val="22"/>
              </w:rPr>
              <w:t>Limited</w:t>
            </w:r>
            <w:r w:rsidRPr="0073079C">
              <w:rPr>
                <w:sz w:val="22"/>
                <w:szCs w:val="22"/>
              </w:rPr>
              <w:t xml:space="preserve"> </w:t>
            </w:r>
            <w:r w:rsidR="00213D89" w:rsidRPr="0073079C">
              <w:rPr>
                <w:sz w:val="22"/>
                <w:szCs w:val="22"/>
              </w:rPr>
              <w:t>but cannot be excluded.</w:t>
            </w:r>
          </w:p>
        </w:tc>
        <w:tc>
          <w:tcPr>
            <w:tcW w:w="5080" w:type="dxa"/>
          </w:tcPr>
          <w:p w:rsidR="00C86C10" w:rsidRPr="0073079C" w:rsidRDefault="00A016F1" w:rsidP="00030AF5">
            <w:pPr>
              <w:pStyle w:val="Default"/>
              <w:rPr>
                <w:sz w:val="22"/>
                <w:szCs w:val="22"/>
              </w:rPr>
            </w:pPr>
            <w:r w:rsidRPr="0073079C">
              <w:rPr>
                <w:sz w:val="22"/>
                <w:szCs w:val="22"/>
              </w:rPr>
              <w:t>Most</w:t>
            </w:r>
            <w:r w:rsidR="00213D89" w:rsidRPr="0073079C">
              <w:rPr>
                <w:sz w:val="22"/>
                <w:szCs w:val="22"/>
              </w:rPr>
              <w:t xml:space="preserve"> </w:t>
            </w:r>
            <w:r w:rsidR="00C97E60" w:rsidRPr="0073079C">
              <w:rPr>
                <w:sz w:val="22"/>
                <w:szCs w:val="22"/>
              </w:rPr>
              <w:t xml:space="preserve">funds </w:t>
            </w:r>
            <w:r w:rsidR="00213D89" w:rsidRPr="0073079C">
              <w:rPr>
                <w:sz w:val="22"/>
                <w:szCs w:val="22"/>
              </w:rPr>
              <w:t xml:space="preserve">are held and managed by </w:t>
            </w:r>
            <w:r w:rsidR="00C97E60" w:rsidRPr="0073079C">
              <w:rPr>
                <w:sz w:val="22"/>
                <w:szCs w:val="22"/>
              </w:rPr>
              <w:t>INTERPOL</w:t>
            </w:r>
            <w:r w:rsidR="00030AF5" w:rsidRPr="0073079C">
              <w:rPr>
                <w:sz w:val="22"/>
                <w:szCs w:val="22"/>
              </w:rPr>
              <w:t xml:space="preserve"> and UNODC, which have sound systems in place. </w:t>
            </w:r>
            <w:r w:rsidR="001D7214" w:rsidRPr="0073079C">
              <w:rPr>
                <w:sz w:val="22"/>
                <w:szCs w:val="22"/>
              </w:rPr>
              <w:t xml:space="preserve">KAIPTC </w:t>
            </w:r>
            <w:r w:rsidR="00C97E60" w:rsidRPr="0073079C">
              <w:rPr>
                <w:sz w:val="22"/>
                <w:szCs w:val="22"/>
              </w:rPr>
              <w:t xml:space="preserve">has </w:t>
            </w:r>
            <w:r w:rsidR="00522D91" w:rsidRPr="0073079C">
              <w:rPr>
                <w:sz w:val="22"/>
                <w:szCs w:val="22"/>
              </w:rPr>
              <w:t xml:space="preserve">shown slowness in financial reporting </w:t>
            </w:r>
            <w:r w:rsidR="00756EFF">
              <w:rPr>
                <w:sz w:val="22"/>
                <w:szCs w:val="22"/>
              </w:rPr>
              <w:t xml:space="preserve">but </w:t>
            </w:r>
            <w:r w:rsidR="00522D91" w:rsidRPr="0073079C">
              <w:rPr>
                <w:sz w:val="22"/>
                <w:szCs w:val="22"/>
              </w:rPr>
              <w:t xml:space="preserve">no </w:t>
            </w:r>
            <w:r w:rsidR="004F7E5D" w:rsidRPr="0073079C">
              <w:rPr>
                <w:sz w:val="22"/>
                <w:szCs w:val="22"/>
              </w:rPr>
              <w:t>irregularities</w:t>
            </w:r>
            <w:r w:rsidR="00D60F3C" w:rsidRPr="0073079C">
              <w:rPr>
                <w:sz w:val="22"/>
                <w:szCs w:val="22"/>
              </w:rPr>
              <w:t xml:space="preserve"> have been reported.</w:t>
            </w:r>
          </w:p>
        </w:tc>
      </w:tr>
      <w:tr w:rsidR="00C86C10" w:rsidRPr="0073079C" w:rsidTr="00430028">
        <w:tc>
          <w:tcPr>
            <w:tcW w:w="1838" w:type="dxa"/>
          </w:tcPr>
          <w:p w:rsidR="00C86C10" w:rsidRPr="0073079C" w:rsidRDefault="00362E00" w:rsidP="00B045D6">
            <w:pPr>
              <w:pStyle w:val="Default"/>
              <w:rPr>
                <w:sz w:val="22"/>
                <w:szCs w:val="22"/>
              </w:rPr>
            </w:pPr>
            <w:r w:rsidRPr="0073079C">
              <w:rPr>
                <w:sz w:val="22"/>
                <w:szCs w:val="22"/>
              </w:rPr>
              <w:t>Risk of inadvertently causing harm</w:t>
            </w:r>
            <w:r w:rsidR="00331E7F" w:rsidRPr="0073079C">
              <w:rPr>
                <w:sz w:val="22"/>
                <w:szCs w:val="22"/>
              </w:rPr>
              <w:t xml:space="preserve"> </w:t>
            </w:r>
            <w:r w:rsidR="001D7214" w:rsidRPr="0073079C">
              <w:rPr>
                <w:sz w:val="22"/>
                <w:szCs w:val="22"/>
              </w:rPr>
              <w:t>– PSE 4</w:t>
            </w:r>
            <w:r w:rsidR="00284CC8" w:rsidRPr="0073079C">
              <w:rPr>
                <w:sz w:val="22"/>
                <w:szCs w:val="22"/>
              </w:rPr>
              <w:t xml:space="preserve"> </w:t>
            </w:r>
            <w:r w:rsidR="00756EFF">
              <w:rPr>
                <w:sz w:val="22"/>
                <w:szCs w:val="22"/>
              </w:rPr>
              <w:t>and</w:t>
            </w:r>
            <w:r w:rsidR="00284CC8" w:rsidRPr="0073079C">
              <w:rPr>
                <w:sz w:val="22"/>
                <w:szCs w:val="22"/>
              </w:rPr>
              <w:t xml:space="preserve"> possibly PSE 1 </w:t>
            </w:r>
            <w:r w:rsidR="00331E7F" w:rsidRPr="0073079C">
              <w:rPr>
                <w:sz w:val="22"/>
                <w:szCs w:val="22"/>
              </w:rPr>
              <w:t>(</w:t>
            </w:r>
            <w:r w:rsidR="00756EFF">
              <w:rPr>
                <w:sz w:val="22"/>
                <w:szCs w:val="22"/>
              </w:rPr>
              <w:t>r</w:t>
            </w:r>
            <w:r w:rsidR="00331E7F" w:rsidRPr="0073079C">
              <w:rPr>
                <w:sz w:val="22"/>
                <w:szCs w:val="22"/>
              </w:rPr>
              <w:t>eputational risk for Denmark)</w:t>
            </w:r>
          </w:p>
        </w:tc>
        <w:tc>
          <w:tcPr>
            <w:tcW w:w="1276" w:type="dxa"/>
          </w:tcPr>
          <w:p w:rsidR="00C86C10" w:rsidRPr="00430028" w:rsidRDefault="00362E00" w:rsidP="00B045D6">
            <w:pPr>
              <w:pStyle w:val="Default"/>
              <w:rPr>
                <w:b/>
                <w:sz w:val="22"/>
                <w:szCs w:val="22"/>
              </w:rPr>
            </w:pPr>
            <w:r w:rsidRPr="00430028">
              <w:rPr>
                <w:b/>
                <w:color w:val="00B050"/>
                <w:sz w:val="22"/>
                <w:szCs w:val="22"/>
              </w:rPr>
              <w:t>Unlikely</w:t>
            </w:r>
          </w:p>
        </w:tc>
        <w:tc>
          <w:tcPr>
            <w:tcW w:w="1253" w:type="dxa"/>
          </w:tcPr>
          <w:p w:rsidR="00C86C10" w:rsidRPr="00430028" w:rsidRDefault="00362E00" w:rsidP="00B045D6">
            <w:pPr>
              <w:pStyle w:val="Default"/>
              <w:rPr>
                <w:b/>
                <w:sz w:val="22"/>
                <w:szCs w:val="22"/>
              </w:rPr>
            </w:pPr>
            <w:r w:rsidRPr="00430028">
              <w:rPr>
                <w:b/>
                <w:color w:val="FF0000"/>
                <w:sz w:val="22"/>
                <w:szCs w:val="22"/>
              </w:rPr>
              <w:t>Major</w:t>
            </w:r>
          </w:p>
        </w:tc>
        <w:tc>
          <w:tcPr>
            <w:tcW w:w="2716" w:type="dxa"/>
          </w:tcPr>
          <w:p w:rsidR="00C86C10" w:rsidRPr="0073079C" w:rsidRDefault="00362E00" w:rsidP="003935AE">
            <w:pPr>
              <w:pStyle w:val="Default"/>
              <w:rPr>
                <w:sz w:val="22"/>
                <w:szCs w:val="22"/>
              </w:rPr>
            </w:pPr>
            <w:r w:rsidRPr="0073079C">
              <w:rPr>
                <w:sz w:val="22"/>
                <w:szCs w:val="22"/>
              </w:rPr>
              <w:t>Risk assessments undertaken. Capacity building provided to raise awareness. Prioritise transparency and accountability.</w:t>
            </w:r>
            <w:r w:rsidR="000C5CD6" w:rsidRPr="0073079C">
              <w:rPr>
                <w:sz w:val="22"/>
                <w:szCs w:val="22"/>
              </w:rPr>
              <w:t xml:space="preserve"> Encourage information flow</w:t>
            </w:r>
            <w:r w:rsidR="003935AE" w:rsidRPr="0073079C">
              <w:rPr>
                <w:sz w:val="22"/>
                <w:szCs w:val="22"/>
              </w:rPr>
              <w:t xml:space="preserve"> and monitoring by diverse range of actors.</w:t>
            </w:r>
          </w:p>
        </w:tc>
        <w:tc>
          <w:tcPr>
            <w:tcW w:w="2268" w:type="dxa"/>
          </w:tcPr>
          <w:p w:rsidR="00C86C10" w:rsidRPr="0073079C" w:rsidRDefault="00315ECB" w:rsidP="00B045D6">
            <w:pPr>
              <w:pStyle w:val="Default"/>
              <w:rPr>
                <w:sz w:val="22"/>
                <w:szCs w:val="22"/>
              </w:rPr>
            </w:pPr>
            <w:r w:rsidRPr="00B42D2B">
              <w:rPr>
                <w:b/>
                <w:color w:val="00B050"/>
                <w:sz w:val="22"/>
                <w:szCs w:val="22"/>
              </w:rPr>
              <w:t>Limited</w:t>
            </w:r>
            <w:r w:rsidRPr="0073079C">
              <w:rPr>
                <w:sz w:val="22"/>
                <w:szCs w:val="22"/>
              </w:rPr>
              <w:t xml:space="preserve"> </w:t>
            </w:r>
            <w:r w:rsidR="00362E00" w:rsidRPr="0073079C">
              <w:rPr>
                <w:sz w:val="22"/>
                <w:szCs w:val="22"/>
              </w:rPr>
              <w:t>but cannot be excluded</w:t>
            </w:r>
            <w:r w:rsidR="00756EFF">
              <w:rPr>
                <w:sz w:val="22"/>
                <w:szCs w:val="22"/>
              </w:rPr>
              <w:t>.</w:t>
            </w:r>
          </w:p>
        </w:tc>
        <w:tc>
          <w:tcPr>
            <w:tcW w:w="5080" w:type="dxa"/>
          </w:tcPr>
          <w:p w:rsidR="00C86C10" w:rsidRPr="0073079C" w:rsidRDefault="000C5CD6" w:rsidP="00756EFF">
            <w:pPr>
              <w:pStyle w:val="Default"/>
              <w:rPr>
                <w:sz w:val="22"/>
                <w:szCs w:val="22"/>
              </w:rPr>
            </w:pPr>
            <w:r w:rsidRPr="0073079C">
              <w:rPr>
                <w:sz w:val="22"/>
                <w:szCs w:val="22"/>
              </w:rPr>
              <w:t>The r</w:t>
            </w:r>
            <w:r w:rsidR="00362E00" w:rsidRPr="0073079C">
              <w:rPr>
                <w:sz w:val="22"/>
                <w:szCs w:val="22"/>
              </w:rPr>
              <w:t xml:space="preserve">isks here primarily concern </w:t>
            </w:r>
            <w:r w:rsidRPr="0073079C">
              <w:rPr>
                <w:sz w:val="22"/>
                <w:szCs w:val="22"/>
              </w:rPr>
              <w:t xml:space="preserve">the </w:t>
            </w:r>
            <w:r w:rsidR="00284CC8" w:rsidRPr="0073079C">
              <w:rPr>
                <w:sz w:val="22"/>
                <w:szCs w:val="22"/>
              </w:rPr>
              <w:t xml:space="preserve">recipients of DK </w:t>
            </w:r>
            <w:r w:rsidRPr="0073079C">
              <w:rPr>
                <w:sz w:val="22"/>
                <w:szCs w:val="22"/>
              </w:rPr>
              <w:t>support</w:t>
            </w:r>
            <w:r w:rsidR="00756EFF">
              <w:rPr>
                <w:sz w:val="22"/>
                <w:szCs w:val="22"/>
              </w:rPr>
              <w:t>, who are</w:t>
            </w:r>
            <w:r w:rsidRPr="0073079C">
              <w:rPr>
                <w:sz w:val="22"/>
                <w:szCs w:val="22"/>
              </w:rPr>
              <w:t xml:space="preserve"> ignoring</w:t>
            </w:r>
            <w:r w:rsidR="00284CC8" w:rsidRPr="0073079C">
              <w:rPr>
                <w:sz w:val="22"/>
                <w:szCs w:val="22"/>
              </w:rPr>
              <w:t xml:space="preserve"> human rights standards</w:t>
            </w:r>
            <w:r w:rsidR="005039F3" w:rsidRPr="0073079C">
              <w:rPr>
                <w:sz w:val="22"/>
                <w:szCs w:val="22"/>
              </w:rPr>
              <w:t xml:space="preserve">, including in the prisons </w:t>
            </w:r>
            <w:r w:rsidR="00756EFF">
              <w:rPr>
                <w:sz w:val="22"/>
                <w:szCs w:val="22"/>
              </w:rPr>
              <w:t xml:space="preserve">that are </w:t>
            </w:r>
            <w:r w:rsidR="005039F3" w:rsidRPr="0073079C">
              <w:rPr>
                <w:sz w:val="22"/>
                <w:szCs w:val="22"/>
              </w:rPr>
              <w:t xml:space="preserve">to be </w:t>
            </w:r>
            <w:r w:rsidR="004F7E5D" w:rsidRPr="0073079C">
              <w:rPr>
                <w:sz w:val="22"/>
                <w:szCs w:val="22"/>
              </w:rPr>
              <w:t>refurbished</w:t>
            </w:r>
            <w:r w:rsidR="005039F3" w:rsidRPr="0073079C">
              <w:rPr>
                <w:sz w:val="22"/>
                <w:szCs w:val="22"/>
              </w:rPr>
              <w:t>.</w:t>
            </w:r>
            <w:r w:rsidR="00116582" w:rsidRPr="0073079C">
              <w:rPr>
                <w:sz w:val="22"/>
                <w:szCs w:val="22"/>
              </w:rPr>
              <w:t xml:space="preserve"> Relatedly,</w:t>
            </w:r>
            <w:r w:rsidR="0008709A" w:rsidRPr="0073079C">
              <w:rPr>
                <w:sz w:val="22"/>
                <w:szCs w:val="22"/>
              </w:rPr>
              <w:t xml:space="preserve"> at the outset of the DMSP 3, </w:t>
            </w:r>
            <w:r w:rsidR="00A2702E" w:rsidRPr="0073079C">
              <w:rPr>
                <w:sz w:val="22"/>
                <w:szCs w:val="22"/>
              </w:rPr>
              <w:t>no other likem</w:t>
            </w:r>
            <w:r w:rsidR="00533539" w:rsidRPr="0073079C">
              <w:rPr>
                <w:sz w:val="22"/>
                <w:szCs w:val="22"/>
              </w:rPr>
              <w:t>inded donors have engaged in this dimension of the ECJ</w:t>
            </w:r>
            <w:r w:rsidR="002503BA" w:rsidRPr="0073079C">
              <w:rPr>
                <w:sz w:val="22"/>
                <w:szCs w:val="22"/>
              </w:rPr>
              <w:t>C. Although risks are transferred to UNODC</w:t>
            </w:r>
            <w:r w:rsidR="00E01EA9" w:rsidRPr="0073079C">
              <w:rPr>
                <w:sz w:val="22"/>
                <w:szCs w:val="22"/>
              </w:rPr>
              <w:t xml:space="preserve">, there is </w:t>
            </w:r>
            <w:r w:rsidR="00D2191A" w:rsidRPr="0073079C">
              <w:rPr>
                <w:sz w:val="22"/>
                <w:szCs w:val="22"/>
              </w:rPr>
              <w:t>the risk of association in the public domain as well as a</w:t>
            </w:r>
            <w:r w:rsidR="00756EFF">
              <w:rPr>
                <w:sz w:val="22"/>
                <w:szCs w:val="22"/>
              </w:rPr>
              <w:t>n</w:t>
            </w:r>
            <w:r w:rsidR="00D2191A" w:rsidRPr="0073079C">
              <w:rPr>
                <w:sz w:val="22"/>
                <w:szCs w:val="22"/>
              </w:rPr>
              <w:t xml:space="preserve"> </w:t>
            </w:r>
            <w:r w:rsidR="00C42ABF" w:rsidRPr="0073079C">
              <w:rPr>
                <w:sz w:val="22"/>
                <w:szCs w:val="22"/>
              </w:rPr>
              <w:t xml:space="preserve">exit-of-project risk related to convicts that will </w:t>
            </w:r>
            <w:r w:rsidR="00433849" w:rsidRPr="0073079C">
              <w:rPr>
                <w:sz w:val="22"/>
                <w:szCs w:val="22"/>
              </w:rPr>
              <w:t>remain in prisoned after a Danish exit</w:t>
            </w:r>
            <w:r w:rsidR="003F3B71">
              <w:rPr>
                <w:sz w:val="22"/>
                <w:szCs w:val="22"/>
              </w:rPr>
              <w:t>.</w:t>
            </w:r>
          </w:p>
        </w:tc>
      </w:tr>
      <w:tr w:rsidR="00C86C10" w:rsidRPr="0073079C" w:rsidTr="00430028">
        <w:tc>
          <w:tcPr>
            <w:tcW w:w="1838" w:type="dxa"/>
          </w:tcPr>
          <w:p w:rsidR="00C86C10" w:rsidRPr="0073079C" w:rsidRDefault="003935AE" w:rsidP="00284CC8">
            <w:pPr>
              <w:pStyle w:val="Default"/>
              <w:rPr>
                <w:sz w:val="22"/>
                <w:szCs w:val="22"/>
              </w:rPr>
            </w:pPr>
            <w:r w:rsidRPr="0073079C">
              <w:rPr>
                <w:sz w:val="22"/>
                <w:szCs w:val="22"/>
              </w:rPr>
              <w:t xml:space="preserve">Support to </w:t>
            </w:r>
            <w:r w:rsidR="00331E7F" w:rsidRPr="0073079C">
              <w:rPr>
                <w:sz w:val="22"/>
                <w:szCs w:val="22"/>
              </w:rPr>
              <w:t>institutions by Denmark leads to reputational damage due to human rights</w:t>
            </w:r>
            <w:r w:rsidRPr="0073079C">
              <w:rPr>
                <w:sz w:val="22"/>
                <w:szCs w:val="22"/>
              </w:rPr>
              <w:t xml:space="preserve"> shortcomings</w:t>
            </w:r>
          </w:p>
        </w:tc>
        <w:tc>
          <w:tcPr>
            <w:tcW w:w="1276" w:type="dxa"/>
          </w:tcPr>
          <w:p w:rsidR="00C86C10" w:rsidRPr="00430028" w:rsidRDefault="003F3B71" w:rsidP="00B045D6">
            <w:pPr>
              <w:pStyle w:val="Default"/>
              <w:rPr>
                <w:b/>
                <w:sz w:val="22"/>
                <w:szCs w:val="22"/>
              </w:rPr>
            </w:pPr>
            <w:r w:rsidRPr="00430028">
              <w:rPr>
                <w:b/>
                <w:color w:val="E36C0A" w:themeColor="accent6" w:themeShade="BF"/>
                <w:sz w:val="22"/>
                <w:szCs w:val="22"/>
              </w:rPr>
              <w:t>L</w:t>
            </w:r>
            <w:r w:rsidR="00432A11" w:rsidRPr="00430028">
              <w:rPr>
                <w:b/>
                <w:color w:val="E36C0A" w:themeColor="accent6" w:themeShade="BF"/>
                <w:sz w:val="22"/>
                <w:szCs w:val="22"/>
              </w:rPr>
              <w:t>ikely</w:t>
            </w:r>
          </w:p>
        </w:tc>
        <w:tc>
          <w:tcPr>
            <w:tcW w:w="1253" w:type="dxa"/>
          </w:tcPr>
          <w:p w:rsidR="00C86C10" w:rsidRPr="00430028" w:rsidRDefault="00331E7F" w:rsidP="00B045D6">
            <w:pPr>
              <w:pStyle w:val="Default"/>
              <w:rPr>
                <w:b/>
                <w:sz w:val="22"/>
                <w:szCs w:val="22"/>
              </w:rPr>
            </w:pPr>
            <w:r w:rsidRPr="00430028">
              <w:rPr>
                <w:b/>
                <w:color w:val="FF0000"/>
                <w:sz w:val="22"/>
                <w:szCs w:val="22"/>
              </w:rPr>
              <w:t>M</w:t>
            </w:r>
            <w:r w:rsidR="00432A11" w:rsidRPr="00430028">
              <w:rPr>
                <w:b/>
                <w:color w:val="FF0000"/>
                <w:sz w:val="22"/>
                <w:szCs w:val="22"/>
              </w:rPr>
              <w:t>ajor</w:t>
            </w:r>
          </w:p>
        </w:tc>
        <w:tc>
          <w:tcPr>
            <w:tcW w:w="2716" w:type="dxa"/>
          </w:tcPr>
          <w:p w:rsidR="00F03248" w:rsidRPr="0073079C" w:rsidRDefault="00F03248" w:rsidP="00284CC8">
            <w:pPr>
              <w:pStyle w:val="Default"/>
              <w:rPr>
                <w:sz w:val="22"/>
                <w:szCs w:val="22"/>
              </w:rPr>
            </w:pPr>
            <w:r w:rsidRPr="0073079C">
              <w:rPr>
                <w:sz w:val="22"/>
                <w:szCs w:val="22"/>
              </w:rPr>
              <w:t xml:space="preserve">The target of </w:t>
            </w:r>
            <w:r w:rsidR="004F7E5D" w:rsidRPr="0073079C">
              <w:rPr>
                <w:sz w:val="22"/>
                <w:szCs w:val="22"/>
              </w:rPr>
              <w:t>increasing</w:t>
            </w:r>
            <w:r w:rsidRPr="0073079C">
              <w:rPr>
                <w:sz w:val="22"/>
                <w:szCs w:val="22"/>
              </w:rPr>
              <w:t xml:space="preserve"> VBBS, arrest</w:t>
            </w:r>
            <w:r w:rsidR="003F3B71">
              <w:rPr>
                <w:sz w:val="22"/>
                <w:szCs w:val="22"/>
              </w:rPr>
              <w:t>s,</w:t>
            </w:r>
            <w:r w:rsidRPr="0073079C">
              <w:rPr>
                <w:sz w:val="22"/>
                <w:szCs w:val="22"/>
              </w:rPr>
              <w:t xml:space="preserve"> and </w:t>
            </w:r>
            <w:r w:rsidR="00211953" w:rsidRPr="0073079C">
              <w:rPr>
                <w:sz w:val="22"/>
                <w:szCs w:val="22"/>
              </w:rPr>
              <w:t xml:space="preserve">detentions as part of the ECJC </w:t>
            </w:r>
            <w:r w:rsidR="003F3B71">
              <w:rPr>
                <w:sz w:val="22"/>
                <w:szCs w:val="22"/>
              </w:rPr>
              <w:t xml:space="preserve">will </w:t>
            </w:r>
            <w:r w:rsidR="00211953" w:rsidRPr="0073079C">
              <w:rPr>
                <w:sz w:val="22"/>
                <w:szCs w:val="22"/>
              </w:rPr>
              <w:t xml:space="preserve">inherently place more individuals </w:t>
            </w:r>
            <w:r w:rsidR="000C744C" w:rsidRPr="0073079C">
              <w:rPr>
                <w:sz w:val="22"/>
                <w:szCs w:val="22"/>
              </w:rPr>
              <w:t>in the hands of MLE institutions</w:t>
            </w:r>
            <w:r w:rsidR="003F3B71">
              <w:rPr>
                <w:sz w:val="22"/>
                <w:szCs w:val="22"/>
              </w:rPr>
              <w:t>.</w:t>
            </w:r>
          </w:p>
          <w:p w:rsidR="00F03248" w:rsidRPr="0073079C" w:rsidRDefault="00F03248" w:rsidP="00284CC8">
            <w:pPr>
              <w:pStyle w:val="Default"/>
              <w:rPr>
                <w:sz w:val="22"/>
                <w:szCs w:val="22"/>
                <w:highlight w:val="yellow"/>
              </w:rPr>
            </w:pPr>
          </w:p>
          <w:p w:rsidR="00C86C10" w:rsidRPr="0073079C" w:rsidRDefault="00CF76B5" w:rsidP="00284CC8">
            <w:pPr>
              <w:pStyle w:val="Default"/>
              <w:rPr>
                <w:sz w:val="22"/>
                <w:szCs w:val="22"/>
              </w:rPr>
            </w:pPr>
            <w:r w:rsidRPr="0073079C">
              <w:rPr>
                <w:sz w:val="22"/>
                <w:szCs w:val="22"/>
              </w:rPr>
              <w:t>UNODC and INTERPOL</w:t>
            </w:r>
            <w:r w:rsidR="003721B6" w:rsidRPr="0073079C">
              <w:rPr>
                <w:sz w:val="22"/>
                <w:szCs w:val="22"/>
              </w:rPr>
              <w:t xml:space="preserve"> VBSS training is human rights compliant and will be strengthened to also be </w:t>
            </w:r>
            <w:r w:rsidR="006202C0" w:rsidRPr="0073079C">
              <w:rPr>
                <w:sz w:val="22"/>
                <w:szCs w:val="22"/>
              </w:rPr>
              <w:t>fully up to date on WPS</w:t>
            </w:r>
            <w:r w:rsidR="003F3B71">
              <w:rPr>
                <w:sz w:val="22"/>
                <w:szCs w:val="22"/>
              </w:rPr>
              <w:t>.</w:t>
            </w:r>
          </w:p>
        </w:tc>
        <w:tc>
          <w:tcPr>
            <w:tcW w:w="2268" w:type="dxa"/>
          </w:tcPr>
          <w:p w:rsidR="00C86C10" w:rsidRPr="0073079C" w:rsidRDefault="00D162A3" w:rsidP="00B045D6">
            <w:pPr>
              <w:pStyle w:val="Default"/>
              <w:rPr>
                <w:sz w:val="22"/>
                <w:szCs w:val="22"/>
              </w:rPr>
            </w:pPr>
            <w:r w:rsidRPr="00430028">
              <w:rPr>
                <w:b/>
                <w:color w:val="00B050"/>
                <w:sz w:val="22"/>
                <w:szCs w:val="22"/>
              </w:rPr>
              <w:t>Limited</w:t>
            </w:r>
            <w:r w:rsidRPr="0073079C">
              <w:rPr>
                <w:sz w:val="22"/>
                <w:szCs w:val="22"/>
              </w:rPr>
              <w:t xml:space="preserve"> but cannot be excluded</w:t>
            </w:r>
          </w:p>
        </w:tc>
        <w:tc>
          <w:tcPr>
            <w:tcW w:w="5080" w:type="dxa"/>
          </w:tcPr>
          <w:p w:rsidR="00C86C10" w:rsidRPr="0073079C" w:rsidRDefault="003F3B71" w:rsidP="00C07105">
            <w:pPr>
              <w:pStyle w:val="Default"/>
              <w:rPr>
                <w:sz w:val="22"/>
                <w:szCs w:val="22"/>
              </w:rPr>
            </w:pPr>
            <w:r>
              <w:rPr>
                <w:sz w:val="22"/>
                <w:szCs w:val="22"/>
              </w:rPr>
              <w:t>B</w:t>
            </w:r>
            <w:r w:rsidR="00B012EC" w:rsidRPr="0073079C">
              <w:rPr>
                <w:sz w:val="22"/>
                <w:szCs w:val="22"/>
              </w:rPr>
              <w:t>y training MLE in VBSS</w:t>
            </w:r>
            <w:r>
              <w:rPr>
                <w:sz w:val="22"/>
                <w:szCs w:val="22"/>
              </w:rPr>
              <w:t>, Denmark</w:t>
            </w:r>
            <w:r w:rsidR="00B012EC" w:rsidRPr="0073079C">
              <w:rPr>
                <w:sz w:val="22"/>
                <w:szCs w:val="22"/>
              </w:rPr>
              <w:t xml:space="preserve"> </w:t>
            </w:r>
            <w:r w:rsidR="000B523B" w:rsidRPr="0073079C">
              <w:rPr>
                <w:sz w:val="22"/>
                <w:szCs w:val="22"/>
              </w:rPr>
              <w:t>is only directly exposed to the risk during training in the case of DCD</w:t>
            </w:r>
            <w:r>
              <w:rPr>
                <w:sz w:val="22"/>
                <w:szCs w:val="22"/>
              </w:rPr>
              <w:t>’s</w:t>
            </w:r>
            <w:r w:rsidR="000B523B" w:rsidRPr="0073079C">
              <w:rPr>
                <w:sz w:val="22"/>
                <w:szCs w:val="22"/>
              </w:rPr>
              <w:t xml:space="preserve"> li</w:t>
            </w:r>
            <w:r w:rsidR="00FB6F94">
              <w:rPr>
                <w:sz w:val="22"/>
                <w:szCs w:val="22"/>
              </w:rPr>
              <w:t>v</w:t>
            </w:r>
            <w:r w:rsidR="000B523B" w:rsidRPr="0073079C">
              <w:rPr>
                <w:sz w:val="22"/>
                <w:szCs w:val="22"/>
              </w:rPr>
              <w:t>e exercises</w:t>
            </w:r>
            <w:bookmarkStart w:id="0" w:name="_GoBack"/>
            <w:bookmarkEnd w:id="0"/>
            <w:r w:rsidR="00321D7D" w:rsidRPr="0073079C">
              <w:rPr>
                <w:sz w:val="22"/>
                <w:szCs w:val="22"/>
              </w:rPr>
              <w:t>. Sti</w:t>
            </w:r>
            <w:r w:rsidR="00AF2821" w:rsidRPr="0073079C">
              <w:rPr>
                <w:sz w:val="22"/>
                <w:szCs w:val="22"/>
              </w:rPr>
              <w:t>l</w:t>
            </w:r>
            <w:r w:rsidR="00321D7D" w:rsidRPr="0073079C">
              <w:rPr>
                <w:sz w:val="22"/>
                <w:szCs w:val="22"/>
              </w:rPr>
              <w:t xml:space="preserve">l, </w:t>
            </w:r>
            <w:r w:rsidR="00AF2821" w:rsidRPr="0073079C">
              <w:rPr>
                <w:sz w:val="22"/>
                <w:szCs w:val="22"/>
              </w:rPr>
              <w:t xml:space="preserve">since the training is </w:t>
            </w:r>
            <w:r w:rsidR="00BE2B7F" w:rsidRPr="0073079C">
              <w:rPr>
                <w:sz w:val="22"/>
                <w:szCs w:val="22"/>
              </w:rPr>
              <w:t>provided</w:t>
            </w:r>
            <w:r w:rsidR="00AF2821" w:rsidRPr="0073079C">
              <w:rPr>
                <w:sz w:val="22"/>
                <w:szCs w:val="22"/>
              </w:rPr>
              <w:t xml:space="preserve"> with the intention that the MLE agencies </w:t>
            </w:r>
            <w:r w:rsidR="004F7E5D" w:rsidRPr="0073079C">
              <w:rPr>
                <w:sz w:val="22"/>
                <w:szCs w:val="22"/>
              </w:rPr>
              <w:t>thereafter</w:t>
            </w:r>
            <w:r w:rsidR="00AF2821" w:rsidRPr="0073079C">
              <w:rPr>
                <w:sz w:val="22"/>
                <w:szCs w:val="22"/>
              </w:rPr>
              <w:t xml:space="preserve"> independently increase </w:t>
            </w:r>
            <w:r w:rsidR="00DA30B2" w:rsidRPr="0073079C">
              <w:rPr>
                <w:sz w:val="22"/>
                <w:szCs w:val="22"/>
              </w:rPr>
              <w:t>the number of VBSS and, presumably, arrests</w:t>
            </w:r>
            <w:r>
              <w:rPr>
                <w:sz w:val="22"/>
                <w:szCs w:val="22"/>
              </w:rPr>
              <w:t>,</w:t>
            </w:r>
            <w:r w:rsidR="00DA30B2" w:rsidRPr="0073079C">
              <w:rPr>
                <w:sz w:val="22"/>
                <w:szCs w:val="22"/>
              </w:rPr>
              <w:t xml:space="preserve"> Denmark can be associated</w:t>
            </w:r>
            <w:r w:rsidR="009A3423" w:rsidRPr="0073079C">
              <w:rPr>
                <w:sz w:val="22"/>
                <w:szCs w:val="22"/>
              </w:rPr>
              <w:t xml:space="preserve"> with their performance and adherence to human rights and WPS standards (f</w:t>
            </w:r>
            <w:r w:rsidR="00193D0A" w:rsidRPr="0073079C">
              <w:rPr>
                <w:sz w:val="22"/>
                <w:szCs w:val="22"/>
              </w:rPr>
              <w:t xml:space="preserve">or example in a scenario in which a VBSS uncovers </w:t>
            </w:r>
            <w:r w:rsidR="00CF76B5" w:rsidRPr="0073079C">
              <w:rPr>
                <w:sz w:val="22"/>
                <w:szCs w:val="22"/>
              </w:rPr>
              <w:t xml:space="preserve">women and children as victims of </w:t>
            </w:r>
            <w:r w:rsidR="00193D0A" w:rsidRPr="0073079C">
              <w:rPr>
                <w:sz w:val="22"/>
                <w:szCs w:val="22"/>
              </w:rPr>
              <w:t xml:space="preserve">human </w:t>
            </w:r>
            <w:r w:rsidR="004F7E5D" w:rsidRPr="0073079C">
              <w:rPr>
                <w:sz w:val="22"/>
                <w:szCs w:val="22"/>
              </w:rPr>
              <w:t>trafficking</w:t>
            </w:r>
            <w:r w:rsidR="00CF76B5" w:rsidRPr="0073079C">
              <w:rPr>
                <w:sz w:val="22"/>
                <w:szCs w:val="22"/>
              </w:rPr>
              <w:t>).</w:t>
            </w:r>
          </w:p>
          <w:p w:rsidR="00CF76B5" w:rsidRPr="0073079C" w:rsidRDefault="00CF76B5" w:rsidP="00C07105">
            <w:pPr>
              <w:pStyle w:val="Default"/>
              <w:rPr>
                <w:sz w:val="22"/>
                <w:szCs w:val="22"/>
              </w:rPr>
            </w:pPr>
          </w:p>
          <w:p w:rsidR="00CF76B5" w:rsidRPr="0073079C" w:rsidRDefault="00CF76B5" w:rsidP="00C07105">
            <w:pPr>
              <w:pStyle w:val="Default"/>
              <w:rPr>
                <w:sz w:val="22"/>
                <w:szCs w:val="22"/>
              </w:rPr>
            </w:pPr>
          </w:p>
        </w:tc>
      </w:tr>
    </w:tbl>
    <w:p w:rsidR="00670E55" w:rsidRPr="0073079C" w:rsidRDefault="00670E55"/>
    <w:sectPr w:rsidR="00670E55" w:rsidRPr="0073079C" w:rsidSect="00670E55">
      <w:headerReference w:type="even" r:id="rId8"/>
      <w:headerReference w:type="default" r:id="rId9"/>
      <w:footerReference w:type="even" r:id="rId10"/>
      <w:footerReference w:type="default" r:id="rId11"/>
      <w:headerReference w:type="first" r:id="rId12"/>
      <w:footerReference w:type="first" r:id="rId13"/>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654F" w:rsidRDefault="00E7654F" w:rsidP="00CA7E05">
      <w:pPr>
        <w:spacing w:after="0" w:line="240" w:lineRule="auto"/>
      </w:pPr>
      <w:r>
        <w:separator/>
      </w:r>
    </w:p>
  </w:endnote>
  <w:endnote w:type="continuationSeparator" w:id="0">
    <w:p w:rsidR="00E7654F" w:rsidRDefault="00E7654F" w:rsidP="00CA7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3D6" w:rsidRDefault="00AE4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9584678"/>
      <w:docPartObj>
        <w:docPartGallery w:val="Page Numbers (Bottom of Page)"/>
        <w:docPartUnique/>
      </w:docPartObj>
    </w:sdtPr>
    <w:sdtEndPr>
      <w:rPr>
        <w:noProof/>
      </w:rPr>
    </w:sdtEndPr>
    <w:sdtContent>
      <w:p w:rsidR="00CA7E05" w:rsidRDefault="00CA7E05">
        <w:pPr>
          <w:pStyle w:val="Footer"/>
          <w:jc w:val="center"/>
        </w:pPr>
        <w:r>
          <w:fldChar w:fldCharType="begin"/>
        </w:r>
        <w:r>
          <w:instrText xml:space="preserve"> PAGE   \* MERGEFORMAT </w:instrText>
        </w:r>
        <w:r>
          <w:fldChar w:fldCharType="separate"/>
        </w:r>
        <w:r w:rsidR="00430028">
          <w:rPr>
            <w:noProof/>
          </w:rPr>
          <w:t>7</w:t>
        </w:r>
        <w:r>
          <w:rPr>
            <w:noProof/>
          </w:rPr>
          <w:fldChar w:fldCharType="end"/>
        </w:r>
      </w:p>
    </w:sdtContent>
  </w:sdt>
  <w:p w:rsidR="00CA7E05" w:rsidRDefault="00CA7E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3D6" w:rsidRDefault="00AE43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654F" w:rsidRDefault="00E7654F" w:rsidP="00CA7E05">
      <w:pPr>
        <w:spacing w:after="0" w:line="240" w:lineRule="auto"/>
      </w:pPr>
      <w:r>
        <w:separator/>
      </w:r>
    </w:p>
  </w:footnote>
  <w:footnote w:type="continuationSeparator" w:id="0">
    <w:p w:rsidR="00E7654F" w:rsidRDefault="00E7654F" w:rsidP="00CA7E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3D6" w:rsidRDefault="00AE43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A48" w:rsidRPr="0073079C" w:rsidRDefault="00C36A48">
    <w:pPr>
      <w:pStyle w:val="Header"/>
      <w:rPr>
        <w:b/>
        <w:bCs/>
      </w:rPr>
    </w:pPr>
    <w:r w:rsidRPr="0073079C">
      <w:rPr>
        <w:b/>
        <w:bCs/>
      </w:rPr>
      <w:t>Annex 5</w:t>
    </w:r>
    <w:r w:rsidR="0073079C" w:rsidRPr="0073079C">
      <w:rPr>
        <w:b/>
        <w:bCs/>
      </w:rPr>
      <w:t xml:space="preserve"> </w:t>
    </w:r>
    <w:r w:rsidR="0073079C" w:rsidRPr="0073079C">
      <w:rPr>
        <w:rFonts w:cs="Calibri"/>
        <w:b/>
        <w:bCs/>
      </w:rPr>
      <w:t xml:space="preserve">– </w:t>
    </w:r>
    <w:r w:rsidRPr="0073079C">
      <w:rPr>
        <w:b/>
        <w:bCs/>
      </w:rPr>
      <w:t>Risk Management Matrix</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3D6" w:rsidRDefault="00AE43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C15B7B"/>
    <w:multiLevelType w:val="hybridMultilevel"/>
    <w:tmpl w:val="A574CEF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visionView w:formatting="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LW0NDEyMjI3MDK3MDZQ0lEKTi0uzszPAykwrQUAGAmCviwAAAA="/>
  </w:docVars>
  <w:rsids>
    <w:rsidRoot w:val="003E6C07"/>
    <w:rsid w:val="0000371F"/>
    <w:rsid w:val="00007038"/>
    <w:rsid w:val="000247CB"/>
    <w:rsid w:val="00027769"/>
    <w:rsid w:val="00030AF5"/>
    <w:rsid w:val="000400A2"/>
    <w:rsid w:val="0004333E"/>
    <w:rsid w:val="0007204C"/>
    <w:rsid w:val="0008709A"/>
    <w:rsid w:val="0009141D"/>
    <w:rsid w:val="00091479"/>
    <w:rsid w:val="00092FFF"/>
    <w:rsid w:val="000A5511"/>
    <w:rsid w:val="000B523B"/>
    <w:rsid w:val="000B5EC6"/>
    <w:rsid w:val="000C00F2"/>
    <w:rsid w:val="000C5CD6"/>
    <w:rsid w:val="000C744C"/>
    <w:rsid w:val="000D0DA7"/>
    <w:rsid w:val="000F2C88"/>
    <w:rsid w:val="000F37F4"/>
    <w:rsid w:val="000F4F86"/>
    <w:rsid w:val="00116582"/>
    <w:rsid w:val="00133FAB"/>
    <w:rsid w:val="00145152"/>
    <w:rsid w:val="00147A86"/>
    <w:rsid w:val="00164B05"/>
    <w:rsid w:val="00167018"/>
    <w:rsid w:val="0017700E"/>
    <w:rsid w:val="00191EC3"/>
    <w:rsid w:val="00193D0A"/>
    <w:rsid w:val="001D7214"/>
    <w:rsid w:val="001F0C2A"/>
    <w:rsid w:val="001F311A"/>
    <w:rsid w:val="00211953"/>
    <w:rsid w:val="00213D89"/>
    <w:rsid w:val="00221A45"/>
    <w:rsid w:val="00223374"/>
    <w:rsid w:val="00236436"/>
    <w:rsid w:val="002503BA"/>
    <w:rsid w:val="00284CC8"/>
    <w:rsid w:val="00294273"/>
    <w:rsid w:val="002A3359"/>
    <w:rsid w:val="002A35DE"/>
    <w:rsid w:val="002A4C4B"/>
    <w:rsid w:val="002A7796"/>
    <w:rsid w:val="002B0440"/>
    <w:rsid w:val="002B686B"/>
    <w:rsid w:val="002D4623"/>
    <w:rsid w:val="002D7AAF"/>
    <w:rsid w:val="002F4464"/>
    <w:rsid w:val="002F684C"/>
    <w:rsid w:val="003129D2"/>
    <w:rsid w:val="003140FB"/>
    <w:rsid w:val="00315ECB"/>
    <w:rsid w:val="00316146"/>
    <w:rsid w:val="00317FD9"/>
    <w:rsid w:val="00320B51"/>
    <w:rsid w:val="00321D7D"/>
    <w:rsid w:val="00331E7F"/>
    <w:rsid w:val="00335CB3"/>
    <w:rsid w:val="003376D1"/>
    <w:rsid w:val="00362E00"/>
    <w:rsid w:val="00364E2E"/>
    <w:rsid w:val="003669AF"/>
    <w:rsid w:val="003721B6"/>
    <w:rsid w:val="00375A11"/>
    <w:rsid w:val="00376F5D"/>
    <w:rsid w:val="003924E5"/>
    <w:rsid w:val="003935AE"/>
    <w:rsid w:val="003A3FA5"/>
    <w:rsid w:val="003B21FC"/>
    <w:rsid w:val="003C2B6F"/>
    <w:rsid w:val="003D2A30"/>
    <w:rsid w:val="003D3388"/>
    <w:rsid w:val="003E04DB"/>
    <w:rsid w:val="003E6C07"/>
    <w:rsid w:val="003F3B71"/>
    <w:rsid w:val="004206D5"/>
    <w:rsid w:val="00430028"/>
    <w:rsid w:val="00432A11"/>
    <w:rsid w:val="00433849"/>
    <w:rsid w:val="004366E8"/>
    <w:rsid w:val="004516F4"/>
    <w:rsid w:val="0048134A"/>
    <w:rsid w:val="00486B3D"/>
    <w:rsid w:val="00496F4D"/>
    <w:rsid w:val="004A3254"/>
    <w:rsid w:val="004A3D68"/>
    <w:rsid w:val="004A69EB"/>
    <w:rsid w:val="004A718D"/>
    <w:rsid w:val="004B6394"/>
    <w:rsid w:val="004B7C9F"/>
    <w:rsid w:val="004C06BB"/>
    <w:rsid w:val="004E2976"/>
    <w:rsid w:val="004F5617"/>
    <w:rsid w:val="004F7559"/>
    <w:rsid w:val="004F7E5D"/>
    <w:rsid w:val="005039F3"/>
    <w:rsid w:val="00522D91"/>
    <w:rsid w:val="00523931"/>
    <w:rsid w:val="00523976"/>
    <w:rsid w:val="00526933"/>
    <w:rsid w:val="00533539"/>
    <w:rsid w:val="00577031"/>
    <w:rsid w:val="00596E6B"/>
    <w:rsid w:val="005974A0"/>
    <w:rsid w:val="005A083D"/>
    <w:rsid w:val="005A1227"/>
    <w:rsid w:val="005C18FD"/>
    <w:rsid w:val="005D4881"/>
    <w:rsid w:val="005D4F73"/>
    <w:rsid w:val="005D7E8F"/>
    <w:rsid w:val="005E36C9"/>
    <w:rsid w:val="006017FA"/>
    <w:rsid w:val="006202C0"/>
    <w:rsid w:val="006334F4"/>
    <w:rsid w:val="00670E55"/>
    <w:rsid w:val="006823DB"/>
    <w:rsid w:val="0068794F"/>
    <w:rsid w:val="00692FAD"/>
    <w:rsid w:val="006B2648"/>
    <w:rsid w:val="006C24D7"/>
    <w:rsid w:val="006D3D82"/>
    <w:rsid w:val="006E345B"/>
    <w:rsid w:val="006E5B39"/>
    <w:rsid w:val="006E6B59"/>
    <w:rsid w:val="006F6489"/>
    <w:rsid w:val="006F6D25"/>
    <w:rsid w:val="00711006"/>
    <w:rsid w:val="00720626"/>
    <w:rsid w:val="0073079C"/>
    <w:rsid w:val="00737869"/>
    <w:rsid w:val="00756EFF"/>
    <w:rsid w:val="007A4D69"/>
    <w:rsid w:val="007A7B7B"/>
    <w:rsid w:val="007B293A"/>
    <w:rsid w:val="007D248D"/>
    <w:rsid w:val="007E18FB"/>
    <w:rsid w:val="007E3152"/>
    <w:rsid w:val="007E58AC"/>
    <w:rsid w:val="007F4939"/>
    <w:rsid w:val="007F7EBA"/>
    <w:rsid w:val="00801095"/>
    <w:rsid w:val="00801E97"/>
    <w:rsid w:val="00813DAB"/>
    <w:rsid w:val="00817E18"/>
    <w:rsid w:val="00825BF0"/>
    <w:rsid w:val="00844B15"/>
    <w:rsid w:val="008647F4"/>
    <w:rsid w:val="00866DE6"/>
    <w:rsid w:val="00873BEB"/>
    <w:rsid w:val="00891671"/>
    <w:rsid w:val="00895782"/>
    <w:rsid w:val="00897DF8"/>
    <w:rsid w:val="008E1431"/>
    <w:rsid w:val="00930887"/>
    <w:rsid w:val="00944BEC"/>
    <w:rsid w:val="00950A70"/>
    <w:rsid w:val="0097716B"/>
    <w:rsid w:val="00986485"/>
    <w:rsid w:val="00994AB8"/>
    <w:rsid w:val="009A3423"/>
    <w:rsid w:val="009B5843"/>
    <w:rsid w:val="009C0A96"/>
    <w:rsid w:val="009C48A6"/>
    <w:rsid w:val="009E3491"/>
    <w:rsid w:val="009F77CC"/>
    <w:rsid w:val="00A016F1"/>
    <w:rsid w:val="00A1254B"/>
    <w:rsid w:val="00A1724A"/>
    <w:rsid w:val="00A2702E"/>
    <w:rsid w:val="00A3393B"/>
    <w:rsid w:val="00A56FD8"/>
    <w:rsid w:val="00A74AB2"/>
    <w:rsid w:val="00A97FFB"/>
    <w:rsid w:val="00AA6B8D"/>
    <w:rsid w:val="00AC7611"/>
    <w:rsid w:val="00AE43D6"/>
    <w:rsid w:val="00AF2821"/>
    <w:rsid w:val="00B012EC"/>
    <w:rsid w:val="00B045D6"/>
    <w:rsid w:val="00B318A0"/>
    <w:rsid w:val="00B37BF0"/>
    <w:rsid w:val="00B47B3A"/>
    <w:rsid w:val="00B57011"/>
    <w:rsid w:val="00B626E9"/>
    <w:rsid w:val="00BA418A"/>
    <w:rsid w:val="00BB0323"/>
    <w:rsid w:val="00BE1ABA"/>
    <w:rsid w:val="00BE2B7F"/>
    <w:rsid w:val="00BE3E24"/>
    <w:rsid w:val="00BE7E27"/>
    <w:rsid w:val="00C07105"/>
    <w:rsid w:val="00C275DD"/>
    <w:rsid w:val="00C36A48"/>
    <w:rsid w:val="00C41E6A"/>
    <w:rsid w:val="00C42ABF"/>
    <w:rsid w:val="00C442A7"/>
    <w:rsid w:val="00C53601"/>
    <w:rsid w:val="00C54308"/>
    <w:rsid w:val="00C62E10"/>
    <w:rsid w:val="00C86C10"/>
    <w:rsid w:val="00C91CCB"/>
    <w:rsid w:val="00C97E60"/>
    <w:rsid w:val="00CA7E05"/>
    <w:rsid w:val="00CB048D"/>
    <w:rsid w:val="00CF76B5"/>
    <w:rsid w:val="00D03992"/>
    <w:rsid w:val="00D04F8A"/>
    <w:rsid w:val="00D0655C"/>
    <w:rsid w:val="00D162A3"/>
    <w:rsid w:val="00D2191A"/>
    <w:rsid w:val="00D22B46"/>
    <w:rsid w:val="00D23FFA"/>
    <w:rsid w:val="00D27520"/>
    <w:rsid w:val="00D31D3C"/>
    <w:rsid w:val="00D35C27"/>
    <w:rsid w:val="00D523E3"/>
    <w:rsid w:val="00D60F3C"/>
    <w:rsid w:val="00D62F3D"/>
    <w:rsid w:val="00D66834"/>
    <w:rsid w:val="00D715BC"/>
    <w:rsid w:val="00D738FA"/>
    <w:rsid w:val="00D74067"/>
    <w:rsid w:val="00D94991"/>
    <w:rsid w:val="00DA30B2"/>
    <w:rsid w:val="00DA5AFC"/>
    <w:rsid w:val="00DC6A54"/>
    <w:rsid w:val="00DD143B"/>
    <w:rsid w:val="00DF13DE"/>
    <w:rsid w:val="00DF1D8B"/>
    <w:rsid w:val="00E01EA9"/>
    <w:rsid w:val="00E14A21"/>
    <w:rsid w:val="00E17D74"/>
    <w:rsid w:val="00E3000B"/>
    <w:rsid w:val="00E36E4D"/>
    <w:rsid w:val="00E42521"/>
    <w:rsid w:val="00E61624"/>
    <w:rsid w:val="00E74228"/>
    <w:rsid w:val="00E748CC"/>
    <w:rsid w:val="00E7654F"/>
    <w:rsid w:val="00EB28D4"/>
    <w:rsid w:val="00EC232A"/>
    <w:rsid w:val="00ED6332"/>
    <w:rsid w:val="00EE1825"/>
    <w:rsid w:val="00F03248"/>
    <w:rsid w:val="00F0551E"/>
    <w:rsid w:val="00F217AC"/>
    <w:rsid w:val="00F35812"/>
    <w:rsid w:val="00F6705F"/>
    <w:rsid w:val="00F77FA6"/>
    <w:rsid w:val="00F80E7C"/>
    <w:rsid w:val="00F90A7A"/>
    <w:rsid w:val="00F90E61"/>
    <w:rsid w:val="00F92234"/>
    <w:rsid w:val="00F94EBA"/>
    <w:rsid w:val="00FB1488"/>
    <w:rsid w:val="00FB279D"/>
    <w:rsid w:val="00FB4FF9"/>
    <w:rsid w:val="00FB6F94"/>
    <w:rsid w:val="00FC61AF"/>
    <w:rsid w:val="00FD1296"/>
    <w:rsid w:val="00FD44F0"/>
    <w:rsid w:val="00FD4DA4"/>
    <w:rsid w:val="00FE63CF"/>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D1283541-4EC4-4446-BADF-FD7B182C0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6C07"/>
    <w:rPr>
      <w:rFonts w:ascii="Garamond" w:hAnsi="Garamond"/>
      <w:sz w:val="24"/>
      <w:lang w:val="en-GB"/>
    </w:rPr>
  </w:style>
  <w:style w:type="paragraph" w:styleId="Heading2">
    <w:name w:val="heading 2"/>
    <w:basedOn w:val="Normal"/>
    <w:next w:val="Normal"/>
    <w:link w:val="Heading2Char"/>
    <w:uiPriority w:val="9"/>
    <w:unhideWhenUsed/>
    <w:qFormat/>
    <w:rsid w:val="0009147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6C07"/>
    <w:pPr>
      <w:autoSpaceDE w:val="0"/>
      <w:autoSpaceDN w:val="0"/>
      <w:adjustRightInd w:val="0"/>
      <w:spacing w:after="0" w:line="240" w:lineRule="auto"/>
    </w:pPr>
    <w:rPr>
      <w:rFonts w:ascii="Calibri" w:hAnsi="Calibri" w:cs="Calibri"/>
      <w:color w:val="000000"/>
      <w:sz w:val="24"/>
      <w:szCs w:val="24"/>
      <w:lang w:val="en-GB"/>
    </w:rPr>
  </w:style>
  <w:style w:type="character" w:styleId="CommentReference">
    <w:name w:val="annotation reference"/>
    <w:basedOn w:val="DefaultParagraphFont"/>
    <w:uiPriority w:val="99"/>
    <w:semiHidden/>
    <w:unhideWhenUsed/>
    <w:rsid w:val="00A1724A"/>
    <w:rPr>
      <w:sz w:val="16"/>
      <w:szCs w:val="16"/>
    </w:rPr>
  </w:style>
  <w:style w:type="paragraph" w:styleId="CommentText">
    <w:name w:val="annotation text"/>
    <w:basedOn w:val="Normal"/>
    <w:link w:val="CommentTextChar"/>
    <w:uiPriority w:val="99"/>
    <w:semiHidden/>
    <w:unhideWhenUsed/>
    <w:rsid w:val="00A1724A"/>
    <w:pPr>
      <w:spacing w:line="240" w:lineRule="auto"/>
    </w:pPr>
    <w:rPr>
      <w:sz w:val="20"/>
      <w:szCs w:val="20"/>
    </w:rPr>
  </w:style>
  <w:style w:type="character" w:customStyle="1" w:styleId="CommentTextChar">
    <w:name w:val="Comment Text Char"/>
    <w:basedOn w:val="DefaultParagraphFont"/>
    <w:link w:val="CommentText"/>
    <w:uiPriority w:val="99"/>
    <w:semiHidden/>
    <w:rsid w:val="00A1724A"/>
    <w:rPr>
      <w:rFonts w:ascii="Garamond" w:hAnsi="Garamond"/>
      <w:sz w:val="20"/>
      <w:szCs w:val="20"/>
      <w:lang w:val="en-GB"/>
    </w:rPr>
  </w:style>
  <w:style w:type="paragraph" w:styleId="BalloonText">
    <w:name w:val="Balloon Text"/>
    <w:basedOn w:val="Normal"/>
    <w:link w:val="BalloonTextChar"/>
    <w:uiPriority w:val="99"/>
    <w:semiHidden/>
    <w:unhideWhenUsed/>
    <w:rsid w:val="00A172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724A"/>
    <w:rPr>
      <w:rFonts w:ascii="Tahoma" w:hAnsi="Tahoma" w:cs="Tahoma"/>
      <w:sz w:val="16"/>
      <w:szCs w:val="16"/>
      <w:lang w:val="en-GB"/>
    </w:rPr>
  </w:style>
  <w:style w:type="character" w:customStyle="1" w:styleId="Heading2Char">
    <w:name w:val="Heading 2 Char"/>
    <w:basedOn w:val="DefaultParagraphFont"/>
    <w:link w:val="Heading2"/>
    <w:uiPriority w:val="9"/>
    <w:rsid w:val="00091479"/>
    <w:rPr>
      <w:rFonts w:asciiTheme="majorHAnsi" w:eastAsiaTheme="majorEastAsia" w:hAnsiTheme="majorHAnsi" w:cstheme="majorBidi"/>
      <w:color w:val="365F91" w:themeColor="accent1" w:themeShade="BF"/>
      <w:sz w:val="26"/>
      <w:szCs w:val="26"/>
      <w:lang w:val="en-GB"/>
    </w:rPr>
  </w:style>
  <w:style w:type="paragraph" w:styleId="ListParagraph">
    <w:name w:val="List Paragraph"/>
    <w:basedOn w:val="Normal"/>
    <w:uiPriority w:val="34"/>
    <w:qFormat/>
    <w:rsid w:val="004B7C9F"/>
    <w:pPr>
      <w:ind w:left="720"/>
      <w:contextualSpacing/>
    </w:pPr>
  </w:style>
  <w:style w:type="paragraph" w:styleId="CommentSubject">
    <w:name w:val="annotation subject"/>
    <w:basedOn w:val="CommentText"/>
    <w:next w:val="CommentText"/>
    <w:link w:val="CommentSubjectChar"/>
    <w:uiPriority w:val="99"/>
    <w:semiHidden/>
    <w:unhideWhenUsed/>
    <w:rsid w:val="00801095"/>
    <w:rPr>
      <w:b/>
      <w:bCs/>
    </w:rPr>
  </w:style>
  <w:style w:type="character" w:customStyle="1" w:styleId="CommentSubjectChar">
    <w:name w:val="Comment Subject Char"/>
    <w:basedOn w:val="CommentTextChar"/>
    <w:link w:val="CommentSubject"/>
    <w:uiPriority w:val="99"/>
    <w:semiHidden/>
    <w:rsid w:val="00801095"/>
    <w:rPr>
      <w:rFonts w:ascii="Garamond" w:hAnsi="Garamond"/>
      <w:b/>
      <w:bCs/>
      <w:sz w:val="20"/>
      <w:szCs w:val="20"/>
      <w:lang w:val="en-GB"/>
    </w:rPr>
  </w:style>
  <w:style w:type="paragraph" w:styleId="Header">
    <w:name w:val="header"/>
    <w:basedOn w:val="Normal"/>
    <w:link w:val="HeaderChar"/>
    <w:uiPriority w:val="99"/>
    <w:unhideWhenUsed/>
    <w:rsid w:val="00CA7E05"/>
    <w:pPr>
      <w:tabs>
        <w:tab w:val="center" w:pos="4819"/>
        <w:tab w:val="right" w:pos="9638"/>
      </w:tabs>
      <w:spacing w:after="0" w:line="240" w:lineRule="auto"/>
    </w:pPr>
  </w:style>
  <w:style w:type="character" w:customStyle="1" w:styleId="HeaderChar">
    <w:name w:val="Header Char"/>
    <w:basedOn w:val="DefaultParagraphFont"/>
    <w:link w:val="Header"/>
    <w:uiPriority w:val="99"/>
    <w:rsid w:val="00CA7E05"/>
    <w:rPr>
      <w:rFonts w:ascii="Garamond" w:hAnsi="Garamond"/>
      <w:sz w:val="24"/>
      <w:lang w:val="en-GB"/>
    </w:rPr>
  </w:style>
  <w:style w:type="paragraph" w:styleId="Footer">
    <w:name w:val="footer"/>
    <w:basedOn w:val="Normal"/>
    <w:link w:val="FooterChar"/>
    <w:uiPriority w:val="99"/>
    <w:unhideWhenUsed/>
    <w:rsid w:val="00CA7E05"/>
    <w:pPr>
      <w:tabs>
        <w:tab w:val="center" w:pos="4819"/>
        <w:tab w:val="right" w:pos="9638"/>
      </w:tabs>
      <w:spacing w:after="0" w:line="240" w:lineRule="auto"/>
    </w:pPr>
  </w:style>
  <w:style w:type="character" w:customStyle="1" w:styleId="FooterChar">
    <w:name w:val="Footer Char"/>
    <w:basedOn w:val="DefaultParagraphFont"/>
    <w:link w:val="Footer"/>
    <w:uiPriority w:val="99"/>
    <w:rsid w:val="00CA7E05"/>
    <w:rPr>
      <w:rFonts w:ascii="Garamond" w:hAnsi="Garamond"/>
      <w:sz w:val="24"/>
      <w:lang w:val="en-GB"/>
    </w:rPr>
  </w:style>
  <w:style w:type="paragraph" w:styleId="Revision">
    <w:name w:val="Revision"/>
    <w:hidden/>
    <w:uiPriority w:val="99"/>
    <w:semiHidden/>
    <w:rsid w:val="00430028"/>
    <w:pPr>
      <w:spacing w:after="0" w:line="240" w:lineRule="auto"/>
    </w:pPr>
    <w:rPr>
      <w:rFonts w:ascii="Garamond" w:hAnsi="Garamond"/>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D45681-A809-4E74-8FC6-15C3184C6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2092</Words>
  <Characters>11930</Characters>
  <Application>Microsoft Office Word</Application>
  <DocSecurity>0</DocSecurity>
  <Lines>99</Lines>
  <Paragraphs>27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Udenrigsministeriet</Company>
  <LinksUpToDate>false</LinksUpToDate>
  <CharactersWithSpaces>13995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Henrik Larsen</dc:creator>
  <cp:lastModifiedBy>Thomas Raahauge Norup</cp:lastModifiedBy>
  <cp:revision>3</cp:revision>
  <cp:lastPrinted>2021-10-10T11:36:00Z</cp:lastPrinted>
  <dcterms:created xsi:type="dcterms:W3CDTF">2021-11-29T11:48:00Z</dcterms:created>
  <dcterms:modified xsi:type="dcterms:W3CDTF">2021-11-29T12:04:00Z</dcterms:modified>
</cp:coreProperties>
</file>