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B1" w:rsidRPr="003C3159" w:rsidRDefault="00F15957" w:rsidP="001C52B1">
      <w:pPr>
        <w:spacing w:after="0" w:line="240" w:lineRule="auto"/>
        <w:jc w:val="center"/>
        <w:rPr>
          <w:rFonts w:ascii="Garamond" w:hAnsi="Garamond" w:cs="Calibri"/>
          <w:b/>
          <w:sz w:val="28"/>
          <w:szCs w:val="28"/>
        </w:rPr>
      </w:pPr>
      <w:r w:rsidRPr="003C3159">
        <w:rPr>
          <w:rFonts w:ascii="Garamond" w:hAnsi="Garamond" w:cs="Calibri"/>
          <w:b/>
          <w:sz w:val="28"/>
          <w:szCs w:val="28"/>
        </w:rPr>
        <w:t>Danida s</w:t>
      </w:r>
      <w:r w:rsidR="001C52B1" w:rsidRPr="003C3159">
        <w:rPr>
          <w:rFonts w:ascii="Garamond" w:hAnsi="Garamond" w:cs="Calibri"/>
          <w:b/>
          <w:sz w:val="28"/>
          <w:szCs w:val="28"/>
        </w:rPr>
        <w:t xml:space="preserve">upport to </w:t>
      </w:r>
      <w:r w:rsidR="00682868" w:rsidRPr="003C3159">
        <w:rPr>
          <w:rFonts w:ascii="Garamond" w:hAnsi="Garamond" w:cs="Calibri"/>
          <w:b/>
          <w:sz w:val="28"/>
          <w:szCs w:val="28"/>
        </w:rPr>
        <w:t>the Commission on Human Rights and Administrative Justice</w:t>
      </w:r>
      <w:r w:rsidR="00F32367" w:rsidRPr="003C3159">
        <w:rPr>
          <w:rFonts w:ascii="Garamond" w:hAnsi="Garamond" w:cs="Calibri"/>
          <w:b/>
          <w:sz w:val="28"/>
          <w:szCs w:val="28"/>
        </w:rPr>
        <w:t xml:space="preserve"> </w:t>
      </w:r>
    </w:p>
    <w:p w:rsidR="00193012" w:rsidRPr="003473AF" w:rsidRDefault="00193012" w:rsidP="001C52B1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93012" w:rsidRPr="00193012" w:rsidRDefault="00925A6B" w:rsidP="00357B7B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93012">
        <w:rPr>
          <w:rFonts w:ascii="Garamond" w:hAnsi="Garamond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104775</wp:posOffset>
                </wp:positionV>
                <wp:extent cx="1924050" cy="4333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4333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012" w:rsidRPr="00FC04F3" w:rsidRDefault="00193012" w:rsidP="006E458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C04F3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  <w:u w:val="single"/>
                              </w:rPr>
                              <w:t>Support at-a-glance</w:t>
                            </w:r>
                          </w:p>
                          <w:p w:rsidR="00925A6B" w:rsidRPr="00C84101" w:rsidRDefault="00925A6B" w:rsidP="00C84101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Duration of support</w:t>
                            </w:r>
                            <w:r w:rsidR="006D22DE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925A6B" w:rsidRPr="00C84101" w:rsidRDefault="001C52B1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199</w:t>
                            </w:r>
                            <w:r w:rsidR="009753F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3</w:t>
                            </w: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04F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201</w:t>
                            </w:r>
                            <w:r w:rsidR="00CC555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8</w:t>
                            </w:r>
                            <w:r w:rsidR="00FC04F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(2</w:t>
                            </w:r>
                            <w:r w:rsidR="009753F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6</w:t>
                            </w:r>
                            <w:r w:rsidR="00FC04F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years)</w:t>
                            </w:r>
                          </w:p>
                          <w:p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Total disbursement</w:t>
                            </w:r>
                            <w:r w:rsidR="006D22DE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925A6B" w:rsidRPr="00C84101" w:rsidRDefault="001C52B1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DKK</w:t>
                            </w:r>
                            <w:r w:rsidR="00CC555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19B2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7</w:t>
                            </w:r>
                            <w:r w:rsidR="00F63EA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0 m</w:t>
                            </w:r>
                            <w:r w:rsidR="00227ABF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il</w:t>
                            </w: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lion</w:t>
                            </w:r>
                            <w:r w:rsidR="005619B2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(approx.)</w:t>
                            </w:r>
                          </w:p>
                          <w:p w:rsidR="00925A6B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:rsidR="0026094D" w:rsidRPr="0026094D" w:rsidRDefault="0026094D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6094D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Key National Partners</w:t>
                            </w:r>
                          </w:p>
                          <w:p w:rsidR="0026094D" w:rsidRPr="0026094D" w:rsidRDefault="00227ABF" w:rsidP="00227ABF">
                            <w:pPr>
                              <w:pStyle w:val="Default"/>
                              <w:rPr>
                                <w:rFonts w:ascii="Garamond" w:hAnsi="Garamond" w:cstheme="minorBidi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theme="minorBidi"/>
                                <w:color w:val="auto"/>
                                <w:sz w:val="20"/>
                                <w:szCs w:val="20"/>
                              </w:rPr>
                              <w:t>Commission on Human Rights and Administrative Justice</w:t>
                            </w:r>
                          </w:p>
                          <w:p w:rsidR="0026094D" w:rsidRDefault="0026094D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Geographical coverage</w:t>
                            </w:r>
                            <w:r w:rsidR="006D22DE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CC5556" w:rsidRPr="005C767E" w:rsidRDefault="003C3159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="005C767E" w:rsidRPr="005C767E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region</w:t>
                            </w:r>
                            <w:r w:rsidR="00044F1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al and </w:t>
                            </w:r>
                            <w:r w:rsidR="00044F19" w:rsidRPr="0046571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1</w:t>
                            </w:r>
                            <w:r w:rsidR="0026094D" w:rsidRPr="0046571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1</w:t>
                            </w:r>
                            <w:r w:rsidR="00044F19" w:rsidRPr="0046571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0</w:t>
                            </w:r>
                            <w:r w:rsidR="00044F1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district offices of CHRAJ</w:t>
                            </w:r>
                            <w:r w:rsidR="005C767E" w:rsidRPr="005C767E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C767E" w:rsidRDefault="005C767E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:rsidR="00925A6B" w:rsidRDefault="00BC31E7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Key Outcomes</w:t>
                            </w:r>
                            <w:r w:rsidR="00BC3D60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CC1467" w:rsidRPr="00864DC8" w:rsidRDefault="00CC1467" w:rsidP="00CC146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864DC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Development of the National Anticorruption Action Plan (NACAP: 2015-2024)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33D12" w:rsidRPr="00864DC8" w:rsidRDefault="00CC1467" w:rsidP="00864DC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Development of several Strategic Plans for </w:t>
                            </w:r>
                            <w:r w:rsidR="000A37E5" w:rsidRPr="00864DC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CHRAJ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including the fi</w:t>
                            </w:r>
                            <w:r w:rsidR="000A37E5" w:rsidRPr="00864DC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rst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two in </w:t>
                            </w:r>
                            <w:r w:rsidR="000A37E5" w:rsidRPr="00864DC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1999</w:t>
                            </w:r>
                            <w:r w:rsidR="009616E9" w:rsidRPr="00864DC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and 2003 respectively</w:t>
                            </w:r>
                          </w:p>
                          <w:p w:rsidR="00CC1467" w:rsidRDefault="00CC1467" w:rsidP="00864DC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Strengthened capacity of CHRAJ staff at national, regional and district level.</w:t>
                            </w:r>
                            <w:r w:rsidR="0091397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CHRAJ is now present in 110 districts</w:t>
                            </w:r>
                          </w:p>
                          <w:p w:rsidR="00864DC8" w:rsidRDefault="00864DC8" w:rsidP="00864DC8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:rsidR="00864DC8" w:rsidRPr="003E205E" w:rsidRDefault="00864DC8" w:rsidP="003E205E">
                            <w:pPr>
                              <w:spacing w:after="0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:rsidR="003E205E" w:rsidRPr="00172EC9" w:rsidRDefault="003E205E" w:rsidP="00172EC9">
                            <w:pPr>
                              <w:spacing w:after="0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:rsidR="00172EC9" w:rsidRDefault="00172EC9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5pt;margin-top:8.25pt;width:151.5pt;height:3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" fillcolor="#ffd555 [2167]" strokecolor="red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193012" w:rsidRPr="00FC04F3" w:rsidRDefault="00193012" w:rsidP="006E458D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C04F3">
                        <w:rPr>
                          <w:rFonts w:ascii="Garamond" w:hAnsi="Garamond"/>
                          <w:b/>
                          <w:sz w:val="20"/>
                          <w:szCs w:val="20"/>
                          <w:u w:val="single"/>
                        </w:rPr>
                        <w:t>Support at-a-glance</w:t>
                      </w:r>
                    </w:p>
                    <w:p w:rsidR="00925A6B" w:rsidRPr="00C84101" w:rsidRDefault="00925A6B" w:rsidP="00C84101">
                      <w:pPr>
                        <w:spacing w:after="0" w:line="240" w:lineRule="auto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Duration of support</w:t>
                      </w:r>
                      <w:r w:rsidR="006D22DE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:rsidR="00925A6B" w:rsidRPr="00C84101" w:rsidRDefault="001C52B1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>199</w:t>
                      </w:r>
                      <w:r w:rsidR="009753F3">
                        <w:rPr>
                          <w:rFonts w:ascii="Garamond" w:hAnsi="Garamond"/>
                          <w:sz w:val="20"/>
                          <w:szCs w:val="20"/>
                        </w:rPr>
                        <w:t>3</w:t>
                      </w: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="00FC04F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– </w:t>
                      </w: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>201</w:t>
                      </w:r>
                      <w:r w:rsidR="00CC5556">
                        <w:rPr>
                          <w:rFonts w:ascii="Garamond" w:hAnsi="Garamond"/>
                          <w:sz w:val="20"/>
                          <w:szCs w:val="20"/>
                        </w:rPr>
                        <w:t>8</w:t>
                      </w:r>
                      <w:r w:rsidR="00FC04F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(2</w:t>
                      </w:r>
                      <w:r w:rsidR="009753F3">
                        <w:rPr>
                          <w:rFonts w:ascii="Garamond" w:hAnsi="Garamond"/>
                          <w:sz w:val="20"/>
                          <w:szCs w:val="20"/>
                        </w:rPr>
                        <w:t>6</w:t>
                      </w:r>
                      <w:r w:rsidR="00FC04F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years)</w:t>
                      </w:r>
                    </w:p>
                    <w:p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Total disbursement</w:t>
                      </w:r>
                      <w:r w:rsidR="006D22DE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:rsidR="00925A6B" w:rsidRPr="00C84101" w:rsidRDefault="001C52B1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>DKK</w:t>
                      </w:r>
                      <w:r w:rsidR="00CC5556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="005619B2">
                        <w:rPr>
                          <w:rFonts w:ascii="Garamond" w:hAnsi="Garamond"/>
                          <w:sz w:val="20"/>
                          <w:szCs w:val="20"/>
                        </w:rPr>
                        <w:t>7</w:t>
                      </w:r>
                      <w:r w:rsidR="00F63EA6">
                        <w:rPr>
                          <w:rFonts w:ascii="Garamond" w:hAnsi="Garamond"/>
                          <w:sz w:val="20"/>
                          <w:szCs w:val="20"/>
                        </w:rPr>
                        <w:t>0 m</w:t>
                      </w:r>
                      <w:r w:rsidR="00227ABF">
                        <w:rPr>
                          <w:rFonts w:ascii="Garamond" w:hAnsi="Garamond"/>
                          <w:sz w:val="20"/>
                          <w:szCs w:val="20"/>
                        </w:rPr>
                        <w:t>il</w:t>
                      </w: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>lion</w:t>
                      </w:r>
                      <w:r w:rsidR="005619B2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(approx.)</w:t>
                      </w:r>
                    </w:p>
                    <w:p w:rsidR="00925A6B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:rsidR="0026094D" w:rsidRPr="0026094D" w:rsidRDefault="0026094D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26094D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Key National Partners</w:t>
                      </w:r>
                    </w:p>
                    <w:p w:rsidR="0026094D" w:rsidRPr="0026094D" w:rsidRDefault="00227ABF" w:rsidP="00227ABF">
                      <w:pPr>
                        <w:pStyle w:val="Default"/>
                        <w:rPr>
                          <w:rFonts w:ascii="Garamond" w:hAnsi="Garamond" w:cstheme="minorBid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theme="minorBidi"/>
                          <w:color w:val="auto"/>
                          <w:sz w:val="20"/>
                          <w:szCs w:val="20"/>
                        </w:rPr>
                        <w:t>Commission on Human Rights and Administrative Justice</w:t>
                      </w:r>
                    </w:p>
                    <w:p w:rsidR="0026094D" w:rsidRDefault="0026094D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Geographical coverage</w:t>
                      </w:r>
                      <w:r w:rsidR="006D22DE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:rsidR="00CC5556" w:rsidRPr="005C767E" w:rsidRDefault="003C3159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All </w:t>
                      </w:r>
                      <w:r w:rsidR="005C767E" w:rsidRPr="005C767E">
                        <w:rPr>
                          <w:rFonts w:ascii="Garamond" w:hAnsi="Garamond"/>
                          <w:sz w:val="20"/>
                          <w:szCs w:val="20"/>
                        </w:rPr>
                        <w:t>region</w:t>
                      </w:r>
                      <w:r w:rsidR="00044F19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al and </w:t>
                      </w:r>
                      <w:r w:rsidR="00044F19" w:rsidRPr="0046571B">
                        <w:rPr>
                          <w:rFonts w:ascii="Garamond" w:hAnsi="Garamond"/>
                          <w:sz w:val="20"/>
                          <w:szCs w:val="20"/>
                        </w:rPr>
                        <w:t>1</w:t>
                      </w:r>
                      <w:r w:rsidR="0026094D" w:rsidRPr="0046571B">
                        <w:rPr>
                          <w:rFonts w:ascii="Garamond" w:hAnsi="Garamond"/>
                          <w:sz w:val="20"/>
                          <w:szCs w:val="20"/>
                        </w:rPr>
                        <w:t>1</w:t>
                      </w:r>
                      <w:r w:rsidR="00044F19" w:rsidRPr="0046571B">
                        <w:rPr>
                          <w:rFonts w:ascii="Garamond" w:hAnsi="Garamond"/>
                          <w:sz w:val="20"/>
                          <w:szCs w:val="20"/>
                        </w:rPr>
                        <w:t>0</w:t>
                      </w:r>
                      <w:r w:rsidR="00044F19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district offices of CHRAJ</w:t>
                      </w:r>
                      <w:r w:rsidR="005C767E" w:rsidRPr="005C767E"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:rsidR="005C767E" w:rsidRDefault="005C767E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:rsidR="00925A6B" w:rsidRDefault="00BC31E7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Key Outcomes</w:t>
                      </w:r>
                      <w:r w:rsidR="00BC3D60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:rsidR="00CC1467" w:rsidRPr="00864DC8" w:rsidRDefault="00CC1467" w:rsidP="00CC146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864DC8">
                        <w:rPr>
                          <w:rFonts w:ascii="Garamond" w:hAnsi="Garamond"/>
                          <w:sz w:val="20"/>
                          <w:szCs w:val="20"/>
                        </w:rPr>
                        <w:t>Development of the National Anticorruption Action Plan (NACAP: 2015-2024)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33D12" w:rsidRPr="00864DC8" w:rsidRDefault="00CC1467" w:rsidP="00864DC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Development of several Strategic Plans for </w:t>
                      </w:r>
                      <w:r w:rsidR="000A37E5" w:rsidRPr="00864DC8">
                        <w:rPr>
                          <w:rFonts w:ascii="Garamond" w:hAnsi="Garamond"/>
                          <w:sz w:val="20"/>
                          <w:szCs w:val="20"/>
                        </w:rPr>
                        <w:t>CHRAJ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including the fi</w:t>
                      </w:r>
                      <w:r w:rsidR="000A37E5" w:rsidRPr="00864DC8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rst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two in </w:t>
                      </w:r>
                      <w:r w:rsidR="000A37E5" w:rsidRPr="00864DC8">
                        <w:rPr>
                          <w:rFonts w:ascii="Garamond" w:hAnsi="Garamond"/>
                          <w:sz w:val="20"/>
                          <w:szCs w:val="20"/>
                        </w:rPr>
                        <w:t>1999</w:t>
                      </w:r>
                      <w:r w:rsidR="009616E9" w:rsidRPr="00864DC8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and 2003 respectively</w:t>
                      </w:r>
                    </w:p>
                    <w:p w:rsidR="00CC1467" w:rsidRDefault="00CC1467" w:rsidP="00864DC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Strengthened capacity of CHRAJ staff at national, regional and district level.</w:t>
                      </w:r>
                      <w:r w:rsidR="0091397B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CHRAJ is now present in 110 districts</w:t>
                      </w:r>
                    </w:p>
                    <w:p w:rsidR="00864DC8" w:rsidRDefault="00864DC8" w:rsidP="00864DC8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:rsidR="00864DC8" w:rsidRPr="003E205E" w:rsidRDefault="00864DC8" w:rsidP="003E205E">
                      <w:pPr>
                        <w:spacing w:after="0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:rsidR="003E205E" w:rsidRPr="00172EC9" w:rsidRDefault="003E205E" w:rsidP="00172EC9">
                      <w:pPr>
                        <w:spacing w:after="0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:rsidR="00172EC9" w:rsidRDefault="00172EC9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473AF">
        <w:rPr>
          <w:rFonts w:ascii="Garamond" w:hAnsi="Garamond"/>
          <w:b/>
          <w:sz w:val="24"/>
          <w:szCs w:val="24"/>
        </w:rPr>
        <w:t>Basic Information</w:t>
      </w:r>
    </w:p>
    <w:p w:rsidR="00C65E00" w:rsidRDefault="00CB4A06" w:rsidP="00C65E0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CB4A06">
        <w:rPr>
          <w:rFonts w:ascii="Garamond" w:hAnsi="Garamond"/>
          <w:sz w:val="24"/>
          <w:szCs w:val="24"/>
        </w:rPr>
        <w:t>Danida</w:t>
      </w:r>
      <w:r w:rsidR="003673A9">
        <w:rPr>
          <w:rFonts w:ascii="Garamond" w:hAnsi="Garamond"/>
          <w:sz w:val="24"/>
          <w:szCs w:val="24"/>
        </w:rPr>
        <w:t>’s</w:t>
      </w:r>
      <w:proofErr w:type="spellEnd"/>
      <w:r w:rsidR="003673A9">
        <w:rPr>
          <w:rFonts w:ascii="Garamond" w:hAnsi="Garamond"/>
          <w:sz w:val="24"/>
          <w:szCs w:val="24"/>
        </w:rPr>
        <w:t xml:space="preserve"> initial support to </w:t>
      </w:r>
      <w:r w:rsidR="00E16349">
        <w:rPr>
          <w:rFonts w:ascii="Garamond" w:hAnsi="Garamond"/>
          <w:sz w:val="24"/>
          <w:szCs w:val="24"/>
        </w:rPr>
        <w:t xml:space="preserve">the </w:t>
      </w:r>
      <w:r w:rsidR="00044F19">
        <w:rPr>
          <w:rFonts w:ascii="Garamond" w:hAnsi="Garamond"/>
          <w:sz w:val="24"/>
          <w:szCs w:val="24"/>
        </w:rPr>
        <w:t>Commission on Human Rights and Administrative Justice</w:t>
      </w:r>
      <w:r w:rsidR="00C53ECC">
        <w:rPr>
          <w:rFonts w:ascii="Garamond" w:hAnsi="Garamond"/>
          <w:sz w:val="24"/>
          <w:szCs w:val="24"/>
        </w:rPr>
        <w:t xml:space="preserve"> </w:t>
      </w:r>
      <w:r w:rsidR="00635C8E">
        <w:rPr>
          <w:rFonts w:ascii="Garamond" w:hAnsi="Garamond"/>
          <w:sz w:val="24"/>
          <w:szCs w:val="24"/>
        </w:rPr>
        <w:t xml:space="preserve">(CHRAJ) </w:t>
      </w:r>
      <w:r w:rsidR="003673A9">
        <w:rPr>
          <w:rFonts w:ascii="Garamond" w:hAnsi="Garamond"/>
          <w:sz w:val="24"/>
          <w:szCs w:val="24"/>
        </w:rPr>
        <w:t xml:space="preserve">was </w:t>
      </w:r>
      <w:r w:rsidR="00A3399A">
        <w:rPr>
          <w:rFonts w:ascii="Garamond" w:hAnsi="Garamond"/>
          <w:sz w:val="24"/>
          <w:szCs w:val="24"/>
        </w:rPr>
        <w:t xml:space="preserve">through a </w:t>
      </w:r>
      <w:r w:rsidR="00F65CD2">
        <w:rPr>
          <w:rFonts w:ascii="Garamond" w:hAnsi="Garamond"/>
          <w:sz w:val="24"/>
          <w:szCs w:val="24"/>
        </w:rPr>
        <w:t>project-based support to human rights</w:t>
      </w:r>
      <w:r w:rsidR="000F6E74">
        <w:rPr>
          <w:rFonts w:ascii="Garamond" w:hAnsi="Garamond"/>
          <w:sz w:val="24"/>
          <w:szCs w:val="24"/>
        </w:rPr>
        <w:t xml:space="preserve"> and </w:t>
      </w:r>
      <w:r w:rsidR="00F65CD2">
        <w:rPr>
          <w:rFonts w:ascii="Garamond" w:hAnsi="Garamond"/>
          <w:sz w:val="24"/>
          <w:szCs w:val="24"/>
        </w:rPr>
        <w:t>d</w:t>
      </w:r>
      <w:r w:rsidR="000D00E0">
        <w:rPr>
          <w:rFonts w:ascii="Garamond" w:hAnsi="Garamond"/>
          <w:sz w:val="24"/>
          <w:szCs w:val="24"/>
        </w:rPr>
        <w:t>emocratisation</w:t>
      </w:r>
      <w:r w:rsidR="00BB4206">
        <w:rPr>
          <w:rFonts w:ascii="Garamond" w:hAnsi="Garamond"/>
          <w:sz w:val="24"/>
          <w:szCs w:val="24"/>
        </w:rPr>
        <w:t xml:space="preserve"> in G</w:t>
      </w:r>
      <w:r w:rsidR="00635C8E">
        <w:rPr>
          <w:rFonts w:ascii="Garamond" w:hAnsi="Garamond"/>
          <w:sz w:val="24"/>
          <w:szCs w:val="24"/>
        </w:rPr>
        <w:t>hana</w:t>
      </w:r>
      <w:r w:rsidR="003673A9">
        <w:rPr>
          <w:rFonts w:ascii="Garamond" w:hAnsi="Garamond"/>
          <w:sz w:val="24"/>
          <w:szCs w:val="24"/>
        </w:rPr>
        <w:t xml:space="preserve"> </w:t>
      </w:r>
      <w:r w:rsidR="000D00E0">
        <w:rPr>
          <w:rFonts w:ascii="Garamond" w:hAnsi="Garamond"/>
          <w:sz w:val="24"/>
          <w:szCs w:val="24"/>
        </w:rPr>
        <w:t>(199</w:t>
      </w:r>
      <w:r w:rsidR="009753F3">
        <w:rPr>
          <w:rFonts w:ascii="Garamond" w:hAnsi="Garamond"/>
          <w:sz w:val="24"/>
          <w:szCs w:val="24"/>
        </w:rPr>
        <w:t>3</w:t>
      </w:r>
      <w:r w:rsidR="000D00E0">
        <w:rPr>
          <w:rFonts w:ascii="Garamond" w:hAnsi="Garamond"/>
          <w:sz w:val="24"/>
          <w:szCs w:val="24"/>
        </w:rPr>
        <w:t>-2003)</w:t>
      </w:r>
      <w:r w:rsidR="00BB4206">
        <w:rPr>
          <w:rFonts w:ascii="Garamond" w:hAnsi="Garamond"/>
          <w:sz w:val="24"/>
          <w:szCs w:val="24"/>
        </w:rPr>
        <w:t xml:space="preserve">. </w:t>
      </w:r>
      <w:r w:rsidR="00A3399A">
        <w:rPr>
          <w:rFonts w:ascii="Garamond" w:hAnsi="Garamond"/>
          <w:sz w:val="24"/>
          <w:szCs w:val="24"/>
        </w:rPr>
        <w:t>The project s</w:t>
      </w:r>
      <w:r w:rsidR="007D6723">
        <w:rPr>
          <w:rFonts w:ascii="Garamond" w:hAnsi="Garamond"/>
          <w:sz w:val="24"/>
          <w:szCs w:val="24"/>
        </w:rPr>
        <w:t>pecifically focus</w:t>
      </w:r>
      <w:r w:rsidR="00F65CD2">
        <w:rPr>
          <w:rFonts w:ascii="Garamond" w:hAnsi="Garamond"/>
          <w:sz w:val="24"/>
          <w:szCs w:val="24"/>
        </w:rPr>
        <w:t xml:space="preserve">ed </w:t>
      </w:r>
      <w:r w:rsidR="007D6723">
        <w:rPr>
          <w:rFonts w:ascii="Garamond" w:hAnsi="Garamond"/>
          <w:sz w:val="24"/>
          <w:szCs w:val="24"/>
        </w:rPr>
        <w:t xml:space="preserve">on </w:t>
      </w:r>
      <w:r w:rsidR="000D00E0">
        <w:rPr>
          <w:rFonts w:ascii="Garamond" w:hAnsi="Garamond"/>
          <w:sz w:val="24"/>
          <w:szCs w:val="24"/>
        </w:rPr>
        <w:t xml:space="preserve">support to public institutions and reforms (electoral process, decentralization and </w:t>
      </w:r>
      <w:bookmarkStart w:id="0" w:name="_GoBack"/>
      <w:bookmarkEnd w:id="0"/>
      <w:r w:rsidR="000D00E0">
        <w:rPr>
          <w:rFonts w:ascii="Garamond" w:hAnsi="Garamond"/>
          <w:sz w:val="24"/>
          <w:szCs w:val="24"/>
        </w:rPr>
        <w:t>reinforcement of CHRAJ)</w:t>
      </w:r>
      <w:r w:rsidRPr="00CB4A06">
        <w:rPr>
          <w:rFonts w:ascii="Garamond" w:hAnsi="Garamond"/>
          <w:sz w:val="24"/>
          <w:szCs w:val="24"/>
        </w:rPr>
        <w:t>.</w:t>
      </w:r>
      <w:r w:rsidR="003673A9">
        <w:rPr>
          <w:rFonts w:ascii="Garamond" w:hAnsi="Garamond"/>
          <w:sz w:val="24"/>
          <w:szCs w:val="24"/>
        </w:rPr>
        <w:t xml:space="preserve"> </w:t>
      </w:r>
      <w:r w:rsidR="00635C8E">
        <w:rPr>
          <w:rFonts w:ascii="Garamond" w:hAnsi="Garamond"/>
          <w:sz w:val="24"/>
          <w:szCs w:val="24"/>
        </w:rPr>
        <w:t xml:space="preserve">The main activities </w:t>
      </w:r>
      <w:r w:rsidR="003673A9">
        <w:rPr>
          <w:rFonts w:ascii="Garamond" w:hAnsi="Garamond"/>
          <w:sz w:val="24"/>
          <w:szCs w:val="24"/>
        </w:rPr>
        <w:t>entailed</w:t>
      </w:r>
      <w:r w:rsidR="009753F3">
        <w:rPr>
          <w:rFonts w:ascii="Garamond" w:hAnsi="Garamond"/>
          <w:sz w:val="24"/>
          <w:szCs w:val="24"/>
        </w:rPr>
        <w:t xml:space="preserve"> provision of technical assistance to CHRAJ through the Danish Ombudsman and c</w:t>
      </w:r>
      <w:r w:rsidR="003673A9">
        <w:rPr>
          <w:rFonts w:ascii="Garamond" w:hAnsi="Garamond"/>
          <w:sz w:val="24"/>
          <w:szCs w:val="24"/>
        </w:rPr>
        <w:t xml:space="preserve">apacity building of CHRAJ staff in </w:t>
      </w:r>
      <w:r w:rsidR="00CB2BE3">
        <w:rPr>
          <w:rFonts w:ascii="Garamond" w:hAnsi="Garamond"/>
          <w:sz w:val="24"/>
          <w:szCs w:val="24"/>
        </w:rPr>
        <w:t xml:space="preserve">carrying out </w:t>
      </w:r>
      <w:r w:rsidR="00A3399A">
        <w:rPr>
          <w:rFonts w:ascii="Garamond" w:hAnsi="Garamond"/>
          <w:sz w:val="24"/>
          <w:szCs w:val="24"/>
        </w:rPr>
        <w:t xml:space="preserve">its </w:t>
      </w:r>
      <w:r w:rsidR="004C159D">
        <w:rPr>
          <w:rFonts w:ascii="Garamond" w:hAnsi="Garamond"/>
          <w:sz w:val="24"/>
          <w:szCs w:val="24"/>
        </w:rPr>
        <w:t xml:space="preserve">constitutional </w:t>
      </w:r>
      <w:r w:rsidR="00CB2BE3">
        <w:rPr>
          <w:rFonts w:ascii="Garamond" w:hAnsi="Garamond"/>
          <w:sz w:val="24"/>
          <w:szCs w:val="24"/>
        </w:rPr>
        <w:t>mandate</w:t>
      </w:r>
      <w:r w:rsidR="003673A9">
        <w:rPr>
          <w:rFonts w:ascii="Garamond" w:hAnsi="Garamond"/>
          <w:sz w:val="24"/>
          <w:szCs w:val="24"/>
        </w:rPr>
        <w:t>.</w:t>
      </w:r>
    </w:p>
    <w:p w:rsidR="00CB4A06" w:rsidRDefault="008F140B" w:rsidP="00C65E0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F4326E" w:rsidRPr="00B63929" w:rsidRDefault="0000512D" w:rsidP="00B63929">
      <w:pPr>
        <w:pStyle w:val="Default"/>
        <w:jc w:val="both"/>
        <w:rPr>
          <w:rFonts w:ascii="Garamond" w:hAnsi="Garamond" w:cstheme="minorBidi"/>
          <w:color w:val="FF0000"/>
        </w:rPr>
      </w:pPr>
      <w:r>
        <w:rPr>
          <w:rFonts w:ascii="Garamond" w:hAnsi="Garamond" w:cstheme="minorBidi"/>
          <w:color w:val="auto"/>
        </w:rPr>
        <w:t xml:space="preserve">The </w:t>
      </w:r>
      <w:r w:rsidR="00044F19">
        <w:rPr>
          <w:rFonts w:ascii="Garamond" w:hAnsi="Garamond" w:cstheme="minorBidi"/>
          <w:color w:val="auto"/>
        </w:rPr>
        <w:t xml:space="preserve">support continued under the first phase of the </w:t>
      </w:r>
      <w:r w:rsidR="00F4326E" w:rsidRPr="00F4326E">
        <w:rPr>
          <w:rFonts w:ascii="Garamond" w:hAnsi="Garamond" w:cstheme="minorBidi"/>
          <w:color w:val="auto"/>
        </w:rPr>
        <w:t xml:space="preserve">Good Governance and Human Rights Programme </w:t>
      </w:r>
      <w:r w:rsidR="00044F19">
        <w:rPr>
          <w:rFonts w:ascii="Garamond" w:hAnsi="Garamond" w:cstheme="minorBidi"/>
          <w:color w:val="auto"/>
        </w:rPr>
        <w:t>(</w:t>
      </w:r>
      <w:r w:rsidR="00F63EA6">
        <w:rPr>
          <w:rFonts w:ascii="Garamond" w:hAnsi="Garamond" w:cstheme="minorBidi"/>
          <w:color w:val="auto"/>
        </w:rPr>
        <w:t xml:space="preserve">GGHRP I: </w:t>
      </w:r>
      <w:r w:rsidR="00F4326E" w:rsidRPr="00F4326E">
        <w:rPr>
          <w:rFonts w:ascii="Garamond" w:hAnsi="Garamond" w:cstheme="minorBidi"/>
          <w:color w:val="auto"/>
        </w:rPr>
        <w:t>2004-2008)</w:t>
      </w:r>
      <w:r w:rsidR="00B63929">
        <w:rPr>
          <w:rFonts w:ascii="Garamond" w:hAnsi="Garamond" w:cstheme="minorBidi"/>
          <w:color w:val="auto"/>
        </w:rPr>
        <w:t xml:space="preserve">. </w:t>
      </w:r>
      <w:r w:rsidR="005619B2">
        <w:rPr>
          <w:rFonts w:ascii="Garamond" w:hAnsi="Garamond" w:cstheme="minorBidi"/>
          <w:color w:val="auto"/>
        </w:rPr>
        <w:t>A</w:t>
      </w:r>
      <w:r w:rsidR="00B63929">
        <w:rPr>
          <w:rFonts w:ascii="Garamond" w:hAnsi="Garamond" w:cstheme="minorBidi"/>
          <w:color w:val="auto"/>
        </w:rPr>
        <w:t xml:space="preserve">ctivities included capacity building of </w:t>
      </w:r>
      <w:r w:rsidR="00A3399A">
        <w:rPr>
          <w:rFonts w:ascii="Garamond" w:hAnsi="Garamond" w:cstheme="minorBidi"/>
          <w:color w:val="auto"/>
        </w:rPr>
        <w:t xml:space="preserve">CHRAJ </w:t>
      </w:r>
      <w:r w:rsidR="00B63929">
        <w:rPr>
          <w:rFonts w:ascii="Garamond" w:hAnsi="Garamond" w:cstheme="minorBidi"/>
          <w:color w:val="auto"/>
        </w:rPr>
        <w:t xml:space="preserve">staff </w:t>
      </w:r>
      <w:r w:rsidR="00B63929" w:rsidRPr="00F4326E">
        <w:rPr>
          <w:rFonts w:ascii="Garamond" w:hAnsi="Garamond" w:cstheme="minorBidi"/>
          <w:color w:val="auto"/>
        </w:rPr>
        <w:t xml:space="preserve">through design and delivery of prioritized training programmes </w:t>
      </w:r>
      <w:r w:rsidR="00A3399A">
        <w:rPr>
          <w:rFonts w:ascii="Garamond" w:hAnsi="Garamond" w:cstheme="minorBidi"/>
          <w:color w:val="auto"/>
        </w:rPr>
        <w:t xml:space="preserve">including </w:t>
      </w:r>
      <w:r w:rsidR="00B63929" w:rsidRPr="00F4326E">
        <w:rPr>
          <w:rFonts w:ascii="Garamond" w:hAnsi="Garamond" w:cstheme="minorBidi"/>
          <w:color w:val="auto"/>
        </w:rPr>
        <w:t>development of specialised skills; upgrad</w:t>
      </w:r>
      <w:r w:rsidR="00B63929">
        <w:rPr>
          <w:rFonts w:ascii="Garamond" w:hAnsi="Garamond" w:cstheme="minorBidi"/>
          <w:color w:val="auto"/>
        </w:rPr>
        <w:t xml:space="preserve">ing </w:t>
      </w:r>
      <w:r w:rsidR="00B63929" w:rsidRPr="00F4326E">
        <w:rPr>
          <w:rFonts w:ascii="Garamond" w:hAnsi="Garamond" w:cstheme="minorBidi"/>
          <w:color w:val="auto"/>
        </w:rPr>
        <w:t>and refurbish</w:t>
      </w:r>
      <w:r w:rsidR="00B63929">
        <w:rPr>
          <w:rFonts w:ascii="Garamond" w:hAnsi="Garamond" w:cstheme="minorBidi"/>
          <w:color w:val="auto"/>
        </w:rPr>
        <w:t xml:space="preserve">ing </w:t>
      </w:r>
      <w:r w:rsidR="00B63929" w:rsidRPr="00F4326E">
        <w:rPr>
          <w:rFonts w:ascii="Garamond" w:hAnsi="Garamond" w:cstheme="minorBidi"/>
          <w:color w:val="auto"/>
        </w:rPr>
        <w:t xml:space="preserve"> </w:t>
      </w:r>
      <w:r w:rsidR="00624EB3">
        <w:rPr>
          <w:rFonts w:ascii="Garamond" w:hAnsi="Garamond" w:cstheme="minorBidi"/>
          <w:color w:val="auto"/>
        </w:rPr>
        <w:t xml:space="preserve">of </w:t>
      </w:r>
      <w:r w:rsidR="00B63929" w:rsidRPr="00F4326E">
        <w:rPr>
          <w:rFonts w:ascii="Garamond" w:hAnsi="Garamond" w:cstheme="minorBidi"/>
          <w:color w:val="auto"/>
        </w:rPr>
        <w:t>structures</w:t>
      </w:r>
      <w:r w:rsidR="00A3399A">
        <w:rPr>
          <w:rFonts w:ascii="Garamond" w:hAnsi="Garamond" w:cstheme="minorBidi"/>
          <w:color w:val="auto"/>
        </w:rPr>
        <w:t xml:space="preserve"> at regional and district level</w:t>
      </w:r>
      <w:r w:rsidR="00B63929" w:rsidRPr="00F4326E">
        <w:rPr>
          <w:rFonts w:ascii="Garamond" w:hAnsi="Garamond" w:cstheme="minorBidi"/>
          <w:color w:val="auto"/>
        </w:rPr>
        <w:t>;</w:t>
      </w:r>
      <w:r w:rsidR="00B63929">
        <w:rPr>
          <w:rFonts w:ascii="Garamond" w:hAnsi="Garamond" w:cstheme="minorBidi"/>
          <w:color w:val="auto"/>
        </w:rPr>
        <w:t xml:space="preserve"> </w:t>
      </w:r>
      <w:r w:rsidR="00B63929" w:rsidRPr="00F4326E">
        <w:rPr>
          <w:rFonts w:ascii="Garamond" w:hAnsi="Garamond" w:cstheme="minorBidi"/>
          <w:color w:val="auto"/>
        </w:rPr>
        <w:t>promot</w:t>
      </w:r>
      <w:r w:rsidR="00B63929">
        <w:rPr>
          <w:rFonts w:ascii="Garamond" w:hAnsi="Garamond" w:cstheme="minorBidi"/>
          <w:color w:val="auto"/>
        </w:rPr>
        <w:t xml:space="preserve">ing </w:t>
      </w:r>
      <w:r w:rsidR="00B63929" w:rsidRPr="00F4326E">
        <w:rPr>
          <w:rFonts w:ascii="Garamond" w:hAnsi="Garamond" w:cstheme="minorBidi"/>
          <w:color w:val="auto"/>
        </w:rPr>
        <w:t>gender equality through prioritized interventions</w:t>
      </w:r>
      <w:r w:rsidR="00D906AB">
        <w:rPr>
          <w:rFonts w:ascii="Garamond" w:hAnsi="Garamond" w:cstheme="minorBidi"/>
          <w:color w:val="auto"/>
        </w:rPr>
        <w:t>,</w:t>
      </w:r>
      <w:r w:rsidR="00B63929" w:rsidRPr="00F4326E">
        <w:rPr>
          <w:rFonts w:ascii="Garamond" w:hAnsi="Garamond" w:cstheme="minorBidi"/>
          <w:color w:val="auto"/>
        </w:rPr>
        <w:t xml:space="preserve"> including adjudication, mediation and public information; and improv</w:t>
      </w:r>
      <w:r w:rsidR="00B63929">
        <w:rPr>
          <w:rFonts w:ascii="Garamond" w:hAnsi="Garamond" w:cstheme="minorBidi"/>
          <w:color w:val="auto"/>
        </w:rPr>
        <w:t>ing</w:t>
      </w:r>
      <w:r w:rsidR="00624EB3">
        <w:rPr>
          <w:rFonts w:ascii="Garamond" w:hAnsi="Garamond" w:cstheme="minorBidi"/>
          <w:color w:val="auto"/>
        </w:rPr>
        <w:t xml:space="preserve"> CHRAJ’s </w:t>
      </w:r>
      <w:r w:rsidR="00B63929">
        <w:rPr>
          <w:rFonts w:ascii="Garamond" w:hAnsi="Garamond" w:cstheme="minorBidi"/>
          <w:color w:val="auto"/>
        </w:rPr>
        <w:t>ins</w:t>
      </w:r>
      <w:r w:rsidR="00B63929" w:rsidRPr="00F4326E">
        <w:rPr>
          <w:rFonts w:ascii="Garamond" w:hAnsi="Garamond" w:cstheme="minorBidi"/>
          <w:color w:val="auto"/>
        </w:rPr>
        <w:t>titutional image</w:t>
      </w:r>
      <w:r w:rsidR="00D906AB">
        <w:rPr>
          <w:rFonts w:ascii="Garamond" w:hAnsi="Garamond" w:cstheme="minorBidi"/>
          <w:color w:val="auto"/>
        </w:rPr>
        <w:t>,</w:t>
      </w:r>
      <w:r w:rsidR="00B63929" w:rsidRPr="00F4326E">
        <w:rPr>
          <w:rFonts w:ascii="Garamond" w:hAnsi="Garamond" w:cstheme="minorBidi"/>
          <w:color w:val="auto"/>
        </w:rPr>
        <w:t xml:space="preserve"> and public confidence in </w:t>
      </w:r>
      <w:r w:rsidR="00A3399A">
        <w:rPr>
          <w:rFonts w:ascii="Garamond" w:hAnsi="Garamond" w:cstheme="minorBidi"/>
          <w:color w:val="auto"/>
        </w:rPr>
        <w:t>CHRAJ</w:t>
      </w:r>
      <w:r w:rsidR="00B63929" w:rsidRPr="00F4326E">
        <w:rPr>
          <w:rFonts w:ascii="Garamond" w:hAnsi="Garamond" w:cstheme="minorBidi"/>
          <w:color w:val="auto"/>
        </w:rPr>
        <w:t>.</w:t>
      </w:r>
      <w:r w:rsidR="003673A9" w:rsidRPr="003673A9">
        <w:rPr>
          <w:rFonts w:ascii="Garamond" w:hAnsi="Garamond"/>
        </w:rPr>
        <w:t xml:space="preserve"> </w:t>
      </w:r>
      <w:r w:rsidR="003673A9">
        <w:rPr>
          <w:rFonts w:ascii="Garamond" w:hAnsi="Garamond"/>
        </w:rPr>
        <w:t xml:space="preserve">A key feature of </w:t>
      </w:r>
      <w:r w:rsidR="00A3399A">
        <w:rPr>
          <w:rFonts w:ascii="Garamond" w:hAnsi="Garamond"/>
        </w:rPr>
        <w:t xml:space="preserve">this programme </w:t>
      </w:r>
      <w:r w:rsidR="003673A9" w:rsidRPr="00624EB3">
        <w:rPr>
          <w:rFonts w:ascii="Garamond" w:hAnsi="Garamond"/>
        </w:rPr>
        <w:t>support</w:t>
      </w:r>
      <w:r w:rsidR="003673A9">
        <w:rPr>
          <w:rFonts w:ascii="Garamond" w:hAnsi="Garamond"/>
        </w:rPr>
        <w:t xml:space="preserve"> was the</w:t>
      </w:r>
      <w:r w:rsidR="00A3399A">
        <w:rPr>
          <w:rFonts w:ascii="Garamond" w:hAnsi="Garamond"/>
        </w:rPr>
        <w:t xml:space="preserve"> p</w:t>
      </w:r>
      <w:r w:rsidR="003673A9" w:rsidRPr="00624EB3">
        <w:rPr>
          <w:rFonts w:ascii="Garamond" w:hAnsi="Garamond"/>
        </w:rPr>
        <w:t xml:space="preserve">rofessional exchanges and </w:t>
      </w:r>
      <w:r w:rsidR="003673A9">
        <w:rPr>
          <w:rFonts w:ascii="Garamond" w:hAnsi="Garamond"/>
        </w:rPr>
        <w:t xml:space="preserve">continuous </w:t>
      </w:r>
      <w:r w:rsidR="003673A9" w:rsidRPr="00624EB3">
        <w:rPr>
          <w:rFonts w:ascii="Garamond" w:hAnsi="Garamond" w:cstheme="minorBidi"/>
        </w:rPr>
        <w:t>institutional</w:t>
      </w:r>
      <w:r w:rsidR="003673A9">
        <w:rPr>
          <w:rFonts w:ascii="Garamond" w:hAnsi="Garamond"/>
        </w:rPr>
        <w:t>/</w:t>
      </w:r>
      <w:r w:rsidR="003673A9" w:rsidRPr="00624EB3">
        <w:rPr>
          <w:rFonts w:ascii="Garamond" w:hAnsi="Garamond"/>
        </w:rPr>
        <w:t xml:space="preserve">technical </w:t>
      </w:r>
      <w:r w:rsidR="003673A9" w:rsidRPr="00624EB3">
        <w:rPr>
          <w:rFonts w:ascii="Garamond" w:hAnsi="Garamond" w:cstheme="minorBidi"/>
        </w:rPr>
        <w:t xml:space="preserve">mentoring from </w:t>
      </w:r>
      <w:r w:rsidR="003673A9" w:rsidRPr="00624EB3">
        <w:rPr>
          <w:rFonts w:ascii="Garamond" w:hAnsi="Garamond"/>
        </w:rPr>
        <w:t xml:space="preserve">the </w:t>
      </w:r>
      <w:r w:rsidR="003673A9" w:rsidRPr="00624EB3">
        <w:rPr>
          <w:rFonts w:ascii="Garamond" w:hAnsi="Garamond" w:cstheme="minorBidi"/>
          <w:color w:val="auto"/>
        </w:rPr>
        <w:t>Danish Ombudsman</w:t>
      </w:r>
      <w:r w:rsidR="00A3399A">
        <w:rPr>
          <w:rFonts w:ascii="Garamond" w:hAnsi="Garamond" w:cstheme="minorBidi"/>
          <w:color w:val="auto"/>
        </w:rPr>
        <w:t xml:space="preserve"> to CHRAJ</w:t>
      </w:r>
      <w:r w:rsidR="003673A9" w:rsidRPr="00624EB3">
        <w:rPr>
          <w:rFonts w:ascii="Garamond" w:hAnsi="Garamond"/>
        </w:rPr>
        <w:t>.</w:t>
      </w:r>
      <w:r w:rsidR="00076C5E">
        <w:rPr>
          <w:rFonts w:ascii="Garamond" w:hAnsi="Garamond"/>
        </w:rPr>
        <w:t xml:space="preserve"> </w:t>
      </w:r>
    </w:p>
    <w:p w:rsidR="00F4326E" w:rsidRDefault="00F4326E" w:rsidP="00F4326E">
      <w:pPr>
        <w:pStyle w:val="Default"/>
        <w:jc w:val="both"/>
        <w:rPr>
          <w:rFonts w:ascii="Garamond" w:hAnsi="Garamond" w:cstheme="minorBidi"/>
          <w:color w:val="auto"/>
        </w:rPr>
      </w:pPr>
    </w:p>
    <w:p w:rsidR="00877E57" w:rsidRDefault="0000512D" w:rsidP="00877E57">
      <w:pPr>
        <w:pStyle w:val="Default"/>
        <w:jc w:val="both"/>
        <w:rPr>
          <w:rFonts w:ascii="Garamond" w:hAnsi="Garamond" w:cstheme="minorBidi"/>
          <w:color w:val="auto"/>
        </w:rPr>
      </w:pPr>
      <w:r>
        <w:rPr>
          <w:rFonts w:ascii="Garamond" w:hAnsi="Garamond" w:cstheme="minorBidi"/>
          <w:color w:val="auto"/>
        </w:rPr>
        <w:t>The</w:t>
      </w:r>
      <w:r w:rsidR="00046DBB">
        <w:rPr>
          <w:rFonts w:ascii="Garamond" w:hAnsi="Garamond" w:cstheme="minorBidi"/>
          <w:color w:val="auto"/>
        </w:rPr>
        <w:t xml:space="preserve"> </w:t>
      </w:r>
      <w:r w:rsidR="007D6723">
        <w:rPr>
          <w:rFonts w:ascii="Garamond" w:hAnsi="Garamond" w:cstheme="minorBidi"/>
          <w:color w:val="auto"/>
        </w:rPr>
        <w:t>second phase of the G</w:t>
      </w:r>
      <w:r w:rsidR="00F4326E" w:rsidRPr="00F4326E">
        <w:rPr>
          <w:rFonts w:ascii="Garamond" w:hAnsi="Garamond" w:cstheme="minorBidi"/>
          <w:color w:val="auto"/>
        </w:rPr>
        <w:t xml:space="preserve">ood Governance and Human Rights Programme </w:t>
      </w:r>
      <w:r w:rsidR="007D6723">
        <w:rPr>
          <w:rFonts w:ascii="Garamond" w:hAnsi="Garamond" w:cstheme="minorBidi"/>
          <w:color w:val="auto"/>
        </w:rPr>
        <w:t>(</w:t>
      </w:r>
      <w:r w:rsidR="00F63EA6">
        <w:rPr>
          <w:rFonts w:ascii="Garamond" w:hAnsi="Garamond" w:cstheme="minorBidi"/>
          <w:color w:val="auto"/>
        </w:rPr>
        <w:t xml:space="preserve">GGHRP II: </w:t>
      </w:r>
      <w:r w:rsidR="00F4326E" w:rsidRPr="00F4326E">
        <w:rPr>
          <w:rFonts w:ascii="Garamond" w:hAnsi="Garamond" w:cstheme="minorBidi"/>
          <w:color w:val="auto"/>
        </w:rPr>
        <w:t>2009-2013)</w:t>
      </w:r>
      <w:r>
        <w:rPr>
          <w:rFonts w:ascii="Garamond" w:hAnsi="Garamond" w:cstheme="minorBidi"/>
          <w:color w:val="auto"/>
        </w:rPr>
        <w:t xml:space="preserve"> continued to provide support to CHRAJ</w:t>
      </w:r>
      <w:r w:rsidR="00046DBB">
        <w:rPr>
          <w:rFonts w:ascii="Garamond" w:hAnsi="Garamond" w:cstheme="minorBidi"/>
          <w:color w:val="auto"/>
        </w:rPr>
        <w:t xml:space="preserve">. Main activities included </w:t>
      </w:r>
      <w:r w:rsidR="00877E57">
        <w:rPr>
          <w:rFonts w:ascii="Garamond" w:hAnsi="Garamond" w:cstheme="minorBidi"/>
          <w:color w:val="auto"/>
        </w:rPr>
        <w:t xml:space="preserve">building CHRAJ’s capacity to deliver </w:t>
      </w:r>
      <w:r w:rsidR="00877E57" w:rsidRPr="00172EC9">
        <w:rPr>
          <w:rFonts w:ascii="Garamond" w:hAnsi="Garamond" w:cstheme="minorBidi"/>
          <w:color w:val="auto"/>
        </w:rPr>
        <w:t>on its constitutional mandate</w:t>
      </w:r>
      <w:r w:rsidR="00877E57">
        <w:rPr>
          <w:rFonts w:ascii="Garamond" w:hAnsi="Garamond" w:cstheme="minorBidi"/>
          <w:color w:val="auto"/>
        </w:rPr>
        <w:t xml:space="preserve">; developing </w:t>
      </w:r>
      <w:r w:rsidR="000763DC">
        <w:rPr>
          <w:rFonts w:ascii="Garamond" w:hAnsi="Garamond" w:cstheme="minorBidi"/>
          <w:color w:val="auto"/>
        </w:rPr>
        <w:t xml:space="preserve">and implementing </w:t>
      </w:r>
      <w:r w:rsidR="00C92B6F">
        <w:rPr>
          <w:rFonts w:ascii="Garamond" w:hAnsi="Garamond" w:cstheme="minorBidi"/>
          <w:color w:val="auto"/>
        </w:rPr>
        <w:t>a s</w:t>
      </w:r>
      <w:r w:rsidR="00877E57" w:rsidRPr="00172EC9">
        <w:rPr>
          <w:rFonts w:ascii="Garamond" w:hAnsi="Garamond" w:cstheme="minorBidi"/>
          <w:color w:val="auto"/>
        </w:rPr>
        <w:t>trategic plan</w:t>
      </w:r>
      <w:r w:rsidR="000763DC">
        <w:rPr>
          <w:rFonts w:ascii="Garamond" w:hAnsi="Garamond" w:cstheme="minorBidi"/>
          <w:color w:val="auto"/>
        </w:rPr>
        <w:t xml:space="preserve"> for CHRAJ</w:t>
      </w:r>
      <w:r w:rsidR="00A3399A">
        <w:rPr>
          <w:rFonts w:ascii="Garamond" w:hAnsi="Garamond" w:cstheme="minorBidi"/>
          <w:color w:val="auto"/>
        </w:rPr>
        <w:t xml:space="preserve"> (2011-2015)</w:t>
      </w:r>
      <w:r w:rsidR="00C92B6F">
        <w:rPr>
          <w:rFonts w:ascii="Garamond" w:hAnsi="Garamond" w:cstheme="minorBidi"/>
          <w:color w:val="auto"/>
        </w:rPr>
        <w:t xml:space="preserve">, implementing professional and specialised skills training for staff based on CHRAJ’s comprehensive training policy; improving </w:t>
      </w:r>
      <w:r w:rsidR="00877E57" w:rsidRPr="00172EC9">
        <w:rPr>
          <w:rFonts w:ascii="Garamond" w:hAnsi="Garamond" w:cstheme="minorBidi"/>
          <w:color w:val="auto"/>
        </w:rPr>
        <w:t xml:space="preserve">working and user environment in </w:t>
      </w:r>
      <w:r w:rsidR="00C92B6F">
        <w:rPr>
          <w:rFonts w:ascii="Garamond" w:hAnsi="Garamond" w:cstheme="minorBidi"/>
          <w:color w:val="auto"/>
        </w:rPr>
        <w:t xml:space="preserve">all 10 </w:t>
      </w:r>
      <w:r w:rsidR="00877E57" w:rsidRPr="00172EC9">
        <w:rPr>
          <w:rFonts w:ascii="Garamond" w:hAnsi="Garamond" w:cstheme="minorBidi"/>
          <w:color w:val="auto"/>
        </w:rPr>
        <w:t xml:space="preserve">regional </w:t>
      </w:r>
      <w:r w:rsidR="00C92B6F">
        <w:rPr>
          <w:rFonts w:ascii="Garamond" w:hAnsi="Garamond" w:cstheme="minorBidi"/>
          <w:color w:val="auto"/>
        </w:rPr>
        <w:t xml:space="preserve">offices </w:t>
      </w:r>
      <w:r w:rsidR="00877E57" w:rsidRPr="00172EC9">
        <w:rPr>
          <w:rFonts w:ascii="Garamond" w:hAnsi="Garamond" w:cstheme="minorBidi"/>
          <w:color w:val="auto"/>
        </w:rPr>
        <w:t>and selected district offices</w:t>
      </w:r>
      <w:r w:rsidR="00C92B6F">
        <w:rPr>
          <w:rFonts w:ascii="Garamond" w:hAnsi="Garamond" w:cstheme="minorBidi"/>
          <w:color w:val="auto"/>
        </w:rPr>
        <w:t>; i</w:t>
      </w:r>
      <w:r w:rsidR="00877E57">
        <w:rPr>
          <w:rFonts w:ascii="Garamond" w:hAnsi="Garamond" w:cstheme="minorBidi"/>
          <w:color w:val="auto"/>
        </w:rPr>
        <w:t>mproving systems and processes to ensure high standard of operations</w:t>
      </w:r>
      <w:r w:rsidR="00C92B6F">
        <w:rPr>
          <w:rFonts w:ascii="Garamond" w:hAnsi="Garamond" w:cstheme="minorBidi"/>
          <w:color w:val="auto"/>
        </w:rPr>
        <w:t xml:space="preserve">; increasing </w:t>
      </w:r>
      <w:r w:rsidR="00877E57">
        <w:rPr>
          <w:rFonts w:ascii="Garamond" w:hAnsi="Garamond" w:cstheme="minorBidi"/>
          <w:color w:val="auto"/>
        </w:rPr>
        <w:t>public education on CHRAJ’s role and access to its services</w:t>
      </w:r>
      <w:r w:rsidR="00C92B6F">
        <w:rPr>
          <w:rFonts w:ascii="Garamond" w:hAnsi="Garamond" w:cstheme="minorBidi"/>
          <w:color w:val="auto"/>
        </w:rPr>
        <w:t>; and increasing awareness of gender issues through implementation of the n</w:t>
      </w:r>
      <w:r w:rsidR="00877E57" w:rsidRPr="00172EC9">
        <w:rPr>
          <w:rFonts w:ascii="Garamond" w:hAnsi="Garamond" w:cstheme="minorBidi"/>
          <w:color w:val="auto"/>
        </w:rPr>
        <w:t>ational gender-equality programme</w:t>
      </w:r>
      <w:r w:rsidR="00C92B6F">
        <w:rPr>
          <w:rFonts w:ascii="Garamond" w:hAnsi="Garamond" w:cstheme="minorBidi"/>
          <w:color w:val="auto"/>
        </w:rPr>
        <w:t xml:space="preserve">. </w:t>
      </w:r>
    </w:p>
    <w:p w:rsidR="00172EC9" w:rsidRDefault="00172EC9" w:rsidP="00F4326E">
      <w:pPr>
        <w:pStyle w:val="Default"/>
        <w:jc w:val="both"/>
        <w:rPr>
          <w:rFonts w:ascii="Garamond" w:hAnsi="Garamond" w:cstheme="minorBidi"/>
          <w:color w:val="auto"/>
        </w:rPr>
      </w:pPr>
    </w:p>
    <w:p w:rsidR="00F4326E" w:rsidRDefault="00A3399A" w:rsidP="00F4326E">
      <w:pPr>
        <w:pStyle w:val="Default"/>
        <w:jc w:val="both"/>
        <w:rPr>
          <w:rFonts w:ascii="Garamond" w:hAnsi="Garamond" w:cstheme="minorBidi"/>
          <w:color w:val="auto"/>
        </w:rPr>
      </w:pPr>
      <w:proofErr w:type="spellStart"/>
      <w:r>
        <w:rPr>
          <w:rFonts w:ascii="Garamond" w:hAnsi="Garamond" w:cstheme="minorBidi"/>
          <w:color w:val="auto"/>
        </w:rPr>
        <w:t>Danida’s</w:t>
      </w:r>
      <w:proofErr w:type="spellEnd"/>
      <w:r>
        <w:rPr>
          <w:rFonts w:ascii="Garamond" w:hAnsi="Garamond" w:cstheme="minorBidi"/>
          <w:color w:val="auto"/>
        </w:rPr>
        <w:t xml:space="preserve"> </w:t>
      </w:r>
      <w:r w:rsidR="000763DC">
        <w:rPr>
          <w:rFonts w:ascii="Garamond" w:hAnsi="Garamond" w:cstheme="minorBidi"/>
          <w:color w:val="auto"/>
        </w:rPr>
        <w:t xml:space="preserve">final phase of support to CHRAJ was through the </w:t>
      </w:r>
      <w:r w:rsidR="00F4326E" w:rsidRPr="00F4326E">
        <w:rPr>
          <w:rFonts w:ascii="Garamond" w:hAnsi="Garamond" w:cstheme="minorBidi"/>
          <w:color w:val="auto"/>
        </w:rPr>
        <w:t>Right to Service</w:t>
      </w:r>
      <w:r w:rsidR="000763DC">
        <w:rPr>
          <w:rFonts w:ascii="Garamond" w:hAnsi="Garamond" w:cstheme="minorBidi"/>
          <w:color w:val="auto"/>
        </w:rPr>
        <w:t>s</w:t>
      </w:r>
      <w:r w:rsidR="00F4326E" w:rsidRPr="00F4326E">
        <w:rPr>
          <w:rFonts w:ascii="Garamond" w:hAnsi="Garamond" w:cstheme="minorBidi"/>
          <w:color w:val="auto"/>
        </w:rPr>
        <w:t xml:space="preserve"> &amp; Good Governance Programme (</w:t>
      </w:r>
      <w:r w:rsidR="00F63EA6">
        <w:rPr>
          <w:rFonts w:ascii="Garamond" w:hAnsi="Garamond" w:cstheme="minorBidi"/>
          <w:color w:val="auto"/>
        </w:rPr>
        <w:t xml:space="preserve">RSGGP: </w:t>
      </w:r>
      <w:r w:rsidR="00F4326E" w:rsidRPr="00F4326E">
        <w:rPr>
          <w:rFonts w:ascii="Garamond" w:hAnsi="Garamond" w:cstheme="minorBidi"/>
          <w:color w:val="auto"/>
        </w:rPr>
        <w:t>2014-2018)</w:t>
      </w:r>
      <w:r w:rsidR="0026094D">
        <w:rPr>
          <w:rFonts w:ascii="Garamond" w:hAnsi="Garamond" w:cstheme="minorBidi"/>
          <w:color w:val="auto"/>
        </w:rPr>
        <w:t xml:space="preserve"> which primarily focussed on implementation of activities in CHRAJ’s Strategic Plan (2011-2015)</w:t>
      </w:r>
      <w:r w:rsidR="000763DC">
        <w:rPr>
          <w:rFonts w:ascii="Garamond" w:hAnsi="Garamond" w:cstheme="minorBidi"/>
          <w:color w:val="auto"/>
        </w:rPr>
        <w:t xml:space="preserve">. </w:t>
      </w:r>
      <w:r w:rsidR="0026094D">
        <w:rPr>
          <w:rFonts w:ascii="Garamond" w:hAnsi="Garamond" w:cstheme="minorBidi"/>
          <w:color w:val="auto"/>
        </w:rPr>
        <w:t xml:space="preserve">These included </w:t>
      </w:r>
      <w:r w:rsidR="00F4326E" w:rsidRPr="00F4326E">
        <w:rPr>
          <w:rFonts w:ascii="Garamond" w:hAnsi="Garamond" w:cstheme="minorBidi"/>
          <w:color w:val="auto"/>
        </w:rPr>
        <w:t>strengthen</w:t>
      </w:r>
      <w:r w:rsidR="0026094D">
        <w:rPr>
          <w:rFonts w:ascii="Garamond" w:hAnsi="Garamond" w:cstheme="minorBidi"/>
          <w:color w:val="auto"/>
        </w:rPr>
        <w:t>ing</w:t>
      </w:r>
      <w:r w:rsidR="00F4326E" w:rsidRPr="00F4326E">
        <w:rPr>
          <w:rFonts w:ascii="Garamond" w:hAnsi="Garamond" w:cstheme="minorBidi"/>
          <w:color w:val="auto"/>
        </w:rPr>
        <w:t xml:space="preserve"> CHRAJ’s capacity to deliver on it</w:t>
      </w:r>
      <w:r w:rsidR="0026094D">
        <w:rPr>
          <w:rFonts w:ascii="Garamond" w:hAnsi="Garamond" w:cstheme="minorBidi"/>
          <w:color w:val="auto"/>
        </w:rPr>
        <w:t>s</w:t>
      </w:r>
      <w:r w:rsidR="00F4326E" w:rsidRPr="00F4326E">
        <w:rPr>
          <w:rFonts w:ascii="Garamond" w:hAnsi="Garamond" w:cstheme="minorBidi"/>
          <w:color w:val="auto"/>
        </w:rPr>
        <w:t xml:space="preserve"> triple </w:t>
      </w:r>
      <w:r w:rsidR="004C159D">
        <w:rPr>
          <w:rFonts w:ascii="Garamond" w:hAnsi="Garamond" w:cstheme="minorBidi"/>
          <w:color w:val="auto"/>
        </w:rPr>
        <w:t xml:space="preserve">constitutional </w:t>
      </w:r>
      <w:r w:rsidR="00F4326E" w:rsidRPr="00F4326E">
        <w:rPr>
          <w:rFonts w:ascii="Garamond" w:hAnsi="Garamond" w:cstheme="minorBidi"/>
          <w:color w:val="auto"/>
        </w:rPr>
        <w:t>mandate of promoting and protecting fundamental human rights and freedoms; promoting fair administration of public services and contribut</w:t>
      </w:r>
      <w:r w:rsidR="0026094D">
        <w:rPr>
          <w:rFonts w:ascii="Garamond" w:hAnsi="Garamond" w:cstheme="minorBidi"/>
          <w:color w:val="auto"/>
        </w:rPr>
        <w:t>ing</w:t>
      </w:r>
      <w:r w:rsidR="00F4326E" w:rsidRPr="00F4326E">
        <w:rPr>
          <w:rFonts w:ascii="Garamond" w:hAnsi="Garamond" w:cstheme="minorBidi"/>
          <w:color w:val="auto"/>
        </w:rPr>
        <w:t xml:space="preserve"> to public demand for better service; and promoting national integrity and combat</w:t>
      </w:r>
      <w:r w:rsidR="0026094D">
        <w:rPr>
          <w:rFonts w:ascii="Garamond" w:hAnsi="Garamond" w:cstheme="minorBidi"/>
          <w:color w:val="auto"/>
        </w:rPr>
        <w:t>ing</w:t>
      </w:r>
      <w:r w:rsidR="00F4326E" w:rsidRPr="00F4326E">
        <w:rPr>
          <w:rFonts w:ascii="Garamond" w:hAnsi="Garamond" w:cstheme="minorBidi"/>
          <w:color w:val="auto"/>
        </w:rPr>
        <w:t xml:space="preserve"> corruption. </w:t>
      </w:r>
      <w:r w:rsidR="0026094D">
        <w:rPr>
          <w:rFonts w:ascii="Garamond" w:hAnsi="Garamond" w:cstheme="minorBidi"/>
          <w:color w:val="auto"/>
        </w:rPr>
        <w:t xml:space="preserve">The </w:t>
      </w:r>
      <w:r w:rsidR="0050199D">
        <w:rPr>
          <w:rFonts w:ascii="Garamond" w:hAnsi="Garamond" w:cstheme="minorBidi"/>
          <w:color w:val="auto"/>
        </w:rPr>
        <w:t xml:space="preserve">programme support </w:t>
      </w:r>
      <w:r w:rsidR="0026094D">
        <w:rPr>
          <w:rFonts w:ascii="Garamond" w:hAnsi="Garamond" w:cstheme="minorBidi"/>
          <w:color w:val="auto"/>
        </w:rPr>
        <w:t xml:space="preserve">was however suspended in </w:t>
      </w:r>
      <w:r w:rsidR="0091397B">
        <w:rPr>
          <w:rFonts w:ascii="Garamond" w:hAnsi="Garamond" w:cstheme="minorBidi"/>
          <w:color w:val="auto"/>
        </w:rPr>
        <w:t xml:space="preserve">April </w:t>
      </w:r>
      <w:r w:rsidR="0026094D">
        <w:rPr>
          <w:rFonts w:ascii="Garamond" w:hAnsi="Garamond" w:cstheme="minorBidi"/>
          <w:color w:val="auto"/>
        </w:rPr>
        <w:t xml:space="preserve">2014 due to corruption allegations levelled against the then Commissioner </w:t>
      </w:r>
      <w:r>
        <w:rPr>
          <w:rFonts w:ascii="Garamond" w:hAnsi="Garamond" w:cstheme="minorBidi"/>
          <w:color w:val="auto"/>
        </w:rPr>
        <w:t>(</w:t>
      </w:r>
      <w:r w:rsidR="00F65BE0">
        <w:rPr>
          <w:rFonts w:ascii="Garamond" w:hAnsi="Garamond" w:cstheme="minorBidi"/>
          <w:color w:val="auto"/>
        </w:rPr>
        <w:t>wh</w:t>
      </w:r>
      <w:r w:rsidR="004C159D">
        <w:rPr>
          <w:rFonts w:ascii="Garamond" w:hAnsi="Garamond" w:cstheme="minorBidi"/>
          <w:color w:val="auto"/>
        </w:rPr>
        <w:t>o was e</w:t>
      </w:r>
      <w:r w:rsidR="00F65BE0">
        <w:rPr>
          <w:rFonts w:ascii="Garamond" w:hAnsi="Garamond" w:cstheme="minorBidi"/>
          <w:color w:val="auto"/>
        </w:rPr>
        <w:t xml:space="preserve">ventually </w:t>
      </w:r>
      <w:r w:rsidR="0026094D">
        <w:rPr>
          <w:rFonts w:ascii="Garamond" w:hAnsi="Garamond" w:cstheme="minorBidi"/>
          <w:color w:val="auto"/>
        </w:rPr>
        <w:t>dismiss</w:t>
      </w:r>
      <w:r w:rsidR="004C159D">
        <w:rPr>
          <w:rFonts w:ascii="Garamond" w:hAnsi="Garamond" w:cstheme="minorBidi"/>
          <w:color w:val="auto"/>
        </w:rPr>
        <w:t xml:space="preserve">ed) </w:t>
      </w:r>
      <w:r w:rsidR="0026094D">
        <w:rPr>
          <w:rFonts w:ascii="Garamond" w:hAnsi="Garamond" w:cstheme="minorBidi"/>
          <w:color w:val="auto"/>
        </w:rPr>
        <w:t>and</w:t>
      </w:r>
      <w:r w:rsidR="0050199D">
        <w:rPr>
          <w:rFonts w:ascii="Garamond" w:hAnsi="Garamond" w:cstheme="minorBidi"/>
          <w:color w:val="auto"/>
        </w:rPr>
        <w:t xml:space="preserve"> audit findings of ineligible and unsupported expenditures by </w:t>
      </w:r>
      <w:r w:rsidR="0050199D" w:rsidRPr="00F4326E">
        <w:rPr>
          <w:rFonts w:ascii="Garamond" w:hAnsi="Garamond" w:cstheme="minorBidi"/>
          <w:color w:val="auto"/>
        </w:rPr>
        <w:t>CHRAJ</w:t>
      </w:r>
      <w:r w:rsidR="0050199D">
        <w:rPr>
          <w:rFonts w:ascii="Garamond" w:hAnsi="Garamond" w:cstheme="minorBidi"/>
          <w:color w:val="auto"/>
        </w:rPr>
        <w:t xml:space="preserve">. CHRAJ’s failure to make the necessary refund </w:t>
      </w:r>
      <w:r>
        <w:rPr>
          <w:rFonts w:ascii="Garamond" w:hAnsi="Garamond" w:cstheme="minorBidi"/>
          <w:color w:val="auto"/>
        </w:rPr>
        <w:t xml:space="preserve">of the ineligible and unsupported expenditures </w:t>
      </w:r>
      <w:r w:rsidR="0050199D">
        <w:rPr>
          <w:rFonts w:ascii="Garamond" w:hAnsi="Garamond" w:cstheme="minorBidi"/>
          <w:color w:val="auto"/>
        </w:rPr>
        <w:t>despite several requests from Danida</w:t>
      </w:r>
      <w:r w:rsidR="00F65BE0">
        <w:rPr>
          <w:rFonts w:ascii="Garamond" w:hAnsi="Garamond" w:cstheme="minorBidi"/>
          <w:color w:val="auto"/>
        </w:rPr>
        <w:t>, among others,</w:t>
      </w:r>
      <w:r w:rsidR="0050199D">
        <w:rPr>
          <w:rFonts w:ascii="Garamond" w:hAnsi="Garamond" w:cstheme="minorBidi"/>
          <w:color w:val="auto"/>
        </w:rPr>
        <w:t xml:space="preserve"> eventually led to the termination of the support in </w:t>
      </w:r>
      <w:r w:rsidR="00F4326E" w:rsidRPr="00F4326E">
        <w:rPr>
          <w:rFonts w:ascii="Garamond" w:hAnsi="Garamond" w:cstheme="minorBidi"/>
          <w:color w:val="auto"/>
        </w:rPr>
        <w:t>early 2018.</w:t>
      </w:r>
      <w:r w:rsidR="0091397B">
        <w:rPr>
          <w:rFonts w:ascii="Garamond" w:hAnsi="Garamond" w:cstheme="minorBidi"/>
          <w:color w:val="auto"/>
        </w:rPr>
        <w:t xml:space="preserve"> Later, CHRAJ refunded the entire amount requested based on audit reports.</w:t>
      </w:r>
    </w:p>
    <w:p w:rsidR="0091397B" w:rsidRPr="00F4326E" w:rsidRDefault="0091397B" w:rsidP="00F4326E">
      <w:pPr>
        <w:pStyle w:val="Default"/>
        <w:jc w:val="both"/>
        <w:rPr>
          <w:rFonts w:ascii="Garamond" w:hAnsi="Garamond" w:cstheme="minorBidi"/>
          <w:color w:val="auto"/>
        </w:rPr>
      </w:pPr>
    </w:p>
    <w:p w:rsidR="00F4326E" w:rsidRPr="003737FD" w:rsidRDefault="00F4326E" w:rsidP="00F4326E">
      <w:pPr>
        <w:pStyle w:val="Default"/>
        <w:jc w:val="both"/>
        <w:rPr>
          <w:rFonts w:ascii="Garamond" w:hAnsi="Garamond" w:cstheme="minorBidi"/>
          <w:b/>
          <w:color w:val="auto"/>
        </w:rPr>
      </w:pPr>
      <w:r w:rsidRPr="003737FD">
        <w:rPr>
          <w:rFonts w:ascii="Garamond" w:hAnsi="Garamond" w:cstheme="minorBidi"/>
          <w:b/>
          <w:color w:val="auto"/>
        </w:rPr>
        <w:lastRenderedPageBreak/>
        <w:t>Results</w:t>
      </w:r>
      <w:r w:rsidR="00F63EA6">
        <w:rPr>
          <w:rFonts w:ascii="Garamond" w:hAnsi="Garamond" w:cstheme="minorBidi"/>
          <w:b/>
          <w:color w:val="auto"/>
        </w:rPr>
        <w:t xml:space="preserve"> and K</w:t>
      </w:r>
      <w:r w:rsidR="00334B24">
        <w:rPr>
          <w:rFonts w:ascii="Garamond" w:hAnsi="Garamond" w:cstheme="minorBidi"/>
          <w:b/>
          <w:color w:val="auto"/>
        </w:rPr>
        <w:t>ey Achievements</w:t>
      </w:r>
      <w:r w:rsidRPr="003737FD">
        <w:rPr>
          <w:rFonts w:ascii="Garamond" w:hAnsi="Garamond" w:cstheme="minorBidi"/>
          <w:b/>
          <w:color w:val="auto"/>
        </w:rPr>
        <w:t>:</w:t>
      </w:r>
    </w:p>
    <w:p w:rsidR="004E620D" w:rsidRPr="004E620D" w:rsidRDefault="00C02802" w:rsidP="004E620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</w:t>
      </w:r>
      <w:r w:rsidRPr="006E083A">
        <w:rPr>
          <w:rFonts w:ascii="Garamond" w:hAnsi="Garamond"/>
          <w:sz w:val="24"/>
          <w:szCs w:val="24"/>
        </w:rPr>
        <w:t xml:space="preserve">Joint Evaluation of the Ghana-Denmark Development Co-operation </w:t>
      </w:r>
      <w:r w:rsidR="00334B24">
        <w:rPr>
          <w:rFonts w:ascii="Garamond" w:hAnsi="Garamond"/>
          <w:sz w:val="24"/>
          <w:szCs w:val="24"/>
        </w:rPr>
        <w:t>(</w:t>
      </w:r>
      <w:r w:rsidRPr="006E083A">
        <w:rPr>
          <w:rFonts w:ascii="Garamond" w:hAnsi="Garamond"/>
          <w:sz w:val="24"/>
          <w:szCs w:val="24"/>
        </w:rPr>
        <w:t>1990</w:t>
      </w:r>
      <w:r w:rsidR="00334B24">
        <w:rPr>
          <w:rFonts w:ascii="Garamond" w:hAnsi="Garamond"/>
          <w:sz w:val="24"/>
          <w:szCs w:val="24"/>
        </w:rPr>
        <w:t>-</w:t>
      </w:r>
      <w:r w:rsidRPr="006E083A">
        <w:rPr>
          <w:rFonts w:ascii="Garamond" w:hAnsi="Garamond"/>
          <w:sz w:val="24"/>
          <w:szCs w:val="24"/>
        </w:rPr>
        <w:t>200</w:t>
      </w:r>
      <w:r>
        <w:rPr>
          <w:rFonts w:ascii="Garamond" w:hAnsi="Garamond"/>
          <w:sz w:val="24"/>
          <w:szCs w:val="24"/>
        </w:rPr>
        <w:t>6</w:t>
      </w:r>
      <w:r w:rsidR="00334B24">
        <w:rPr>
          <w:rFonts w:ascii="Garamond" w:hAnsi="Garamond"/>
          <w:sz w:val="24"/>
          <w:szCs w:val="24"/>
        </w:rPr>
        <w:t xml:space="preserve">) Final </w:t>
      </w:r>
      <w:r w:rsidRPr="006E083A">
        <w:rPr>
          <w:rFonts w:ascii="Garamond" w:hAnsi="Garamond"/>
          <w:sz w:val="24"/>
          <w:szCs w:val="24"/>
        </w:rPr>
        <w:t xml:space="preserve">Thematic Paper on </w:t>
      </w:r>
      <w:r>
        <w:rPr>
          <w:rFonts w:ascii="Garamond" w:hAnsi="Garamond"/>
          <w:sz w:val="24"/>
          <w:szCs w:val="24"/>
        </w:rPr>
        <w:t xml:space="preserve">Good Governance, Human Rights and Democracy found </w:t>
      </w:r>
      <w:proofErr w:type="spellStart"/>
      <w:r>
        <w:rPr>
          <w:rFonts w:ascii="Garamond" w:hAnsi="Garamond"/>
          <w:sz w:val="24"/>
          <w:szCs w:val="24"/>
        </w:rPr>
        <w:t>Danida’s</w:t>
      </w:r>
      <w:proofErr w:type="spellEnd"/>
      <w:r>
        <w:rPr>
          <w:rFonts w:ascii="Garamond" w:hAnsi="Garamond"/>
          <w:sz w:val="24"/>
          <w:szCs w:val="24"/>
        </w:rPr>
        <w:t xml:space="preserve"> support to the good governance and human rights sector to be generally </w:t>
      </w:r>
      <w:proofErr w:type="spellStart"/>
      <w:r w:rsidR="0091397B">
        <w:rPr>
          <w:rFonts w:ascii="Garamond" w:hAnsi="Garamond"/>
          <w:sz w:val="24"/>
          <w:szCs w:val="24"/>
        </w:rPr>
        <w:t>succesful</w:t>
      </w:r>
      <w:proofErr w:type="spellEnd"/>
      <w:r>
        <w:rPr>
          <w:rFonts w:ascii="Garamond" w:hAnsi="Garamond"/>
          <w:sz w:val="24"/>
          <w:szCs w:val="24"/>
        </w:rPr>
        <w:t xml:space="preserve"> and the support to CHRAJ as one of the most satisfactory. Furthermore, the Evaluation noted that</w:t>
      </w:r>
      <w:r w:rsidR="00334B2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334B24">
        <w:rPr>
          <w:rFonts w:ascii="Garamond" w:hAnsi="Garamond"/>
          <w:sz w:val="24"/>
          <w:szCs w:val="24"/>
        </w:rPr>
        <w:t xml:space="preserve">in general, the </w:t>
      </w:r>
      <w:r>
        <w:rPr>
          <w:rFonts w:ascii="Garamond" w:hAnsi="Garamond"/>
          <w:sz w:val="24"/>
          <w:szCs w:val="24"/>
        </w:rPr>
        <w:t>support to c</w:t>
      </w:r>
      <w:r w:rsidRPr="00635C8E">
        <w:rPr>
          <w:rFonts w:ascii="Garamond" w:hAnsi="Garamond"/>
          <w:sz w:val="24"/>
          <w:szCs w:val="24"/>
        </w:rPr>
        <w:t xml:space="preserve">apacity building and institutional building can be lauded as one of </w:t>
      </w:r>
      <w:proofErr w:type="spellStart"/>
      <w:r>
        <w:rPr>
          <w:rFonts w:ascii="Garamond" w:hAnsi="Garamond"/>
          <w:sz w:val="24"/>
          <w:szCs w:val="24"/>
        </w:rPr>
        <w:t>Danida’s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635C8E">
        <w:rPr>
          <w:rFonts w:ascii="Garamond" w:hAnsi="Garamond"/>
          <w:sz w:val="24"/>
          <w:szCs w:val="24"/>
        </w:rPr>
        <w:t xml:space="preserve">strong points. </w:t>
      </w:r>
      <w:r>
        <w:rPr>
          <w:rFonts w:ascii="Garamond" w:hAnsi="Garamond"/>
          <w:sz w:val="24"/>
          <w:szCs w:val="24"/>
        </w:rPr>
        <w:t xml:space="preserve">The </w:t>
      </w:r>
      <w:r w:rsidRPr="00A33E81">
        <w:rPr>
          <w:rFonts w:ascii="Garamond" w:hAnsi="Garamond"/>
          <w:sz w:val="24"/>
          <w:szCs w:val="24"/>
        </w:rPr>
        <w:t>Danida Review of H</w:t>
      </w:r>
      <w:r>
        <w:rPr>
          <w:rFonts w:ascii="Garamond" w:hAnsi="Garamond"/>
          <w:sz w:val="24"/>
          <w:szCs w:val="24"/>
        </w:rPr>
        <w:t>uman Rights and Democratisation (</w:t>
      </w:r>
      <w:r w:rsidRPr="00A33E81">
        <w:rPr>
          <w:rFonts w:ascii="Garamond" w:hAnsi="Garamond"/>
          <w:sz w:val="24"/>
          <w:szCs w:val="24"/>
        </w:rPr>
        <w:t>Feb 1999</w:t>
      </w:r>
      <w:r>
        <w:rPr>
          <w:rFonts w:ascii="Garamond" w:hAnsi="Garamond"/>
          <w:sz w:val="24"/>
          <w:szCs w:val="24"/>
        </w:rPr>
        <w:t xml:space="preserve">) described the </w:t>
      </w:r>
      <w:r w:rsidRPr="00A33E81">
        <w:rPr>
          <w:rFonts w:ascii="Garamond" w:hAnsi="Garamond"/>
          <w:sz w:val="24"/>
          <w:szCs w:val="24"/>
        </w:rPr>
        <w:t>support to C</w:t>
      </w:r>
      <w:r>
        <w:rPr>
          <w:rFonts w:ascii="Garamond" w:hAnsi="Garamond"/>
          <w:sz w:val="24"/>
          <w:szCs w:val="24"/>
        </w:rPr>
        <w:t xml:space="preserve">HRAJ </w:t>
      </w:r>
      <w:r w:rsidRPr="00A33E81">
        <w:rPr>
          <w:rFonts w:ascii="Garamond" w:hAnsi="Garamond"/>
          <w:sz w:val="24"/>
          <w:szCs w:val="24"/>
        </w:rPr>
        <w:t>as</w:t>
      </w:r>
      <w:r>
        <w:rPr>
          <w:rFonts w:ascii="Garamond" w:hAnsi="Garamond"/>
          <w:sz w:val="24"/>
          <w:szCs w:val="24"/>
        </w:rPr>
        <w:t xml:space="preserve"> </w:t>
      </w:r>
      <w:r w:rsidRPr="00A33E81">
        <w:rPr>
          <w:rFonts w:ascii="Garamond" w:hAnsi="Garamond"/>
          <w:sz w:val="24"/>
          <w:szCs w:val="24"/>
        </w:rPr>
        <w:t>an example of strategic and timely support to a key agency.</w:t>
      </w:r>
      <w:r>
        <w:rPr>
          <w:rFonts w:ascii="Garamond" w:hAnsi="Garamond"/>
          <w:sz w:val="24"/>
          <w:szCs w:val="24"/>
        </w:rPr>
        <w:t xml:space="preserve"> </w:t>
      </w:r>
      <w:r w:rsidR="004E620D">
        <w:rPr>
          <w:rFonts w:ascii="Garamond" w:hAnsi="Garamond"/>
          <w:sz w:val="24"/>
          <w:szCs w:val="24"/>
        </w:rPr>
        <w:t>Programme results for the respective programme periods are given as follows:</w:t>
      </w:r>
    </w:p>
    <w:p w:rsidR="00F4326E" w:rsidRDefault="00534349" w:rsidP="004E620D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  <w:u w:val="single"/>
        </w:rPr>
        <w:t xml:space="preserve">GGHRP I: </w:t>
      </w:r>
      <w:r w:rsidR="00F4326E" w:rsidRPr="004E620D">
        <w:rPr>
          <w:rFonts w:ascii="Garamond" w:hAnsi="Garamond"/>
          <w:sz w:val="24"/>
          <w:szCs w:val="24"/>
          <w:u w:val="single"/>
        </w:rPr>
        <w:t>2004-2008</w:t>
      </w:r>
      <w:r w:rsidR="00F4326E" w:rsidRPr="004E620D">
        <w:rPr>
          <w:rFonts w:ascii="Garamond" w:hAnsi="Garamond"/>
          <w:sz w:val="24"/>
          <w:szCs w:val="24"/>
        </w:rPr>
        <w:t>: Manuals for incorporation of human rights education in primary schools developed and introduced to all the teacher seminars in the country</w:t>
      </w:r>
      <w:r>
        <w:rPr>
          <w:rFonts w:ascii="Garamond" w:hAnsi="Garamond"/>
          <w:sz w:val="24"/>
          <w:szCs w:val="24"/>
        </w:rPr>
        <w:t xml:space="preserve">; </w:t>
      </w:r>
      <w:r w:rsidR="00F4326E" w:rsidRPr="004E620D">
        <w:rPr>
          <w:rFonts w:ascii="Garamond" w:hAnsi="Garamond"/>
          <w:sz w:val="24"/>
          <w:szCs w:val="24"/>
        </w:rPr>
        <w:t>80 employees in CHRAJ’s local departments trained in monitoring human rights</w:t>
      </w:r>
      <w:r>
        <w:rPr>
          <w:rFonts w:ascii="Garamond" w:hAnsi="Garamond"/>
          <w:sz w:val="24"/>
          <w:szCs w:val="24"/>
        </w:rPr>
        <w:t>; e</w:t>
      </w:r>
      <w:r w:rsidR="00F4326E" w:rsidRPr="004E620D">
        <w:rPr>
          <w:rFonts w:ascii="Garamond" w:hAnsi="Garamond"/>
          <w:sz w:val="24"/>
          <w:szCs w:val="24"/>
        </w:rPr>
        <w:t>nhanced capacity of CHRAJ to combat corruption</w:t>
      </w:r>
      <w:r>
        <w:rPr>
          <w:rFonts w:ascii="Garamond" w:hAnsi="Garamond"/>
          <w:sz w:val="24"/>
          <w:szCs w:val="24"/>
        </w:rPr>
        <w:t>; i</w:t>
      </w:r>
      <w:r w:rsidR="00F4326E" w:rsidRPr="004E620D">
        <w:rPr>
          <w:rFonts w:ascii="Garamond" w:hAnsi="Garamond"/>
          <w:sz w:val="24"/>
          <w:szCs w:val="24"/>
        </w:rPr>
        <w:t xml:space="preserve">mproved case management system for </w:t>
      </w:r>
      <w:r w:rsidR="003737FD" w:rsidRPr="004E620D">
        <w:rPr>
          <w:rFonts w:ascii="Garamond" w:hAnsi="Garamond"/>
          <w:sz w:val="24"/>
          <w:szCs w:val="24"/>
        </w:rPr>
        <w:t>C</w:t>
      </w:r>
      <w:r w:rsidR="00F4326E" w:rsidRPr="004E620D">
        <w:rPr>
          <w:rFonts w:ascii="Garamond" w:hAnsi="Garamond"/>
          <w:sz w:val="24"/>
          <w:szCs w:val="24"/>
        </w:rPr>
        <w:t xml:space="preserve">HRAJ </w:t>
      </w:r>
      <w:r w:rsidR="003737FD" w:rsidRPr="004E620D">
        <w:rPr>
          <w:rFonts w:ascii="Garamond" w:hAnsi="Garamond"/>
          <w:sz w:val="24"/>
          <w:szCs w:val="24"/>
        </w:rPr>
        <w:t>h</w:t>
      </w:r>
      <w:r w:rsidR="00F4326E" w:rsidRPr="004E620D">
        <w:rPr>
          <w:rFonts w:ascii="Garamond" w:hAnsi="Garamond"/>
          <w:sz w:val="24"/>
          <w:szCs w:val="24"/>
        </w:rPr>
        <w:t xml:space="preserve">ead </w:t>
      </w:r>
      <w:r w:rsidR="003737FD" w:rsidRPr="004E620D">
        <w:rPr>
          <w:rFonts w:ascii="Garamond" w:hAnsi="Garamond"/>
          <w:sz w:val="24"/>
          <w:szCs w:val="24"/>
        </w:rPr>
        <w:t>o</w:t>
      </w:r>
      <w:r w:rsidR="00F4326E" w:rsidRPr="004E620D">
        <w:rPr>
          <w:rFonts w:ascii="Garamond" w:hAnsi="Garamond"/>
          <w:sz w:val="24"/>
          <w:szCs w:val="24"/>
        </w:rPr>
        <w:t>ffice</w:t>
      </w:r>
      <w:r>
        <w:rPr>
          <w:rFonts w:ascii="Garamond" w:hAnsi="Garamond"/>
          <w:sz w:val="24"/>
          <w:szCs w:val="24"/>
        </w:rPr>
        <w:t xml:space="preserve">; and enhanced </w:t>
      </w:r>
      <w:r w:rsidR="004C159D">
        <w:rPr>
          <w:rFonts w:ascii="Garamond" w:hAnsi="Garamond"/>
          <w:sz w:val="24"/>
          <w:szCs w:val="24"/>
        </w:rPr>
        <w:t>information technology (</w:t>
      </w:r>
      <w:r w:rsidR="00F4326E" w:rsidRPr="004E620D">
        <w:rPr>
          <w:rFonts w:ascii="Garamond" w:hAnsi="Garamond"/>
          <w:sz w:val="24"/>
          <w:szCs w:val="24"/>
        </w:rPr>
        <w:t>IT</w:t>
      </w:r>
      <w:r w:rsidR="004C159D">
        <w:rPr>
          <w:rFonts w:ascii="Garamond" w:hAnsi="Garamond"/>
          <w:sz w:val="24"/>
          <w:szCs w:val="24"/>
        </w:rPr>
        <w:t>)</w:t>
      </w:r>
      <w:r w:rsidR="00F4326E" w:rsidRPr="004E620D">
        <w:rPr>
          <w:rFonts w:ascii="Garamond" w:hAnsi="Garamond"/>
          <w:sz w:val="24"/>
          <w:szCs w:val="24"/>
        </w:rPr>
        <w:t xml:space="preserve"> and programme management </w:t>
      </w:r>
      <w:r>
        <w:rPr>
          <w:rFonts w:ascii="Garamond" w:hAnsi="Garamond"/>
          <w:sz w:val="24"/>
          <w:szCs w:val="24"/>
        </w:rPr>
        <w:t>capacity</w:t>
      </w:r>
      <w:r w:rsidR="00F4326E" w:rsidRPr="00F4326E">
        <w:rPr>
          <w:rFonts w:ascii="Garamond" w:hAnsi="Garamond"/>
        </w:rPr>
        <w:t xml:space="preserve">. </w:t>
      </w:r>
    </w:p>
    <w:p w:rsidR="00F4326E" w:rsidRDefault="00534349" w:rsidP="00F4326E">
      <w:pPr>
        <w:pStyle w:val="Default"/>
        <w:jc w:val="both"/>
        <w:rPr>
          <w:rFonts w:ascii="Garamond" w:hAnsi="Garamond" w:cstheme="minorBidi"/>
          <w:color w:val="auto"/>
        </w:rPr>
      </w:pPr>
      <w:r>
        <w:rPr>
          <w:rFonts w:ascii="Garamond" w:hAnsi="Garamond" w:cstheme="minorBidi"/>
          <w:color w:val="auto"/>
          <w:u w:val="single"/>
        </w:rPr>
        <w:t xml:space="preserve">GGHRP II: </w:t>
      </w:r>
      <w:r w:rsidR="00F4326E" w:rsidRPr="00753C68">
        <w:rPr>
          <w:rFonts w:ascii="Garamond" w:hAnsi="Garamond" w:cstheme="minorBidi"/>
          <w:color w:val="auto"/>
          <w:u w:val="single"/>
        </w:rPr>
        <w:t>2009-2013</w:t>
      </w:r>
      <w:r w:rsidR="00F4326E" w:rsidRPr="00F4326E">
        <w:rPr>
          <w:rFonts w:ascii="Garamond" w:hAnsi="Garamond" w:cstheme="minorBidi"/>
          <w:color w:val="auto"/>
        </w:rPr>
        <w:t xml:space="preserve">: </w:t>
      </w:r>
      <w:r w:rsidR="001033F2">
        <w:rPr>
          <w:rFonts w:ascii="Garamond" w:hAnsi="Garamond" w:cstheme="minorBidi"/>
          <w:color w:val="auto"/>
        </w:rPr>
        <w:t xml:space="preserve">Development and </w:t>
      </w:r>
      <w:r w:rsidR="00F4326E" w:rsidRPr="00F4326E">
        <w:rPr>
          <w:rFonts w:ascii="Garamond" w:hAnsi="Garamond" w:cstheme="minorBidi"/>
          <w:color w:val="auto"/>
        </w:rPr>
        <w:t xml:space="preserve">operationalization of </w:t>
      </w:r>
      <w:r w:rsidR="00D75540">
        <w:rPr>
          <w:rFonts w:ascii="Garamond" w:hAnsi="Garamond" w:cstheme="minorBidi"/>
          <w:color w:val="auto"/>
        </w:rPr>
        <w:t>CHRAJ’s S</w:t>
      </w:r>
      <w:r w:rsidR="00F4326E" w:rsidRPr="00F4326E">
        <w:rPr>
          <w:rFonts w:ascii="Garamond" w:hAnsi="Garamond" w:cstheme="minorBidi"/>
          <w:color w:val="auto"/>
        </w:rPr>
        <w:t>trategic Plan</w:t>
      </w:r>
      <w:r w:rsidR="001033F2">
        <w:rPr>
          <w:rFonts w:ascii="Garamond" w:hAnsi="Garamond" w:cstheme="minorBidi"/>
          <w:color w:val="auto"/>
        </w:rPr>
        <w:t xml:space="preserve"> (2011-2015) p</w:t>
      </w:r>
      <w:r w:rsidR="00F4326E" w:rsidRPr="00F4326E">
        <w:rPr>
          <w:rFonts w:ascii="Garamond" w:hAnsi="Garamond" w:cstheme="minorBidi"/>
          <w:color w:val="auto"/>
        </w:rPr>
        <w:t xml:space="preserve">rovided strategic direction </w:t>
      </w:r>
      <w:r w:rsidR="00D75540">
        <w:rPr>
          <w:rFonts w:ascii="Garamond" w:hAnsi="Garamond" w:cstheme="minorBidi"/>
          <w:color w:val="auto"/>
        </w:rPr>
        <w:t>to s</w:t>
      </w:r>
      <w:r w:rsidR="00F4326E" w:rsidRPr="00F4326E">
        <w:rPr>
          <w:rFonts w:ascii="Garamond" w:hAnsi="Garamond" w:cstheme="minorBidi"/>
          <w:color w:val="auto"/>
        </w:rPr>
        <w:t>trengthen its institutional capacity to implement its triple mandate</w:t>
      </w:r>
      <w:r>
        <w:rPr>
          <w:rFonts w:ascii="Garamond" w:hAnsi="Garamond" w:cstheme="minorBidi"/>
          <w:color w:val="auto"/>
        </w:rPr>
        <w:t>; d</w:t>
      </w:r>
      <w:r w:rsidR="001033F2">
        <w:rPr>
          <w:rFonts w:ascii="Garamond" w:hAnsi="Garamond" w:cstheme="minorBidi"/>
          <w:color w:val="auto"/>
        </w:rPr>
        <w:t>e</w:t>
      </w:r>
      <w:r w:rsidR="00F4326E" w:rsidRPr="00F4326E">
        <w:rPr>
          <w:rFonts w:ascii="Garamond" w:hAnsi="Garamond" w:cstheme="minorBidi"/>
          <w:color w:val="auto"/>
        </w:rPr>
        <w:t>velopment of the National Anticorruption Action Plan (NACAP</w:t>
      </w:r>
      <w:r w:rsidR="001033F2">
        <w:rPr>
          <w:rFonts w:ascii="Garamond" w:hAnsi="Garamond" w:cstheme="minorBidi"/>
          <w:color w:val="auto"/>
        </w:rPr>
        <w:t>: 2012-2021</w:t>
      </w:r>
      <w:r w:rsidR="00F4326E" w:rsidRPr="00F4326E">
        <w:rPr>
          <w:rFonts w:ascii="Garamond" w:hAnsi="Garamond" w:cstheme="minorBidi"/>
          <w:color w:val="auto"/>
        </w:rPr>
        <w:t>)</w:t>
      </w:r>
      <w:r w:rsidR="001033F2">
        <w:rPr>
          <w:rFonts w:ascii="Garamond" w:hAnsi="Garamond" w:cstheme="minorBidi"/>
          <w:color w:val="auto"/>
        </w:rPr>
        <w:t xml:space="preserve"> marked </w:t>
      </w:r>
      <w:r w:rsidR="00F4326E" w:rsidRPr="00F4326E">
        <w:rPr>
          <w:rFonts w:ascii="Garamond" w:hAnsi="Garamond" w:cstheme="minorBidi"/>
          <w:color w:val="auto"/>
        </w:rPr>
        <w:t>a significant milestone in CHRAJ’s anticorruption mandate</w:t>
      </w:r>
      <w:r>
        <w:rPr>
          <w:rFonts w:ascii="Garamond" w:hAnsi="Garamond" w:cstheme="minorBidi"/>
          <w:color w:val="auto"/>
        </w:rPr>
        <w:t>; r</w:t>
      </w:r>
      <w:r w:rsidR="00D75540">
        <w:rPr>
          <w:rFonts w:ascii="Garamond" w:hAnsi="Garamond" w:cstheme="minorBidi"/>
          <w:color w:val="auto"/>
        </w:rPr>
        <w:t>enewed focus in staff capacity building in ad</w:t>
      </w:r>
      <w:r w:rsidR="00F4326E" w:rsidRPr="00F4326E">
        <w:rPr>
          <w:rFonts w:ascii="Garamond" w:hAnsi="Garamond" w:cstheme="minorBidi"/>
          <w:color w:val="auto"/>
        </w:rPr>
        <w:t xml:space="preserve">ministrative </w:t>
      </w:r>
      <w:r w:rsidR="00D75540">
        <w:rPr>
          <w:rFonts w:ascii="Garamond" w:hAnsi="Garamond" w:cstheme="minorBidi"/>
          <w:color w:val="auto"/>
        </w:rPr>
        <w:t>j</w:t>
      </w:r>
      <w:r w:rsidR="00F4326E" w:rsidRPr="00F4326E">
        <w:rPr>
          <w:rFonts w:ascii="Garamond" w:hAnsi="Garamond" w:cstheme="minorBidi"/>
          <w:color w:val="auto"/>
        </w:rPr>
        <w:t xml:space="preserve">ustice and </w:t>
      </w:r>
      <w:r w:rsidR="00D75540">
        <w:rPr>
          <w:rFonts w:ascii="Garamond" w:hAnsi="Garamond" w:cstheme="minorBidi"/>
          <w:color w:val="auto"/>
        </w:rPr>
        <w:t>a</w:t>
      </w:r>
      <w:r w:rsidR="00F4326E" w:rsidRPr="00F4326E">
        <w:rPr>
          <w:rFonts w:ascii="Garamond" w:hAnsi="Garamond" w:cstheme="minorBidi"/>
          <w:color w:val="auto"/>
        </w:rPr>
        <w:t xml:space="preserve">nti-corruption </w:t>
      </w:r>
      <w:r w:rsidR="00D75540">
        <w:rPr>
          <w:rFonts w:ascii="Garamond" w:hAnsi="Garamond" w:cstheme="minorBidi"/>
          <w:color w:val="auto"/>
        </w:rPr>
        <w:t>e</w:t>
      </w:r>
      <w:r w:rsidR="00F4326E" w:rsidRPr="00F4326E">
        <w:rPr>
          <w:rFonts w:ascii="Garamond" w:hAnsi="Garamond" w:cstheme="minorBidi"/>
          <w:color w:val="auto"/>
        </w:rPr>
        <w:t xml:space="preserve">nabled </w:t>
      </w:r>
      <w:r w:rsidR="00D75540">
        <w:rPr>
          <w:rFonts w:ascii="Garamond" w:hAnsi="Garamond" w:cstheme="minorBidi"/>
          <w:color w:val="auto"/>
        </w:rPr>
        <w:t xml:space="preserve">increased execution </w:t>
      </w:r>
      <w:r w:rsidR="00F4326E" w:rsidRPr="00F4326E">
        <w:rPr>
          <w:rFonts w:ascii="Garamond" w:hAnsi="Garamond" w:cstheme="minorBidi"/>
          <w:color w:val="auto"/>
        </w:rPr>
        <w:t>of these two mandates</w:t>
      </w:r>
      <w:r>
        <w:rPr>
          <w:rFonts w:ascii="Garamond" w:hAnsi="Garamond" w:cstheme="minorBidi"/>
          <w:color w:val="auto"/>
        </w:rPr>
        <w:t>; i</w:t>
      </w:r>
      <w:r w:rsidR="00D75540">
        <w:rPr>
          <w:rFonts w:ascii="Garamond" w:hAnsi="Garamond" w:cstheme="minorBidi"/>
          <w:color w:val="auto"/>
        </w:rPr>
        <w:t xml:space="preserve">ncreased visibility of CHRAJ leading to advocacy from </w:t>
      </w:r>
      <w:r w:rsidR="00F4326E" w:rsidRPr="00F4326E">
        <w:rPr>
          <w:rFonts w:ascii="Garamond" w:hAnsi="Garamond" w:cstheme="minorBidi"/>
          <w:color w:val="auto"/>
        </w:rPr>
        <w:t xml:space="preserve">institutions and individuals for targeted resourcing of CHRAJ by government to enable it perform its triple mandate. </w:t>
      </w:r>
    </w:p>
    <w:p w:rsidR="00F65CD2" w:rsidRPr="008D3FF5" w:rsidRDefault="00534349" w:rsidP="008D3FF5">
      <w:pPr>
        <w:pStyle w:val="Default"/>
        <w:jc w:val="both"/>
        <w:rPr>
          <w:rFonts w:ascii="Garamond" w:hAnsi="Garamond" w:cstheme="minorBidi"/>
          <w:color w:val="auto"/>
        </w:rPr>
      </w:pPr>
      <w:r>
        <w:rPr>
          <w:rFonts w:ascii="Garamond" w:hAnsi="Garamond" w:cstheme="minorBidi"/>
          <w:color w:val="auto"/>
          <w:u w:val="single"/>
        </w:rPr>
        <w:t xml:space="preserve">RSGGP: </w:t>
      </w:r>
      <w:r w:rsidR="00F4326E" w:rsidRPr="00753C68">
        <w:rPr>
          <w:rFonts w:ascii="Garamond" w:hAnsi="Garamond" w:cstheme="minorBidi"/>
          <w:color w:val="auto"/>
          <w:u w:val="single"/>
        </w:rPr>
        <w:t>2014-2018</w:t>
      </w:r>
      <w:r w:rsidR="00F4326E" w:rsidRPr="00F4326E">
        <w:rPr>
          <w:rFonts w:ascii="Garamond" w:hAnsi="Garamond" w:cstheme="minorBidi"/>
          <w:color w:val="auto"/>
        </w:rPr>
        <w:t xml:space="preserve">: </w:t>
      </w:r>
      <w:r w:rsidR="00227ABF">
        <w:rPr>
          <w:rFonts w:ascii="Garamond" w:hAnsi="Garamond" w:cstheme="minorBidi"/>
          <w:color w:val="auto"/>
        </w:rPr>
        <w:t>Due to</w:t>
      </w:r>
      <w:r>
        <w:rPr>
          <w:rFonts w:ascii="Garamond" w:hAnsi="Garamond" w:cstheme="minorBidi"/>
          <w:color w:val="auto"/>
        </w:rPr>
        <w:t xml:space="preserve"> initial </w:t>
      </w:r>
      <w:r w:rsidR="00227ABF">
        <w:rPr>
          <w:rFonts w:ascii="Garamond" w:hAnsi="Garamond" w:cstheme="minorBidi"/>
          <w:color w:val="auto"/>
        </w:rPr>
        <w:t>delays in its adoption</w:t>
      </w:r>
      <w:r w:rsidR="00E14F7D">
        <w:rPr>
          <w:rFonts w:ascii="Garamond" w:hAnsi="Garamond" w:cstheme="minorBidi"/>
          <w:color w:val="auto"/>
        </w:rPr>
        <w:t>,</w:t>
      </w:r>
      <w:r w:rsidR="00227ABF">
        <w:rPr>
          <w:rFonts w:ascii="Garamond" w:hAnsi="Garamond" w:cstheme="minorBidi"/>
          <w:color w:val="auto"/>
        </w:rPr>
        <w:t xml:space="preserve"> the </w:t>
      </w:r>
      <w:r>
        <w:rPr>
          <w:rFonts w:ascii="Garamond" w:hAnsi="Garamond" w:cstheme="minorBidi"/>
          <w:color w:val="auto"/>
        </w:rPr>
        <w:t xml:space="preserve">implementation period for </w:t>
      </w:r>
      <w:r w:rsidR="00227ABF">
        <w:rPr>
          <w:rFonts w:ascii="Garamond" w:hAnsi="Garamond" w:cstheme="minorBidi"/>
          <w:color w:val="auto"/>
        </w:rPr>
        <w:t xml:space="preserve">the NACAP </w:t>
      </w:r>
      <w:proofErr w:type="gramStart"/>
      <w:r w:rsidR="00227ABF">
        <w:rPr>
          <w:rFonts w:ascii="Garamond" w:hAnsi="Garamond" w:cstheme="minorBidi"/>
          <w:color w:val="auto"/>
        </w:rPr>
        <w:t xml:space="preserve">was </w:t>
      </w:r>
      <w:r>
        <w:rPr>
          <w:rFonts w:ascii="Garamond" w:hAnsi="Garamond" w:cstheme="minorBidi"/>
          <w:color w:val="auto"/>
        </w:rPr>
        <w:t xml:space="preserve">subsequently </w:t>
      </w:r>
      <w:r w:rsidR="00227ABF">
        <w:rPr>
          <w:rFonts w:ascii="Garamond" w:hAnsi="Garamond" w:cstheme="minorBidi"/>
          <w:color w:val="auto"/>
        </w:rPr>
        <w:t>revised</w:t>
      </w:r>
      <w:proofErr w:type="gramEnd"/>
      <w:r w:rsidR="00227ABF">
        <w:rPr>
          <w:rFonts w:ascii="Garamond" w:hAnsi="Garamond" w:cstheme="minorBidi"/>
          <w:color w:val="auto"/>
        </w:rPr>
        <w:t xml:space="preserve"> to 2015-2024.</w:t>
      </w:r>
      <w:r>
        <w:rPr>
          <w:rFonts w:ascii="Garamond" w:hAnsi="Garamond" w:cstheme="minorBidi"/>
          <w:color w:val="auto"/>
        </w:rPr>
        <w:t xml:space="preserve"> </w:t>
      </w:r>
      <w:r w:rsidR="00E14F7D">
        <w:rPr>
          <w:rFonts w:ascii="Garamond" w:hAnsi="Garamond" w:cstheme="minorBidi"/>
          <w:color w:val="auto"/>
        </w:rPr>
        <w:t xml:space="preserve">Since the Danish support </w:t>
      </w:r>
      <w:proofErr w:type="gramStart"/>
      <w:r w:rsidR="00E14F7D">
        <w:rPr>
          <w:rFonts w:ascii="Garamond" w:hAnsi="Garamond" w:cstheme="minorBidi"/>
          <w:color w:val="auto"/>
        </w:rPr>
        <w:t>was suspended</w:t>
      </w:r>
      <w:proofErr w:type="gramEnd"/>
      <w:r w:rsidR="00E14F7D">
        <w:rPr>
          <w:rFonts w:ascii="Garamond" w:hAnsi="Garamond" w:cstheme="minorBidi"/>
          <w:color w:val="auto"/>
        </w:rPr>
        <w:t xml:space="preserve"> soon after the programme was initiated, not much was achieved in this phase. </w:t>
      </w:r>
      <w:r w:rsidR="00227ABF">
        <w:rPr>
          <w:rFonts w:ascii="Garamond" w:hAnsi="Garamond" w:cstheme="minorBidi"/>
          <w:color w:val="auto"/>
        </w:rPr>
        <w:t xml:space="preserve">  </w:t>
      </w:r>
    </w:p>
    <w:p w:rsidR="008D3FF5" w:rsidRDefault="008D3FF5" w:rsidP="00F4326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F63EA6" w:rsidRPr="00F63EA6" w:rsidRDefault="00F63EA6" w:rsidP="00F4326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Lessons Learned</w:t>
      </w:r>
    </w:p>
    <w:p w:rsidR="0006623C" w:rsidRDefault="00B47C00" w:rsidP="00F4326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</w:t>
      </w:r>
      <w:r w:rsidRPr="00413196">
        <w:rPr>
          <w:rFonts w:ascii="Garamond" w:hAnsi="Garamond"/>
          <w:sz w:val="24"/>
          <w:szCs w:val="24"/>
        </w:rPr>
        <w:t>Evaluation of the Ghana</w:t>
      </w:r>
      <w:r>
        <w:rPr>
          <w:rFonts w:ascii="Garamond" w:hAnsi="Garamond"/>
          <w:sz w:val="24"/>
          <w:szCs w:val="24"/>
        </w:rPr>
        <w:t>-</w:t>
      </w:r>
      <w:r w:rsidRPr="00413196">
        <w:rPr>
          <w:rFonts w:ascii="Garamond" w:hAnsi="Garamond"/>
          <w:sz w:val="24"/>
          <w:szCs w:val="24"/>
        </w:rPr>
        <w:t>Denmark Partnership (2007-2017)</w:t>
      </w:r>
      <w:r>
        <w:rPr>
          <w:rFonts w:ascii="Garamond" w:hAnsi="Garamond"/>
          <w:sz w:val="24"/>
          <w:szCs w:val="24"/>
        </w:rPr>
        <w:t xml:space="preserve"> </w:t>
      </w:r>
      <w:r w:rsidRPr="00413196">
        <w:rPr>
          <w:rFonts w:ascii="Garamond" w:hAnsi="Garamond"/>
          <w:sz w:val="24"/>
          <w:szCs w:val="24"/>
        </w:rPr>
        <w:t>noted</w:t>
      </w:r>
      <w:r>
        <w:rPr>
          <w:rFonts w:ascii="Garamond" w:hAnsi="Garamond"/>
          <w:sz w:val="24"/>
          <w:szCs w:val="24"/>
        </w:rPr>
        <w:t xml:space="preserve"> that key backbone institutions for democracy and socio-economic development such as CHRAJ have often been extremely complex to work with and has </w:t>
      </w:r>
      <w:r w:rsidRPr="00133E91">
        <w:rPr>
          <w:rFonts w:ascii="Garamond" w:hAnsi="Garamond"/>
          <w:sz w:val="24"/>
          <w:szCs w:val="24"/>
        </w:rPr>
        <w:t>required a good insight and patient building of trust to achieve progress</w:t>
      </w:r>
      <w:r>
        <w:rPr>
          <w:rFonts w:ascii="Garamond" w:hAnsi="Garamond"/>
          <w:sz w:val="24"/>
          <w:szCs w:val="24"/>
        </w:rPr>
        <w:t xml:space="preserve">. It added that long-term partnerships and commitments, which have characterised the support to CHRAJ, have been important in this context. </w:t>
      </w:r>
      <w:r w:rsidR="008006EF">
        <w:rPr>
          <w:rFonts w:ascii="Garamond" w:hAnsi="Garamond"/>
          <w:sz w:val="24"/>
          <w:szCs w:val="24"/>
        </w:rPr>
        <w:t xml:space="preserve">As an </w:t>
      </w:r>
      <w:proofErr w:type="gramStart"/>
      <w:r w:rsidR="008006EF">
        <w:rPr>
          <w:rFonts w:ascii="Garamond" w:hAnsi="Garamond"/>
          <w:sz w:val="24"/>
          <w:szCs w:val="24"/>
        </w:rPr>
        <w:t>institution</w:t>
      </w:r>
      <w:proofErr w:type="gramEnd"/>
      <w:r w:rsidR="008006EF">
        <w:rPr>
          <w:rFonts w:ascii="Garamond" w:hAnsi="Garamond"/>
          <w:sz w:val="24"/>
          <w:szCs w:val="24"/>
        </w:rPr>
        <w:t xml:space="preserve"> </w:t>
      </w:r>
      <w:r w:rsidR="008006EF" w:rsidRPr="006151B9">
        <w:rPr>
          <w:rFonts w:ascii="Garamond" w:hAnsi="Garamond"/>
          <w:sz w:val="24"/>
          <w:szCs w:val="24"/>
        </w:rPr>
        <w:t xml:space="preserve">CHRAJ has </w:t>
      </w:r>
      <w:r w:rsidR="008006EF">
        <w:rPr>
          <w:rFonts w:ascii="Garamond" w:hAnsi="Garamond"/>
          <w:sz w:val="24"/>
          <w:szCs w:val="24"/>
        </w:rPr>
        <w:t xml:space="preserve">found it </w:t>
      </w:r>
      <w:r w:rsidR="008006EF" w:rsidRPr="006151B9">
        <w:rPr>
          <w:rFonts w:ascii="Garamond" w:hAnsi="Garamond"/>
          <w:sz w:val="24"/>
          <w:szCs w:val="24"/>
        </w:rPr>
        <w:t>difficult</w:t>
      </w:r>
      <w:r w:rsidR="008006EF">
        <w:rPr>
          <w:rFonts w:ascii="Garamond" w:hAnsi="Garamond"/>
          <w:sz w:val="24"/>
          <w:szCs w:val="24"/>
        </w:rPr>
        <w:t xml:space="preserve"> to prioritize </w:t>
      </w:r>
      <w:r w:rsidR="008006EF" w:rsidRPr="006151B9">
        <w:rPr>
          <w:rFonts w:ascii="Garamond" w:hAnsi="Garamond"/>
          <w:sz w:val="24"/>
          <w:szCs w:val="24"/>
        </w:rPr>
        <w:t>its activities</w:t>
      </w:r>
      <w:r w:rsidR="008006EF">
        <w:rPr>
          <w:rFonts w:ascii="Garamond" w:hAnsi="Garamond"/>
          <w:sz w:val="24"/>
          <w:szCs w:val="24"/>
        </w:rPr>
        <w:t xml:space="preserve"> given its </w:t>
      </w:r>
      <w:r w:rsidR="004C159D">
        <w:rPr>
          <w:rFonts w:ascii="Garamond" w:hAnsi="Garamond"/>
          <w:sz w:val="24"/>
          <w:szCs w:val="24"/>
        </w:rPr>
        <w:t xml:space="preserve">constitutional </w:t>
      </w:r>
      <w:r w:rsidR="008006EF">
        <w:rPr>
          <w:rFonts w:ascii="Garamond" w:hAnsi="Garamond"/>
          <w:sz w:val="24"/>
          <w:szCs w:val="24"/>
        </w:rPr>
        <w:t>mandate and limited resources</w:t>
      </w:r>
      <w:r w:rsidR="008006EF" w:rsidRPr="006151B9">
        <w:rPr>
          <w:rFonts w:ascii="Garamond" w:hAnsi="Garamond"/>
          <w:sz w:val="24"/>
          <w:szCs w:val="24"/>
        </w:rPr>
        <w:t xml:space="preserve">. </w:t>
      </w:r>
    </w:p>
    <w:p w:rsidR="00E14F7D" w:rsidRDefault="00E14F7D" w:rsidP="00F4326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While Denmark, during the first many years of the cooperation, maintained a critical high-level dialogue with CHRAJ, the Evaluation found that the dialogue was less consistent during the last years of the cooperation. </w:t>
      </w:r>
    </w:p>
    <w:p w:rsidR="00E14F7D" w:rsidRDefault="00E14F7D" w:rsidP="00F4326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After the Danish funding ended, the Government of Ghana has significantly increased its support. It </w:t>
      </w:r>
      <w:proofErr w:type="gramStart"/>
      <w:r>
        <w:rPr>
          <w:rFonts w:ascii="Garamond" w:hAnsi="Garamond"/>
          <w:sz w:val="24"/>
          <w:szCs w:val="24"/>
        </w:rPr>
        <w:t>is now considered</w:t>
      </w:r>
      <w:proofErr w:type="gramEnd"/>
      <w:r>
        <w:rPr>
          <w:rFonts w:ascii="Garamond" w:hAnsi="Garamond"/>
          <w:sz w:val="24"/>
          <w:szCs w:val="24"/>
        </w:rPr>
        <w:t xml:space="preserve"> a lesson learned that CHRAJ’s dependency on donor funding should not be repeated, and the Government of Ghana should instead fund key national institutions itself. </w:t>
      </w:r>
    </w:p>
    <w:p w:rsidR="00F65CD2" w:rsidRDefault="008006EF" w:rsidP="00F4326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F65CD2" w:rsidRPr="0006623C" w:rsidRDefault="000B0083" w:rsidP="00F4326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</w:t>
      </w:r>
      <w:r w:rsidR="0006623C" w:rsidRPr="0006623C">
        <w:rPr>
          <w:rFonts w:ascii="Garamond" w:hAnsi="Garamond"/>
          <w:b/>
          <w:sz w:val="24"/>
          <w:szCs w:val="24"/>
        </w:rPr>
        <w:t>inks</w:t>
      </w:r>
    </w:p>
    <w:p w:rsidR="0006623C" w:rsidRPr="004A0A37" w:rsidRDefault="004A0A37" w:rsidP="004A0A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13196">
        <w:rPr>
          <w:rFonts w:ascii="Garamond" w:hAnsi="Garamond"/>
          <w:sz w:val="24"/>
          <w:szCs w:val="24"/>
        </w:rPr>
        <w:t>Evaluation of the Ghana</w:t>
      </w:r>
      <w:r>
        <w:rPr>
          <w:rFonts w:ascii="Garamond" w:hAnsi="Garamond"/>
          <w:sz w:val="24"/>
          <w:szCs w:val="24"/>
        </w:rPr>
        <w:t>-</w:t>
      </w:r>
      <w:r w:rsidR="00D14705">
        <w:rPr>
          <w:rFonts w:ascii="Garamond" w:hAnsi="Garamond"/>
          <w:sz w:val="24"/>
          <w:szCs w:val="24"/>
        </w:rPr>
        <w:t xml:space="preserve">Denmark Partnership </w:t>
      </w:r>
      <w:r w:rsidRPr="00413196">
        <w:rPr>
          <w:rFonts w:ascii="Garamond" w:hAnsi="Garamond"/>
          <w:sz w:val="24"/>
          <w:szCs w:val="24"/>
        </w:rPr>
        <w:t>2007-2017</w:t>
      </w:r>
      <w:r w:rsidR="00D14705">
        <w:rPr>
          <w:rFonts w:ascii="Garamond" w:hAnsi="Garamond"/>
          <w:sz w:val="24"/>
          <w:szCs w:val="24"/>
        </w:rPr>
        <w:t xml:space="preserve"> (2018</w:t>
      </w:r>
      <w:r w:rsidRPr="00413196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: </w:t>
      </w:r>
      <w:hyperlink r:id="rId7" w:history="1">
        <w:r w:rsidR="0006623C" w:rsidRPr="004A0A37">
          <w:rPr>
            <w:rStyle w:val="Hyperlink"/>
            <w:rFonts w:ascii="Garamond" w:hAnsi="Garamond"/>
            <w:sz w:val="24"/>
            <w:szCs w:val="24"/>
          </w:rPr>
          <w:t>http://danida-publikationer.dk/publikationer/publikationsdetaljer.aspx?PId=8c80db97-19aa-4f83-858a-ee1189f4033d</w:t>
        </w:r>
      </w:hyperlink>
    </w:p>
    <w:p w:rsidR="00F65CD2" w:rsidRDefault="004A0A37" w:rsidP="00F432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083A">
        <w:rPr>
          <w:rFonts w:ascii="Garamond" w:hAnsi="Garamond"/>
          <w:sz w:val="24"/>
          <w:szCs w:val="24"/>
        </w:rPr>
        <w:t>Joint Evaluation of the Ghana-Denmark Development Co-operation 1990</w:t>
      </w:r>
      <w:r>
        <w:rPr>
          <w:rFonts w:ascii="Garamond" w:hAnsi="Garamond"/>
          <w:sz w:val="24"/>
          <w:szCs w:val="24"/>
        </w:rPr>
        <w:t>-</w:t>
      </w:r>
      <w:r w:rsidRPr="006E083A">
        <w:rPr>
          <w:rFonts w:ascii="Garamond" w:hAnsi="Garamond"/>
          <w:sz w:val="24"/>
          <w:szCs w:val="24"/>
        </w:rPr>
        <w:t>200</w:t>
      </w:r>
      <w:r>
        <w:rPr>
          <w:rFonts w:ascii="Garamond" w:hAnsi="Garamond"/>
          <w:sz w:val="24"/>
          <w:szCs w:val="24"/>
        </w:rPr>
        <w:t>6</w:t>
      </w:r>
      <w:r w:rsidR="002B70DD">
        <w:rPr>
          <w:rFonts w:ascii="Garamond" w:hAnsi="Garamond"/>
          <w:sz w:val="24"/>
          <w:szCs w:val="24"/>
        </w:rPr>
        <w:t xml:space="preserve"> (2007</w:t>
      </w:r>
      <w:r>
        <w:rPr>
          <w:rFonts w:ascii="Garamond" w:hAnsi="Garamond"/>
          <w:sz w:val="24"/>
          <w:szCs w:val="24"/>
        </w:rPr>
        <w:t>):</w:t>
      </w:r>
      <w:r>
        <w:rPr>
          <w:rFonts w:ascii="Garamond" w:hAnsi="Garamond"/>
          <w:sz w:val="24"/>
          <w:szCs w:val="24"/>
        </w:rPr>
        <w:t xml:space="preserve"> </w:t>
      </w:r>
      <w:hyperlink r:id="rId8" w:history="1">
        <w:r w:rsidRPr="0094538E">
          <w:rPr>
            <w:rStyle w:val="Hyperlink"/>
            <w:rFonts w:ascii="Garamond" w:hAnsi="Garamond"/>
            <w:sz w:val="24"/>
            <w:szCs w:val="24"/>
          </w:rPr>
          <w:t>https://um.dk/en/danida-en/results/eval/Eval_reports/publicationdisplaypage/?publicationID=78EEFD4A-6547-4CB8-A628-C0C3981817E1</w:t>
        </w:r>
      </w:hyperlink>
    </w:p>
    <w:p w:rsidR="00F65CD2" w:rsidRPr="008D3FF5" w:rsidRDefault="004A0A37" w:rsidP="008D3FF5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Documentation study ‘Pione</w:t>
      </w:r>
      <w:r w:rsidR="000B0083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>ring Democracy’</w:t>
      </w:r>
      <w:r w:rsidR="005363EB">
        <w:rPr>
          <w:rFonts w:ascii="Garamond" w:hAnsi="Garamond"/>
          <w:sz w:val="24"/>
          <w:szCs w:val="24"/>
        </w:rPr>
        <w:t xml:space="preserve"> (</w:t>
      </w:r>
      <w:r w:rsidR="008D3FF5">
        <w:rPr>
          <w:rFonts w:ascii="Garamond" w:hAnsi="Garamond"/>
          <w:sz w:val="24"/>
          <w:szCs w:val="24"/>
        </w:rPr>
        <w:t>2018</w:t>
      </w:r>
      <w:r w:rsidR="005363EB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: </w:t>
      </w:r>
      <w:hyperlink r:id="rId9" w:history="1">
        <w:r w:rsidR="008D3FF5" w:rsidRPr="0094538E">
          <w:rPr>
            <w:rStyle w:val="Hyperlink"/>
            <w:rFonts w:ascii="Garamond" w:hAnsi="Garamond"/>
            <w:sz w:val="24"/>
            <w:szCs w:val="24"/>
          </w:rPr>
          <w:t>https://ghana.um.dk/en/News/newsdisplaypage/?newsID=24DECCDC-9A56-442B-B891-078D07EA63AD</w:t>
        </w:r>
      </w:hyperlink>
    </w:p>
    <w:sectPr w:rsidR="00F65CD2" w:rsidRPr="008D3FF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B32" w:rsidRDefault="00851B32" w:rsidP="00AB1E72">
      <w:pPr>
        <w:spacing w:after="0" w:line="240" w:lineRule="auto"/>
      </w:pPr>
      <w:r>
        <w:separator/>
      </w:r>
    </w:p>
  </w:endnote>
  <w:endnote w:type="continuationSeparator" w:id="0">
    <w:p w:rsidR="00851B32" w:rsidRDefault="00851B32" w:rsidP="00AB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320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0ABC" w:rsidRPr="00AB1E72" w:rsidRDefault="001D0ABC" w:rsidP="001D0ABC">
        <w:pPr>
          <w:pStyle w:val="Footer"/>
          <w:rPr>
            <w:rFonts w:ascii="Garamond" w:hAnsi="Garamond"/>
            <w:sz w:val="18"/>
            <w:szCs w:val="18"/>
          </w:rPr>
        </w:pPr>
        <w:r w:rsidRPr="00AB1E72">
          <w:rPr>
            <w:rFonts w:ascii="Garamond" w:hAnsi="Garamond"/>
            <w:sz w:val="18"/>
            <w:szCs w:val="18"/>
          </w:rPr>
          <w:t xml:space="preserve">Prepared by Mawuena </w:t>
        </w:r>
        <w:r>
          <w:rPr>
            <w:rFonts w:ascii="Garamond" w:hAnsi="Garamond"/>
            <w:sz w:val="18"/>
            <w:szCs w:val="18"/>
          </w:rPr>
          <w:t>Hayibor (Danida short-</w:t>
        </w:r>
        <w:r w:rsidRPr="00AB1E72">
          <w:rPr>
            <w:rFonts w:ascii="Garamond" w:hAnsi="Garamond"/>
            <w:sz w:val="18"/>
            <w:szCs w:val="18"/>
          </w:rPr>
          <w:t>term consultant)</w:t>
        </w:r>
        <w:r>
          <w:rPr>
            <w:rFonts w:ascii="Garamond" w:hAnsi="Garamond"/>
            <w:sz w:val="18"/>
            <w:szCs w:val="18"/>
          </w:rPr>
          <w:t>, edited by Ambassador Tove Degnbol, July 2020.</w:t>
        </w:r>
      </w:p>
      <w:p w:rsidR="005109CC" w:rsidRDefault="005109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3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E72" w:rsidRPr="00AB1E72" w:rsidRDefault="00AB1E72" w:rsidP="00EC53F9">
    <w:pPr>
      <w:pStyle w:val="Footer"/>
      <w:rPr>
        <w:rFonts w:ascii="Garamond" w:hAnsi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B32" w:rsidRDefault="00851B32" w:rsidP="00AB1E72">
      <w:pPr>
        <w:spacing w:after="0" w:line="240" w:lineRule="auto"/>
      </w:pPr>
      <w:r>
        <w:separator/>
      </w:r>
    </w:p>
  </w:footnote>
  <w:footnote w:type="continuationSeparator" w:id="0">
    <w:p w:rsidR="00851B32" w:rsidRDefault="00851B32" w:rsidP="00AB1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14AA1"/>
    <w:multiLevelType w:val="hybridMultilevel"/>
    <w:tmpl w:val="B44A2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F6596F"/>
    <w:multiLevelType w:val="hybridMultilevel"/>
    <w:tmpl w:val="8EF84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53927"/>
    <w:multiLevelType w:val="hybridMultilevel"/>
    <w:tmpl w:val="1EAC16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B55696"/>
    <w:multiLevelType w:val="hybridMultilevel"/>
    <w:tmpl w:val="1D98947C"/>
    <w:lvl w:ilvl="0" w:tplc="AE1CD8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3E4096"/>
    <w:multiLevelType w:val="hybridMultilevel"/>
    <w:tmpl w:val="171AB896"/>
    <w:lvl w:ilvl="0" w:tplc="AE1CD8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1A0A4B"/>
    <w:multiLevelType w:val="hybridMultilevel"/>
    <w:tmpl w:val="27684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7B"/>
    <w:rsid w:val="00004E59"/>
    <w:rsid w:val="0000512D"/>
    <w:rsid w:val="0001117B"/>
    <w:rsid w:val="00030032"/>
    <w:rsid w:val="00044F19"/>
    <w:rsid w:val="00046DBB"/>
    <w:rsid w:val="00050113"/>
    <w:rsid w:val="000639F0"/>
    <w:rsid w:val="0006623C"/>
    <w:rsid w:val="000738E3"/>
    <w:rsid w:val="000763DC"/>
    <w:rsid w:val="00076C5E"/>
    <w:rsid w:val="0009145B"/>
    <w:rsid w:val="000A37E5"/>
    <w:rsid w:val="000B0083"/>
    <w:rsid w:val="000B0CCA"/>
    <w:rsid w:val="000B5F0D"/>
    <w:rsid w:val="000C0989"/>
    <w:rsid w:val="000C6486"/>
    <w:rsid w:val="000D00E0"/>
    <w:rsid w:val="000F6E74"/>
    <w:rsid w:val="001033F2"/>
    <w:rsid w:val="00172EC9"/>
    <w:rsid w:val="00180358"/>
    <w:rsid w:val="001857EE"/>
    <w:rsid w:val="00193012"/>
    <w:rsid w:val="00193C60"/>
    <w:rsid w:val="001A089A"/>
    <w:rsid w:val="001A5F72"/>
    <w:rsid w:val="001B7BC4"/>
    <w:rsid w:val="001C52B1"/>
    <w:rsid w:val="001D0ABC"/>
    <w:rsid w:val="001D0BAA"/>
    <w:rsid w:val="001D3912"/>
    <w:rsid w:val="00203995"/>
    <w:rsid w:val="00211712"/>
    <w:rsid w:val="00211F41"/>
    <w:rsid w:val="00220936"/>
    <w:rsid w:val="00222174"/>
    <w:rsid w:val="0022382E"/>
    <w:rsid w:val="00227ABF"/>
    <w:rsid w:val="00235363"/>
    <w:rsid w:val="0026094D"/>
    <w:rsid w:val="00270290"/>
    <w:rsid w:val="002967D3"/>
    <w:rsid w:val="002A3694"/>
    <w:rsid w:val="002B0BCC"/>
    <w:rsid w:val="002B70DD"/>
    <w:rsid w:val="002C14A8"/>
    <w:rsid w:val="002D5C3A"/>
    <w:rsid w:val="002F6414"/>
    <w:rsid w:val="003004D6"/>
    <w:rsid w:val="00334B24"/>
    <w:rsid w:val="00335FCA"/>
    <w:rsid w:val="00345E40"/>
    <w:rsid w:val="003473AF"/>
    <w:rsid w:val="0035134A"/>
    <w:rsid w:val="00357B7B"/>
    <w:rsid w:val="003673A9"/>
    <w:rsid w:val="003737FD"/>
    <w:rsid w:val="003746D4"/>
    <w:rsid w:val="00380D23"/>
    <w:rsid w:val="00393A2B"/>
    <w:rsid w:val="003A209F"/>
    <w:rsid w:val="003A3CD7"/>
    <w:rsid w:val="003A5508"/>
    <w:rsid w:val="003A786D"/>
    <w:rsid w:val="003B1236"/>
    <w:rsid w:val="003B7681"/>
    <w:rsid w:val="003C3159"/>
    <w:rsid w:val="003C6978"/>
    <w:rsid w:val="003D142C"/>
    <w:rsid w:val="003D19F2"/>
    <w:rsid w:val="003E205E"/>
    <w:rsid w:val="003E5588"/>
    <w:rsid w:val="003E7931"/>
    <w:rsid w:val="00413196"/>
    <w:rsid w:val="0042262A"/>
    <w:rsid w:val="0044039E"/>
    <w:rsid w:val="00455F60"/>
    <w:rsid w:val="004571D7"/>
    <w:rsid w:val="0046571B"/>
    <w:rsid w:val="004A0A37"/>
    <w:rsid w:val="004C159D"/>
    <w:rsid w:val="004C1D1B"/>
    <w:rsid w:val="004E620D"/>
    <w:rsid w:val="004F229B"/>
    <w:rsid w:val="004F526B"/>
    <w:rsid w:val="0050199D"/>
    <w:rsid w:val="005033A1"/>
    <w:rsid w:val="005109CC"/>
    <w:rsid w:val="00534349"/>
    <w:rsid w:val="005363EB"/>
    <w:rsid w:val="005602AE"/>
    <w:rsid w:val="005619B2"/>
    <w:rsid w:val="00562D6B"/>
    <w:rsid w:val="00566633"/>
    <w:rsid w:val="00585F2F"/>
    <w:rsid w:val="00592CEC"/>
    <w:rsid w:val="005A027D"/>
    <w:rsid w:val="005B4BC3"/>
    <w:rsid w:val="005C074F"/>
    <w:rsid w:val="005C767E"/>
    <w:rsid w:val="005D3127"/>
    <w:rsid w:val="005F5CE6"/>
    <w:rsid w:val="005F5EDA"/>
    <w:rsid w:val="00624EB3"/>
    <w:rsid w:val="00635C8E"/>
    <w:rsid w:val="006472F9"/>
    <w:rsid w:val="00682868"/>
    <w:rsid w:val="006B3957"/>
    <w:rsid w:val="006B65EB"/>
    <w:rsid w:val="006C5D09"/>
    <w:rsid w:val="006C6DF1"/>
    <w:rsid w:val="006C792C"/>
    <w:rsid w:val="006D22DE"/>
    <w:rsid w:val="006E458D"/>
    <w:rsid w:val="006F39F2"/>
    <w:rsid w:val="006F6F4B"/>
    <w:rsid w:val="00702A5E"/>
    <w:rsid w:val="00710BB1"/>
    <w:rsid w:val="00740BC5"/>
    <w:rsid w:val="00753C68"/>
    <w:rsid w:val="007B2BBE"/>
    <w:rsid w:val="007C09BB"/>
    <w:rsid w:val="007C1E81"/>
    <w:rsid w:val="007D6723"/>
    <w:rsid w:val="008006EF"/>
    <w:rsid w:val="00801A8A"/>
    <w:rsid w:val="00810B99"/>
    <w:rsid w:val="00817FB5"/>
    <w:rsid w:val="008212D8"/>
    <w:rsid w:val="00836CDA"/>
    <w:rsid w:val="0084149A"/>
    <w:rsid w:val="00851B32"/>
    <w:rsid w:val="00864DC8"/>
    <w:rsid w:val="00877E57"/>
    <w:rsid w:val="008871DA"/>
    <w:rsid w:val="008D3258"/>
    <w:rsid w:val="008D3FF5"/>
    <w:rsid w:val="008D6D46"/>
    <w:rsid w:val="008F140B"/>
    <w:rsid w:val="008F7182"/>
    <w:rsid w:val="0090594E"/>
    <w:rsid w:val="0091397B"/>
    <w:rsid w:val="009206DB"/>
    <w:rsid w:val="00924427"/>
    <w:rsid w:val="00925A6B"/>
    <w:rsid w:val="009276EE"/>
    <w:rsid w:val="00933C71"/>
    <w:rsid w:val="00950590"/>
    <w:rsid w:val="009616E9"/>
    <w:rsid w:val="009753F3"/>
    <w:rsid w:val="00994EF2"/>
    <w:rsid w:val="009967CB"/>
    <w:rsid w:val="009B6184"/>
    <w:rsid w:val="009E2882"/>
    <w:rsid w:val="009F7DEF"/>
    <w:rsid w:val="00A1291C"/>
    <w:rsid w:val="00A3399A"/>
    <w:rsid w:val="00A33E81"/>
    <w:rsid w:val="00A42940"/>
    <w:rsid w:val="00A4500B"/>
    <w:rsid w:val="00A45082"/>
    <w:rsid w:val="00A53CF3"/>
    <w:rsid w:val="00A54E4B"/>
    <w:rsid w:val="00A928F8"/>
    <w:rsid w:val="00AA5BE5"/>
    <w:rsid w:val="00AB1E72"/>
    <w:rsid w:val="00AC479B"/>
    <w:rsid w:val="00AE6289"/>
    <w:rsid w:val="00AF1030"/>
    <w:rsid w:val="00AF221C"/>
    <w:rsid w:val="00AF51BB"/>
    <w:rsid w:val="00AF7F8F"/>
    <w:rsid w:val="00B01574"/>
    <w:rsid w:val="00B02C8B"/>
    <w:rsid w:val="00B378A1"/>
    <w:rsid w:val="00B40056"/>
    <w:rsid w:val="00B425BF"/>
    <w:rsid w:val="00B45CF1"/>
    <w:rsid w:val="00B47C00"/>
    <w:rsid w:val="00B612CF"/>
    <w:rsid w:val="00B63929"/>
    <w:rsid w:val="00B71EBC"/>
    <w:rsid w:val="00B72C65"/>
    <w:rsid w:val="00B72CC5"/>
    <w:rsid w:val="00B96168"/>
    <w:rsid w:val="00BA1A02"/>
    <w:rsid w:val="00BB4206"/>
    <w:rsid w:val="00BC31E7"/>
    <w:rsid w:val="00BC37C0"/>
    <w:rsid w:val="00BC3D60"/>
    <w:rsid w:val="00BC64B8"/>
    <w:rsid w:val="00BD002C"/>
    <w:rsid w:val="00BF45C8"/>
    <w:rsid w:val="00C02802"/>
    <w:rsid w:val="00C04BA4"/>
    <w:rsid w:val="00C170FB"/>
    <w:rsid w:val="00C23E0B"/>
    <w:rsid w:val="00C26218"/>
    <w:rsid w:val="00C42088"/>
    <w:rsid w:val="00C453FD"/>
    <w:rsid w:val="00C53ECC"/>
    <w:rsid w:val="00C57F1A"/>
    <w:rsid w:val="00C65E00"/>
    <w:rsid w:val="00C84101"/>
    <w:rsid w:val="00C92B6F"/>
    <w:rsid w:val="00CB2BE3"/>
    <w:rsid w:val="00CB4A06"/>
    <w:rsid w:val="00CC1467"/>
    <w:rsid w:val="00CC18C6"/>
    <w:rsid w:val="00CC2619"/>
    <w:rsid w:val="00CC5556"/>
    <w:rsid w:val="00CE7A77"/>
    <w:rsid w:val="00D14705"/>
    <w:rsid w:val="00D27A11"/>
    <w:rsid w:val="00D4156C"/>
    <w:rsid w:val="00D459FD"/>
    <w:rsid w:val="00D704FF"/>
    <w:rsid w:val="00D75540"/>
    <w:rsid w:val="00D77BA9"/>
    <w:rsid w:val="00D83F92"/>
    <w:rsid w:val="00D906AB"/>
    <w:rsid w:val="00DB5271"/>
    <w:rsid w:val="00DE1EA6"/>
    <w:rsid w:val="00DE2B96"/>
    <w:rsid w:val="00DE5170"/>
    <w:rsid w:val="00E14F7D"/>
    <w:rsid w:val="00E16349"/>
    <w:rsid w:val="00E33D12"/>
    <w:rsid w:val="00E970AF"/>
    <w:rsid w:val="00EA1140"/>
    <w:rsid w:val="00EC53F9"/>
    <w:rsid w:val="00ED7432"/>
    <w:rsid w:val="00EE1E5E"/>
    <w:rsid w:val="00EF1850"/>
    <w:rsid w:val="00EF52E8"/>
    <w:rsid w:val="00EF5346"/>
    <w:rsid w:val="00F050B2"/>
    <w:rsid w:val="00F06CB3"/>
    <w:rsid w:val="00F07E00"/>
    <w:rsid w:val="00F1233D"/>
    <w:rsid w:val="00F13828"/>
    <w:rsid w:val="00F15957"/>
    <w:rsid w:val="00F257DA"/>
    <w:rsid w:val="00F32367"/>
    <w:rsid w:val="00F346AF"/>
    <w:rsid w:val="00F40D29"/>
    <w:rsid w:val="00F4326E"/>
    <w:rsid w:val="00F454C7"/>
    <w:rsid w:val="00F55403"/>
    <w:rsid w:val="00F6245B"/>
    <w:rsid w:val="00F63EA6"/>
    <w:rsid w:val="00F65BE0"/>
    <w:rsid w:val="00F65CD2"/>
    <w:rsid w:val="00FB2E41"/>
    <w:rsid w:val="00FC04F3"/>
    <w:rsid w:val="00FE5661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1695"/>
  <w15:chartTrackingRefBased/>
  <w15:docId w15:val="{4C0DB8D6-0E9A-459F-84CE-561C6AF1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5C8"/>
    <w:rPr>
      <w:color w:val="0563C1" w:themeColor="hyperlink"/>
      <w:u w:val="single"/>
    </w:rPr>
  </w:style>
  <w:style w:type="paragraph" w:customStyle="1" w:styleId="yiv3029426804msonormal">
    <w:name w:val="yiv3029426804msonormal"/>
    <w:basedOn w:val="Normal"/>
    <w:rsid w:val="0090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420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1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E72"/>
  </w:style>
  <w:style w:type="paragraph" w:styleId="Footer">
    <w:name w:val="footer"/>
    <w:basedOn w:val="Normal"/>
    <w:link w:val="FooterChar"/>
    <w:uiPriority w:val="99"/>
    <w:unhideWhenUsed/>
    <w:rsid w:val="00AB1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E72"/>
  </w:style>
  <w:style w:type="paragraph" w:styleId="NormalWeb">
    <w:name w:val="Normal (Web)"/>
    <w:basedOn w:val="Normal"/>
    <w:uiPriority w:val="99"/>
    <w:semiHidden/>
    <w:unhideWhenUsed/>
    <w:rsid w:val="00CC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C26218"/>
    <w:rPr>
      <w:vertAlign w:val="superscript"/>
    </w:rPr>
  </w:style>
  <w:style w:type="paragraph" w:styleId="FootnoteText">
    <w:name w:val="footnote text"/>
    <w:aliases w:val="ALTS FOOTNOTE"/>
    <w:basedOn w:val="Normal"/>
    <w:link w:val="FootnoteTextChar"/>
    <w:uiPriority w:val="99"/>
    <w:unhideWhenUsed/>
    <w:rsid w:val="00B45CF1"/>
    <w:pPr>
      <w:spacing w:after="0" w:line="240" w:lineRule="auto"/>
      <w:jc w:val="both"/>
    </w:pPr>
    <w:rPr>
      <w:rFonts w:ascii="Times New Roman" w:hAnsi="Times New Roman"/>
      <w:sz w:val="24"/>
      <w:szCs w:val="24"/>
      <w:lang w:val="da-DK" w:eastAsia="ja-JP"/>
    </w:rPr>
  </w:style>
  <w:style w:type="character" w:customStyle="1" w:styleId="FootnoteTextChar">
    <w:name w:val="Footnote Text Char"/>
    <w:aliases w:val="ALTS FOOTNOTE Char"/>
    <w:basedOn w:val="DefaultParagraphFont"/>
    <w:link w:val="FootnoteText"/>
    <w:uiPriority w:val="99"/>
    <w:rsid w:val="00B45CF1"/>
    <w:rPr>
      <w:rFonts w:ascii="Times New Roman" w:hAnsi="Times New Roman"/>
      <w:sz w:val="24"/>
      <w:szCs w:val="24"/>
      <w:lang w:val="da-DK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.dk/en/danida-en/results/eval/Eval_reports/publicationdisplaypage/?publicationID=78EEFD4A-6547-4CB8-A628-C0C3981817E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nida-publikationer.dk/publikationer/publikationsdetaljer.aspx?PId=8c80db97-19aa-4f83-858a-ee1189f4033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hana.um.dk/en/News/newsdisplaypage/?newsID=24DECCDC-9A56-442B-B891-078D07EA63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Tove Degnbol</cp:lastModifiedBy>
  <cp:revision>10</cp:revision>
  <dcterms:created xsi:type="dcterms:W3CDTF">2020-07-18T16:55:00Z</dcterms:created>
  <dcterms:modified xsi:type="dcterms:W3CDTF">2020-07-18T18:43:00Z</dcterms:modified>
</cp:coreProperties>
</file>