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9842" w14:textId="7FB7DBD2" w:rsidR="008A2A3B" w:rsidRPr="005740E4" w:rsidRDefault="008A4BCC" w:rsidP="003F4569">
      <w:pPr>
        <w:spacing w:before="240" w:after="0" w:line="240" w:lineRule="auto"/>
        <w:rPr>
          <w:b/>
          <w:bCs/>
          <w:lang w:val="fr-FR"/>
        </w:rPr>
      </w:pPr>
      <w:r w:rsidRPr="005740E4">
        <w:rPr>
          <w:b/>
          <w:bCs/>
          <w:lang w:val="fr-FR"/>
        </w:rPr>
        <w:t>Annexe 9 – Exigences supplémentaires de conformité à appliquer lorsque des systèmes informels de transfert de fonds (IMTS) sont utilisés par les partenaires pour transférer des fonds danois</w:t>
      </w:r>
    </w:p>
    <w:tbl>
      <w:tblPr>
        <w:tblStyle w:val="TableGrid"/>
        <w:tblpPr w:leftFromText="180" w:rightFromText="180" w:vertAnchor="page" w:horzAnchor="margin" w:tblpY="2958"/>
        <w:tblW w:w="10060" w:type="dxa"/>
        <w:tblLook w:val="04A0" w:firstRow="1" w:lastRow="0" w:firstColumn="1" w:lastColumn="0" w:noHBand="0" w:noVBand="1"/>
      </w:tblPr>
      <w:tblGrid>
        <w:gridCol w:w="10060"/>
      </w:tblGrid>
      <w:tr w:rsidR="003732C2" w:rsidRPr="004D0169" w14:paraId="4C7A04F0" w14:textId="77777777" w:rsidTr="00CC4239">
        <w:tc>
          <w:tcPr>
            <w:tcW w:w="10060" w:type="dxa"/>
            <w:shd w:val="clear" w:color="auto" w:fill="BFBFBF" w:themeFill="background1" w:themeFillShade="BF"/>
          </w:tcPr>
          <w:p w14:paraId="7BFDA398" w14:textId="7C58493A" w:rsidR="003732C2" w:rsidRPr="005740E4" w:rsidRDefault="003732C2" w:rsidP="003F4569">
            <w:pPr>
              <w:rPr>
                <w:lang w:val="fr-FR"/>
              </w:rPr>
            </w:pPr>
            <w:r w:rsidRPr="005740E4">
              <w:rPr>
                <w:b/>
                <w:bCs/>
                <w:lang w:val="fr-FR"/>
              </w:rPr>
              <w:t xml:space="preserve">1. </w:t>
            </w:r>
            <w:r w:rsidR="005740E4" w:rsidRPr="005740E4">
              <w:rPr>
                <w:lang w:val="fr-FR"/>
              </w:rPr>
              <w:t xml:space="preserve"> </w:t>
            </w:r>
            <w:r w:rsidR="005740E4" w:rsidRPr="005740E4">
              <w:rPr>
                <w:b/>
                <w:bCs/>
                <w:lang w:val="fr-FR"/>
              </w:rPr>
              <w:t>Évaluation du besoin et des risques liés à l’utilisation des IMTS</w:t>
            </w:r>
          </w:p>
        </w:tc>
      </w:tr>
      <w:tr w:rsidR="003732C2" w:rsidRPr="004D0169" w14:paraId="5AFAC7E6" w14:textId="77777777" w:rsidTr="00CC4239">
        <w:trPr>
          <w:trHeight w:val="1296"/>
        </w:trPr>
        <w:tc>
          <w:tcPr>
            <w:tcW w:w="10060" w:type="dxa"/>
          </w:tcPr>
          <w:p w14:paraId="001C5BCF" w14:textId="2B317AE8" w:rsidR="003732C2" w:rsidRPr="005740E4" w:rsidRDefault="005740E4" w:rsidP="003F4569">
            <w:pPr>
              <w:rPr>
                <w:lang w:val="fr-FR"/>
              </w:rPr>
            </w:pPr>
            <w:r w:rsidRPr="005740E4">
              <w:rPr>
                <w:i/>
                <w:iCs/>
                <w:lang w:val="fr-FR"/>
              </w:rPr>
              <w:t xml:space="preserve">Évaluation du besoin : </w:t>
            </w:r>
            <w:r w:rsidRPr="005740E4">
              <w:rPr>
                <w:lang w:val="fr-FR"/>
              </w:rPr>
              <w:t>L’utilisation de toute autre option de paiement que les IMT</w:t>
            </w:r>
            <w:r>
              <w:rPr>
                <w:lang w:val="fr-FR"/>
              </w:rPr>
              <w:t>S</w:t>
            </w:r>
            <w:r w:rsidRPr="005740E4">
              <w:rPr>
                <w:lang w:val="fr-FR"/>
              </w:rPr>
              <w:t>/</w:t>
            </w:r>
            <w:proofErr w:type="spellStart"/>
            <w:r w:rsidRPr="005740E4">
              <w:rPr>
                <w:lang w:val="fr-FR"/>
              </w:rPr>
              <w:t>hawala</w:t>
            </w:r>
            <w:proofErr w:type="spellEnd"/>
            <w:r w:rsidRPr="005740E4">
              <w:rPr>
                <w:lang w:val="fr-FR"/>
              </w:rPr>
              <w:t xml:space="preserve"> doit être activement envisagée et poursuivie, y compris, sans s’y limiter, les virements bancaires </w:t>
            </w:r>
            <w:r w:rsidRPr="004D0169">
              <w:rPr>
                <w:lang w:val="fr-FR"/>
              </w:rPr>
              <w:t>directs (y compris via la banque</w:t>
            </w:r>
            <w:r w:rsidR="004D0169" w:rsidRPr="004D0169">
              <w:rPr>
                <w:lang w:val="fr-FR"/>
              </w:rPr>
              <w:t xml:space="preserve"> correspondante</w:t>
            </w:r>
            <w:r w:rsidRPr="005740E4">
              <w:rPr>
                <w:lang w:val="fr-FR"/>
              </w:rPr>
              <w:t xml:space="preserve">), les services de transfert d’argent, les transferts en monnaies virtuelles et d’autres solutions. </w:t>
            </w:r>
            <w:r w:rsidRPr="005740E4">
              <w:rPr>
                <w:b/>
                <w:bCs/>
                <w:lang w:val="fr-FR"/>
              </w:rPr>
              <w:t>Les IMTS doivent toujours constituer l’option de transfert de dernier recours.</w:t>
            </w:r>
          </w:p>
        </w:tc>
      </w:tr>
      <w:tr w:rsidR="003732C2" w:rsidRPr="004D0169" w14:paraId="100C58C4" w14:textId="77777777" w:rsidTr="00CC4239">
        <w:trPr>
          <w:trHeight w:val="566"/>
        </w:trPr>
        <w:tc>
          <w:tcPr>
            <w:tcW w:w="10060" w:type="dxa"/>
          </w:tcPr>
          <w:p w14:paraId="61D3A922" w14:textId="79A922F8" w:rsidR="003732C2" w:rsidRPr="005740E4" w:rsidRDefault="005740E4" w:rsidP="00CC4239">
            <w:pPr>
              <w:rPr>
                <w:lang w:val="fr-FR"/>
              </w:rPr>
            </w:pPr>
            <w:r w:rsidRPr="005740E4">
              <w:rPr>
                <w:i/>
                <w:iCs/>
                <w:lang w:val="fr-FR"/>
              </w:rPr>
              <w:t xml:space="preserve">Évaluation des risques : </w:t>
            </w:r>
            <w:r w:rsidRPr="005740E4">
              <w:rPr>
                <w:lang w:val="fr-FR"/>
              </w:rPr>
              <w:t xml:space="preserve"> Une évaluation des risques liés à l’utilisation des IMT</w:t>
            </w:r>
            <w:r>
              <w:rPr>
                <w:lang w:val="fr-FR"/>
              </w:rPr>
              <w:t>S</w:t>
            </w:r>
            <w:r w:rsidRPr="005740E4">
              <w:rPr>
                <w:lang w:val="fr-FR"/>
              </w:rPr>
              <w:t xml:space="preserve"> dans le projet concerné doit être menée afin d’identifier tous les risques et les mesures d’atténuation nécessaires. Cette évaluation des risques doit être régulièrement mise à jour.</w:t>
            </w:r>
          </w:p>
        </w:tc>
      </w:tr>
      <w:tr w:rsidR="003732C2" w:rsidRPr="005740E4" w14:paraId="1A39DF0E" w14:textId="77777777" w:rsidTr="00CC4239">
        <w:tc>
          <w:tcPr>
            <w:tcW w:w="10060" w:type="dxa"/>
            <w:shd w:val="clear" w:color="auto" w:fill="BFBFBF" w:themeFill="background1" w:themeFillShade="BF"/>
          </w:tcPr>
          <w:p w14:paraId="44B621C2" w14:textId="6FEB5209" w:rsidR="003732C2" w:rsidRPr="005740E4" w:rsidRDefault="003732C2" w:rsidP="00CC4239">
            <w:pPr>
              <w:rPr>
                <w:b/>
                <w:bCs/>
                <w:lang w:val="fr-FR"/>
              </w:rPr>
            </w:pPr>
            <w:r w:rsidRPr="005740E4">
              <w:rPr>
                <w:b/>
                <w:bCs/>
                <w:lang w:val="fr-FR"/>
              </w:rPr>
              <w:t xml:space="preserve">2. </w:t>
            </w:r>
            <w:r w:rsidR="005740E4">
              <w:t xml:space="preserve"> </w:t>
            </w:r>
            <w:r w:rsidR="005740E4" w:rsidRPr="005740E4">
              <w:rPr>
                <w:b/>
                <w:bCs/>
                <w:lang w:val="fr-FR"/>
              </w:rPr>
              <w:t>Aspects juridiques</w:t>
            </w:r>
          </w:p>
        </w:tc>
      </w:tr>
      <w:tr w:rsidR="003732C2" w:rsidRPr="004D0169" w14:paraId="6D822667" w14:textId="77777777" w:rsidTr="00CC4239">
        <w:tc>
          <w:tcPr>
            <w:tcW w:w="10060" w:type="dxa"/>
          </w:tcPr>
          <w:p w14:paraId="534DDF73" w14:textId="1C80670B" w:rsidR="003732C2" w:rsidRPr="005740E4" w:rsidRDefault="005740E4" w:rsidP="003F4569">
            <w:pPr>
              <w:rPr>
                <w:i/>
                <w:iCs/>
                <w:lang w:val="fr-FR"/>
              </w:rPr>
            </w:pPr>
            <w:r w:rsidRPr="005740E4">
              <w:rPr>
                <w:i/>
                <w:iCs/>
                <w:lang w:val="fr-FR"/>
              </w:rPr>
              <w:t>Conformité juridique :</w:t>
            </w:r>
            <w:r>
              <w:rPr>
                <w:i/>
                <w:iCs/>
                <w:lang w:val="fr-FR"/>
              </w:rPr>
              <w:t xml:space="preserve"> </w:t>
            </w:r>
            <w:r w:rsidRPr="00845C56">
              <w:rPr>
                <w:lang w:val="fr-FR"/>
              </w:rPr>
              <w:t xml:space="preserve"> Toutes les activités liées à l’utilisation des IMTS/</w:t>
            </w:r>
            <w:proofErr w:type="spellStart"/>
            <w:r w:rsidRPr="00845C56">
              <w:rPr>
                <w:lang w:val="fr-FR"/>
              </w:rPr>
              <w:t>hawala</w:t>
            </w:r>
            <w:proofErr w:type="spellEnd"/>
            <w:r w:rsidRPr="00845C56">
              <w:rPr>
                <w:lang w:val="fr-FR"/>
              </w:rPr>
              <w:t xml:space="preserve"> doivent être conformes à la législation danoise, locale et internationale applicable ainsi qu’aux mesures restrictives de l’Union européenne.</w:t>
            </w:r>
            <w:r w:rsidR="003732C2" w:rsidRPr="005740E4">
              <w:rPr>
                <w:lang w:val="fr-FR"/>
              </w:rPr>
              <w:t xml:space="preserve"> </w:t>
            </w:r>
          </w:p>
        </w:tc>
      </w:tr>
      <w:tr w:rsidR="003732C2" w:rsidRPr="005740E4" w14:paraId="13A4A2F7" w14:textId="77777777" w:rsidTr="00CC4239">
        <w:tc>
          <w:tcPr>
            <w:tcW w:w="10060" w:type="dxa"/>
            <w:shd w:val="clear" w:color="auto" w:fill="BFBFBF" w:themeFill="background1" w:themeFillShade="BF"/>
          </w:tcPr>
          <w:p w14:paraId="35081F46" w14:textId="7088C0E6" w:rsidR="003732C2" w:rsidRPr="005740E4" w:rsidRDefault="003732C2" w:rsidP="00CC4239">
            <w:pPr>
              <w:rPr>
                <w:i/>
                <w:iCs/>
                <w:lang w:val="fr-FR"/>
              </w:rPr>
            </w:pPr>
            <w:r w:rsidRPr="005740E4">
              <w:rPr>
                <w:b/>
                <w:bCs/>
                <w:lang w:val="fr-FR"/>
              </w:rPr>
              <w:t xml:space="preserve">3. </w:t>
            </w:r>
            <w:r w:rsidR="005740E4">
              <w:t xml:space="preserve"> </w:t>
            </w:r>
            <w:r w:rsidR="005740E4" w:rsidRPr="005740E4">
              <w:rPr>
                <w:b/>
                <w:bCs/>
                <w:lang w:val="fr-FR"/>
              </w:rPr>
              <w:t>Mesures de gouvernance interne</w:t>
            </w:r>
          </w:p>
        </w:tc>
      </w:tr>
      <w:tr w:rsidR="003732C2" w:rsidRPr="004D0169" w14:paraId="58D544B8" w14:textId="77777777" w:rsidTr="00CC4239">
        <w:tc>
          <w:tcPr>
            <w:tcW w:w="10060" w:type="dxa"/>
          </w:tcPr>
          <w:p w14:paraId="2E0C8BBD" w14:textId="7D95043F" w:rsidR="003732C2" w:rsidRPr="00845C56" w:rsidRDefault="00AB72EE" w:rsidP="00CC4239">
            <w:pPr>
              <w:rPr>
                <w:lang w:val="fr-FR"/>
              </w:rPr>
            </w:pPr>
            <w:r w:rsidRPr="00AB72EE">
              <w:rPr>
                <w:i/>
                <w:iCs/>
                <w:lang w:val="fr-FR"/>
              </w:rPr>
              <w:t>Directives écrites</w:t>
            </w:r>
            <w:r w:rsidRPr="005740E4">
              <w:rPr>
                <w:i/>
                <w:iCs/>
                <w:lang w:val="fr-FR"/>
              </w:rPr>
              <w:t xml:space="preserve"> :</w:t>
            </w:r>
            <w:r w:rsidR="003732C2" w:rsidRPr="005740E4">
              <w:rPr>
                <w:lang w:val="fr-FR"/>
              </w:rPr>
              <w:t xml:space="preserve"> </w:t>
            </w:r>
            <w:r w:rsidRPr="00845C56">
              <w:rPr>
                <w:lang w:val="fr-FR"/>
              </w:rPr>
              <w:t>Des directives écrites doivent être établies pour encadrer les points suivants :</w:t>
            </w:r>
          </w:p>
          <w:p w14:paraId="46F5ADA1" w14:textId="3620C001" w:rsidR="00AB72EE" w:rsidRPr="00AB72EE" w:rsidRDefault="00AB72EE" w:rsidP="00AB72EE">
            <w:pPr>
              <w:pStyle w:val="ListParagraph"/>
              <w:numPr>
                <w:ilvl w:val="0"/>
                <w:numId w:val="1"/>
              </w:numPr>
              <w:rPr>
                <w:lang w:val="fr-FR"/>
              </w:rPr>
            </w:pPr>
            <w:r w:rsidRPr="00AB72EE">
              <w:rPr>
                <w:lang w:val="fr-FR"/>
              </w:rPr>
              <w:t>Les IMT</w:t>
            </w:r>
            <w:r>
              <w:rPr>
                <w:lang w:val="fr-FR"/>
              </w:rPr>
              <w:t>S</w:t>
            </w:r>
            <w:r w:rsidRPr="00AB72EE">
              <w:rPr>
                <w:lang w:val="fr-FR"/>
              </w:rPr>
              <w:t xml:space="preserve"> ne sont utilisés que lorsque aucune autre option viable de transfert de fonds n’est disponible, et lorsque des mesures d’atténuation appropriées sont mises en œuvre pour réduire les risques.</w:t>
            </w:r>
          </w:p>
          <w:p w14:paraId="1D6D8445" w14:textId="6E924382" w:rsidR="00AB72EE" w:rsidRPr="00AB72EE" w:rsidRDefault="00AB72EE" w:rsidP="00AB72EE">
            <w:pPr>
              <w:pStyle w:val="ListParagraph"/>
              <w:numPr>
                <w:ilvl w:val="0"/>
                <w:numId w:val="1"/>
              </w:numPr>
              <w:rPr>
                <w:lang w:val="fr-FR"/>
              </w:rPr>
            </w:pPr>
            <w:r w:rsidRPr="00AB72EE">
              <w:rPr>
                <w:lang w:val="fr-FR"/>
              </w:rPr>
              <w:t>La désignation de la ou des personnes autorisées à décider de l’utilisation des IM</w:t>
            </w:r>
            <w:r>
              <w:rPr>
                <w:lang w:val="fr-FR"/>
              </w:rPr>
              <w:t>TS</w:t>
            </w:r>
            <w:r w:rsidRPr="00AB72EE">
              <w:rPr>
                <w:lang w:val="fr-FR"/>
              </w:rPr>
              <w:t>/</w:t>
            </w:r>
            <w:proofErr w:type="spellStart"/>
            <w:r w:rsidRPr="00AB72EE">
              <w:rPr>
                <w:lang w:val="fr-FR"/>
              </w:rPr>
              <w:t>hawala</w:t>
            </w:r>
            <w:proofErr w:type="spellEnd"/>
            <w:r w:rsidRPr="00AB72EE">
              <w:rPr>
                <w:lang w:val="fr-FR"/>
              </w:rPr>
              <w:t xml:space="preserve"> dans une situation donnée. Ce mandat devrait de préférence relever du plus haut niveau exécutif de l’organisation.</w:t>
            </w:r>
          </w:p>
          <w:p w14:paraId="5249EB30" w14:textId="08750BCA" w:rsidR="00AB72EE" w:rsidRPr="00AB72EE" w:rsidRDefault="00AB72EE" w:rsidP="00AB72EE">
            <w:pPr>
              <w:pStyle w:val="ListParagraph"/>
              <w:numPr>
                <w:ilvl w:val="0"/>
                <w:numId w:val="1"/>
              </w:numPr>
              <w:rPr>
                <w:lang w:val="fr-FR"/>
              </w:rPr>
            </w:pPr>
            <w:r w:rsidRPr="00AB72EE">
              <w:rPr>
                <w:lang w:val="fr-FR"/>
              </w:rPr>
              <w:t>Les modalités de mise en œuvre des transferts de fonds via les IMT</w:t>
            </w:r>
            <w:r w:rsidR="00360374">
              <w:rPr>
                <w:lang w:val="fr-FR"/>
              </w:rPr>
              <w:t>S</w:t>
            </w:r>
            <w:r w:rsidRPr="00AB72EE">
              <w:rPr>
                <w:lang w:val="fr-FR"/>
              </w:rPr>
              <w:t>, y compris l’utilisation d’entreprises ou d’agents, les processus de vérification, les pistes d’audit, etc.</w:t>
            </w:r>
          </w:p>
          <w:p w14:paraId="71F6B005" w14:textId="3A5957E0" w:rsidR="00AB72EE" w:rsidRPr="00AB72EE" w:rsidRDefault="00AB72EE" w:rsidP="00AB72EE">
            <w:pPr>
              <w:pStyle w:val="ListParagraph"/>
              <w:numPr>
                <w:ilvl w:val="0"/>
                <w:numId w:val="1"/>
              </w:numPr>
              <w:rPr>
                <w:lang w:val="fr-FR"/>
              </w:rPr>
            </w:pPr>
            <w:r w:rsidRPr="00AB72EE">
              <w:rPr>
                <w:lang w:val="fr-FR"/>
              </w:rPr>
              <w:t>Le montant des fonds transférés à l’agent IMT</w:t>
            </w:r>
            <w:r w:rsidR="00360374">
              <w:rPr>
                <w:lang w:val="fr-FR"/>
              </w:rPr>
              <w:t>S</w:t>
            </w:r>
            <w:r w:rsidRPr="00AB72EE">
              <w:rPr>
                <w:lang w:val="fr-FR"/>
              </w:rPr>
              <w:t>/</w:t>
            </w:r>
            <w:proofErr w:type="spellStart"/>
            <w:r w:rsidRPr="00AB72EE">
              <w:rPr>
                <w:lang w:val="fr-FR"/>
              </w:rPr>
              <w:t>hawala</w:t>
            </w:r>
            <w:proofErr w:type="spellEnd"/>
            <w:r w:rsidRPr="00AB72EE">
              <w:rPr>
                <w:lang w:val="fr-FR"/>
              </w:rPr>
              <w:t xml:space="preserve"> doit être fondé sur une évaluation des besoins financiers concr</w:t>
            </w:r>
            <w:r w:rsidRPr="004D0169">
              <w:rPr>
                <w:lang w:val="fr-FR"/>
              </w:rPr>
              <w:t xml:space="preserve">ets et </w:t>
            </w:r>
            <w:r w:rsidR="00845C56" w:rsidRPr="004D0169">
              <w:rPr>
                <w:lang w:val="fr-FR"/>
              </w:rPr>
              <w:t>doit</w:t>
            </w:r>
            <w:r w:rsidR="00845C56">
              <w:rPr>
                <w:lang w:val="fr-FR"/>
              </w:rPr>
              <w:t xml:space="preserve"> </w:t>
            </w:r>
            <w:r w:rsidRPr="00AB72EE">
              <w:rPr>
                <w:lang w:val="fr-FR"/>
              </w:rPr>
              <w:t>éviter toute accumulation de fonds auprès des agents IMT</w:t>
            </w:r>
            <w:r>
              <w:rPr>
                <w:lang w:val="fr-FR"/>
              </w:rPr>
              <w:t>S</w:t>
            </w:r>
            <w:r w:rsidRPr="00AB72EE">
              <w:rPr>
                <w:lang w:val="fr-FR"/>
              </w:rPr>
              <w:t>/</w:t>
            </w:r>
            <w:proofErr w:type="spellStart"/>
            <w:r w:rsidRPr="00AB72EE">
              <w:rPr>
                <w:lang w:val="fr-FR"/>
              </w:rPr>
              <w:t>hawala</w:t>
            </w:r>
            <w:proofErr w:type="spellEnd"/>
            <w:r w:rsidRPr="00AB72EE">
              <w:rPr>
                <w:lang w:val="fr-FR"/>
              </w:rPr>
              <w:t>, y compris les agents locaux.</w:t>
            </w:r>
          </w:p>
          <w:p w14:paraId="5FBA34C6" w14:textId="56083ED1" w:rsidR="00AB72EE" w:rsidRPr="00AB72EE" w:rsidRDefault="00AB72EE" w:rsidP="00AB72EE">
            <w:pPr>
              <w:pStyle w:val="ListParagraph"/>
              <w:numPr>
                <w:ilvl w:val="0"/>
                <w:numId w:val="1"/>
              </w:numPr>
              <w:rPr>
                <w:lang w:val="fr-FR"/>
              </w:rPr>
            </w:pPr>
            <w:r w:rsidRPr="00AB72EE">
              <w:rPr>
                <w:lang w:val="fr-FR"/>
              </w:rPr>
              <w:t>Les fonds doivent être transmis par l’agent IMT</w:t>
            </w:r>
            <w:r>
              <w:rPr>
                <w:lang w:val="fr-FR"/>
              </w:rPr>
              <w:t>S</w:t>
            </w:r>
            <w:r w:rsidRPr="00AB72EE">
              <w:rPr>
                <w:lang w:val="fr-FR"/>
              </w:rPr>
              <w:t>/</w:t>
            </w:r>
            <w:proofErr w:type="spellStart"/>
            <w:r w:rsidRPr="00AB72EE">
              <w:rPr>
                <w:lang w:val="fr-FR"/>
              </w:rPr>
              <w:t>hawala</w:t>
            </w:r>
            <w:proofErr w:type="spellEnd"/>
            <w:r w:rsidRPr="00AB72EE">
              <w:rPr>
                <w:lang w:val="fr-FR"/>
              </w:rPr>
              <w:t xml:space="preserve"> ou l’agent local aux bénéficiaires finaux sans délai.</w:t>
            </w:r>
          </w:p>
          <w:p w14:paraId="3B04ED4B" w14:textId="6F9F5DCD" w:rsidR="00AB72EE" w:rsidRPr="00AB72EE" w:rsidRDefault="00AB72EE" w:rsidP="00AB72EE">
            <w:pPr>
              <w:pStyle w:val="ListParagraph"/>
              <w:numPr>
                <w:ilvl w:val="0"/>
                <w:numId w:val="1"/>
              </w:numPr>
              <w:rPr>
                <w:lang w:val="fr-FR"/>
              </w:rPr>
            </w:pPr>
            <w:r w:rsidRPr="00AB72EE">
              <w:rPr>
                <w:lang w:val="fr-FR"/>
              </w:rPr>
              <w:t>Les frais versés à l’agent IMT</w:t>
            </w:r>
            <w:r>
              <w:rPr>
                <w:lang w:val="fr-FR"/>
              </w:rPr>
              <w:t>S</w:t>
            </w:r>
            <w:r w:rsidRPr="00AB72EE">
              <w:rPr>
                <w:lang w:val="fr-FR"/>
              </w:rPr>
              <w:t>/</w:t>
            </w:r>
            <w:proofErr w:type="spellStart"/>
            <w:r w:rsidRPr="00AB72EE">
              <w:rPr>
                <w:lang w:val="fr-FR"/>
              </w:rPr>
              <w:t>hawala</w:t>
            </w:r>
            <w:proofErr w:type="spellEnd"/>
            <w:r w:rsidRPr="00AB72EE">
              <w:rPr>
                <w:lang w:val="fr-FR"/>
              </w:rPr>
              <w:t xml:space="preserve"> doivent être conformes aux principes de saine et correcte gestion financière, comptabilisés et inclus dans l’audit.</w:t>
            </w:r>
          </w:p>
          <w:p w14:paraId="72664796" w14:textId="50BD1658" w:rsidR="003732C2" w:rsidRPr="005740E4" w:rsidRDefault="00AB72EE" w:rsidP="00AB72EE">
            <w:pPr>
              <w:pStyle w:val="ListParagraph"/>
              <w:numPr>
                <w:ilvl w:val="0"/>
                <w:numId w:val="1"/>
              </w:numPr>
              <w:rPr>
                <w:i/>
                <w:iCs/>
                <w:lang w:val="fr-FR"/>
              </w:rPr>
            </w:pPr>
            <w:r w:rsidRPr="00AB72EE">
              <w:rPr>
                <w:lang w:val="fr-FR"/>
              </w:rPr>
              <w:t>Les modalités de notification et les personnes à informer en cas d’irrégularités liées à l’utilisation des IMT</w:t>
            </w:r>
            <w:r>
              <w:rPr>
                <w:lang w:val="fr-FR"/>
              </w:rPr>
              <w:t>S</w:t>
            </w:r>
            <w:r w:rsidRPr="00AB72EE">
              <w:rPr>
                <w:lang w:val="fr-FR"/>
              </w:rPr>
              <w:t>/</w:t>
            </w:r>
            <w:proofErr w:type="spellStart"/>
            <w:r w:rsidRPr="00AB72EE">
              <w:rPr>
                <w:lang w:val="fr-FR"/>
              </w:rPr>
              <w:t>hawala</w:t>
            </w:r>
            <w:proofErr w:type="spellEnd"/>
            <w:r w:rsidRPr="00AB72EE">
              <w:rPr>
                <w:lang w:val="fr-FR"/>
              </w:rPr>
              <w:t>, ainsi que les mesures à suivre</w:t>
            </w:r>
            <w:r w:rsidR="00845C56">
              <w:rPr>
                <w:lang w:val="fr-FR"/>
              </w:rPr>
              <w:t xml:space="preserve"> </w:t>
            </w:r>
            <w:r w:rsidR="00845C56" w:rsidRPr="004D0169">
              <w:rPr>
                <w:lang w:val="fr-FR"/>
              </w:rPr>
              <w:t>doivent être mentionnées.</w:t>
            </w:r>
          </w:p>
        </w:tc>
      </w:tr>
      <w:tr w:rsidR="003732C2" w:rsidRPr="004D0169" w14:paraId="2C2D6939" w14:textId="77777777" w:rsidTr="00CC4239">
        <w:tc>
          <w:tcPr>
            <w:tcW w:w="10060" w:type="dxa"/>
          </w:tcPr>
          <w:p w14:paraId="69FD0ECB" w14:textId="180353CD" w:rsidR="003732C2" w:rsidRPr="005740E4" w:rsidRDefault="00AB72EE" w:rsidP="003F4569">
            <w:pPr>
              <w:rPr>
                <w:lang w:val="fr-FR"/>
              </w:rPr>
            </w:pPr>
            <w:r w:rsidRPr="00AB72EE">
              <w:rPr>
                <w:i/>
                <w:iCs/>
                <w:lang w:val="fr-FR"/>
              </w:rPr>
              <w:t>Suivi et contrôle :</w:t>
            </w:r>
            <w:r>
              <w:rPr>
                <w:i/>
                <w:iCs/>
                <w:lang w:val="fr-FR"/>
              </w:rPr>
              <w:t xml:space="preserve"> </w:t>
            </w:r>
            <w:r w:rsidRPr="00AB72EE">
              <w:rPr>
                <w:lang w:val="fr-FR"/>
              </w:rPr>
              <w:t xml:space="preserve"> Des procédures internes doivent être mises en place pour encadrer la surveillance et le contrôle continus de l’utilisation des IMT</w:t>
            </w:r>
            <w:r>
              <w:rPr>
                <w:lang w:val="fr-FR"/>
              </w:rPr>
              <w:t>S</w:t>
            </w:r>
            <w:r w:rsidRPr="00AB72EE">
              <w:rPr>
                <w:lang w:val="fr-FR"/>
              </w:rPr>
              <w:t>/</w:t>
            </w:r>
            <w:proofErr w:type="spellStart"/>
            <w:r w:rsidRPr="00AB72EE">
              <w:rPr>
                <w:lang w:val="fr-FR"/>
              </w:rPr>
              <w:t>hawala</w:t>
            </w:r>
            <w:proofErr w:type="spellEnd"/>
            <w:r w:rsidRPr="00AB72EE">
              <w:rPr>
                <w:lang w:val="fr-FR"/>
              </w:rPr>
              <w:t>. Le suivi et le contrôle doivent être effectués tout au long de la chaîne, jusqu’à la réception par le bénéficiaire final, de manière continue et à une fréquence raisonnable, et doivent être documentés.</w:t>
            </w:r>
          </w:p>
        </w:tc>
      </w:tr>
      <w:tr w:rsidR="003732C2" w:rsidRPr="004D0169" w14:paraId="2B087BC0" w14:textId="77777777" w:rsidTr="003F4569">
        <w:tc>
          <w:tcPr>
            <w:tcW w:w="10060" w:type="dxa"/>
            <w:shd w:val="clear" w:color="auto" w:fill="BFBFBF" w:themeFill="background1" w:themeFillShade="BF"/>
          </w:tcPr>
          <w:p w14:paraId="652A83A0" w14:textId="6902ADFC" w:rsidR="003F4569" w:rsidRPr="005740E4" w:rsidRDefault="003732C2" w:rsidP="003F4569">
            <w:pPr>
              <w:rPr>
                <w:lang w:val="fr-FR"/>
              </w:rPr>
            </w:pPr>
            <w:r w:rsidRPr="005740E4">
              <w:rPr>
                <w:b/>
                <w:bCs/>
                <w:lang w:val="fr-FR"/>
              </w:rPr>
              <w:t xml:space="preserve">4. </w:t>
            </w:r>
            <w:r w:rsidR="00AB72EE" w:rsidRPr="00845C56">
              <w:rPr>
                <w:lang w:val="fr-FR"/>
              </w:rPr>
              <w:t xml:space="preserve"> </w:t>
            </w:r>
            <w:r w:rsidR="00AB72EE" w:rsidRPr="00AB72EE">
              <w:rPr>
                <w:b/>
                <w:bCs/>
                <w:lang w:val="fr-FR"/>
              </w:rPr>
              <w:t>Exigences en matière de vérification</w:t>
            </w:r>
          </w:p>
        </w:tc>
      </w:tr>
      <w:tr w:rsidR="003732C2" w:rsidRPr="004D0169" w14:paraId="614377EB" w14:textId="77777777" w:rsidTr="00CC4239">
        <w:tc>
          <w:tcPr>
            <w:tcW w:w="10060" w:type="dxa"/>
          </w:tcPr>
          <w:p w14:paraId="79F3284B" w14:textId="7485E8D1" w:rsidR="00AB72EE" w:rsidRDefault="00AB72EE" w:rsidP="00CC4239">
            <w:pPr>
              <w:rPr>
                <w:i/>
                <w:iCs/>
                <w:lang w:val="fr-FR"/>
              </w:rPr>
            </w:pPr>
            <w:r w:rsidRPr="00AB72EE">
              <w:rPr>
                <w:i/>
                <w:iCs/>
                <w:lang w:val="fr-FR"/>
              </w:rPr>
              <w:t>Identification de l’agent IMT</w:t>
            </w:r>
            <w:r>
              <w:rPr>
                <w:i/>
                <w:iCs/>
                <w:lang w:val="fr-FR"/>
              </w:rPr>
              <w:t>S</w:t>
            </w:r>
            <w:r w:rsidRPr="00AB72EE">
              <w:rPr>
                <w:i/>
                <w:iCs/>
                <w:lang w:val="fr-FR"/>
              </w:rPr>
              <w:t>/</w:t>
            </w:r>
            <w:proofErr w:type="spellStart"/>
            <w:r w:rsidRPr="00AB72EE">
              <w:rPr>
                <w:i/>
                <w:iCs/>
                <w:lang w:val="fr-FR"/>
              </w:rPr>
              <w:t>hawala</w:t>
            </w:r>
            <w:proofErr w:type="spellEnd"/>
            <w:r w:rsidRPr="00AB72EE">
              <w:rPr>
                <w:i/>
                <w:iCs/>
                <w:lang w:val="fr-FR"/>
              </w:rPr>
              <w:t>, y compris tout agent local :</w:t>
            </w:r>
            <w:r>
              <w:rPr>
                <w:i/>
                <w:iCs/>
                <w:lang w:val="fr-FR"/>
              </w:rPr>
              <w:t xml:space="preserve"> </w:t>
            </w:r>
          </w:p>
          <w:p w14:paraId="754E8B50" w14:textId="488E4D8C" w:rsidR="003732C2" w:rsidRPr="00AB72EE" w:rsidRDefault="00AB72EE" w:rsidP="00CC4239">
            <w:pPr>
              <w:rPr>
                <w:lang w:val="fr-FR"/>
              </w:rPr>
            </w:pPr>
            <w:r w:rsidRPr="00AB72EE">
              <w:rPr>
                <w:lang w:val="fr-FR"/>
              </w:rPr>
              <w:t>Une documentation prouvant l’identité de l’entreprise ou de l’agent utilisé à chaque étape de la chaîne de transaction, y compris les agents locaux, doit être obtenue.</w:t>
            </w:r>
          </w:p>
        </w:tc>
      </w:tr>
      <w:tr w:rsidR="003732C2" w:rsidRPr="004D0169" w14:paraId="409C070F" w14:textId="77777777" w:rsidTr="00CC4239">
        <w:tc>
          <w:tcPr>
            <w:tcW w:w="10060" w:type="dxa"/>
          </w:tcPr>
          <w:p w14:paraId="155A347B" w14:textId="5E00A059" w:rsidR="003732C2" w:rsidRPr="005740E4" w:rsidRDefault="00AB72EE" w:rsidP="00CC4239">
            <w:pPr>
              <w:rPr>
                <w:i/>
                <w:iCs/>
                <w:lang w:val="fr-FR"/>
              </w:rPr>
            </w:pPr>
            <w:r w:rsidRPr="00AB72EE">
              <w:rPr>
                <w:i/>
                <w:iCs/>
                <w:lang w:val="fr-FR"/>
              </w:rPr>
              <w:t xml:space="preserve">Vérification des </w:t>
            </w:r>
            <w:r w:rsidRPr="006C0060">
              <w:rPr>
                <w:i/>
                <w:iCs/>
                <w:lang w:val="fr-FR"/>
              </w:rPr>
              <w:t>sanctions</w:t>
            </w:r>
            <w:r w:rsidR="00623BEE">
              <w:rPr>
                <w:i/>
                <w:iCs/>
                <w:lang w:val="fr-FR"/>
              </w:rPr>
              <w:t xml:space="preserve"> </w:t>
            </w:r>
            <w:r w:rsidRPr="00AB72EE">
              <w:rPr>
                <w:i/>
                <w:iCs/>
                <w:lang w:val="fr-FR"/>
              </w:rPr>
              <w:t>concernant les entreprises/agents IMT</w:t>
            </w:r>
            <w:r>
              <w:rPr>
                <w:i/>
                <w:iCs/>
                <w:lang w:val="fr-FR"/>
              </w:rPr>
              <w:t>S</w:t>
            </w:r>
            <w:r w:rsidRPr="00AB72EE">
              <w:rPr>
                <w:i/>
                <w:iCs/>
                <w:lang w:val="fr-FR"/>
              </w:rPr>
              <w:t>/</w:t>
            </w:r>
            <w:proofErr w:type="spellStart"/>
            <w:r w:rsidRPr="00AB72EE">
              <w:rPr>
                <w:i/>
                <w:iCs/>
                <w:lang w:val="fr-FR"/>
              </w:rPr>
              <w:t>hawala</w:t>
            </w:r>
            <w:proofErr w:type="spellEnd"/>
            <w:r w:rsidRPr="00AB72EE">
              <w:rPr>
                <w:i/>
                <w:iCs/>
                <w:lang w:val="fr-FR"/>
              </w:rPr>
              <w:t>, y compris les agents locaux :</w:t>
            </w:r>
            <w:r w:rsidR="004D0169">
              <w:rPr>
                <w:i/>
                <w:iCs/>
                <w:lang w:val="fr-FR"/>
              </w:rPr>
              <w:t xml:space="preserve"> </w:t>
            </w:r>
            <w:r w:rsidRPr="00AB72EE">
              <w:rPr>
                <w:lang w:val="fr-FR"/>
              </w:rPr>
              <w:t>Il faut documenter que tous les agents IMT</w:t>
            </w:r>
            <w:r>
              <w:rPr>
                <w:lang w:val="fr-FR"/>
              </w:rPr>
              <w:t>S</w:t>
            </w:r>
            <w:r w:rsidRPr="00AB72EE">
              <w:rPr>
                <w:lang w:val="fr-FR"/>
              </w:rPr>
              <w:t>/</w:t>
            </w:r>
            <w:proofErr w:type="spellStart"/>
            <w:r w:rsidRPr="00AB72EE">
              <w:rPr>
                <w:lang w:val="fr-FR"/>
              </w:rPr>
              <w:t>hawala</w:t>
            </w:r>
            <w:proofErr w:type="spellEnd"/>
            <w:r w:rsidRPr="00AB72EE">
              <w:rPr>
                <w:lang w:val="fr-FR"/>
              </w:rPr>
              <w:t xml:space="preserve"> impliqués dans la transaction ont fait l’objet de vérifications </w:t>
            </w:r>
            <w:r w:rsidR="006C0060" w:rsidRPr="004D0169">
              <w:rPr>
                <w:lang w:val="fr-FR"/>
              </w:rPr>
              <w:t>préalables relatives aux</w:t>
            </w:r>
            <w:r w:rsidRPr="00AB72EE">
              <w:rPr>
                <w:lang w:val="fr-FR"/>
              </w:rPr>
              <w:t xml:space="preserve"> sanctions</w:t>
            </w:r>
            <w:r w:rsidR="006C0060">
              <w:rPr>
                <w:lang w:val="fr-FR"/>
              </w:rPr>
              <w:t xml:space="preserve">. </w:t>
            </w:r>
            <w:r w:rsidR="006C0060" w:rsidRPr="004D0169">
              <w:rPr>
                <w:lang w:val="fr-FR"/>
              </w:rPr>
              <w:t>Il doit être</w:t>
            </w:r>
            <w:r w:rsidRPr="00AB72EE">
              <w:rPr>
                <w:lang w:val="fr-FR"/>
              </w:rPr>
              <w:t xml:space="preserve"> au </w:t>
            </w:r>
            <w:r w:rsidRPr="004D0169">
              <w:rPr>
                <w:lang w:val="fr-FR"/>
              </w:rPr>
              <w:t xml:space="preserve">minimum </w:t>
            </w:r>
            <w:r w:rsidR="006C0060" w:rsidRPr="004D0169">
              <w:rPr>
                <w:lang w:val="fr-FR"/>
              </w:rPr>
              <w:t>contrôlé</w:t>
            </w:r>
            <w:r w:rsidR="006C0060">
              <w:rPr>
                <w:lang w:val="fr-FR"/>
              </w:rPr>
              <w:t xml:space="preserve"> </w:t>
            </w:r>
            <w:r w:rsidRPr="00AB72EE">
              <w:rPr>
                <w:lang w:val="fr-FR"/>
              </w:rPr>
              <w:t>les sanctions</w:t>
            </w:r>
            <w:r w:rsidR="00564E42">
              <w:rPr>
                <w:lang w:val="fr-FR"/>
              </w:rPr>
              <w:t xml:space="preserve"> </w:t>
            </w:r>
            <w:r w:rsidR="00564E42" w:rsidRPr="004D0169">
              <w:rPr>
                <w:lang w:val="fr-FR"/>
              </w:rPr>
              <w:t>prises par</w:t>
            </w:r>
            <w:r w:rsidR="006C0060" w:rsidRPr="004D0169">
              <w:rPr>
                <w:lang w:val="fr-FR"/>
              </w:rPr>
              <w:t xml:space="preserve"> l’Organisation des</w:t>
            </w:r>
            <w:r w:rsidRPr="00AB72EE">
              <w:rPr>
                <w:lang w:val="fr-FR"/>
              </w:rPr>
              <w:t xml:space="preserve"> Nations unie</w:t>
            </w:r>
            <w:r w:rsidRPr="004D0169">
              <w:rPr>
                <w:lang w:val="fr-FR"/>
              </w:rPr>
              <w:t xml:space="preserve">s et </w:t>
            </w:r>
            <w:r w:rsidR="00564E42" w:rsidRPr="004D0169">
              <w:rPr>
                <w:lang w:val="fr-FR"/>
              </w:rPr>
              <w:t>par</w:t>
            </w:r>
            <w:r w:rsidRPr="004D0169">
              <w:rPr>
                <w:lang w:val="fr-FR"/>
              </w:rPr>
              <w:t xml:space="preserve"> l’Union</w:t>
            </w:r>
            <w:r w:rsidRPr="00AB72EE">
              <w:rPr>
                <w:lang w:val="fr-FR"/>
              </w:rPr>
              <w:t xml:space="preserve"> européenne. Ces vérifications doivent être effectuées de manière continue, les listes de sanctions étant régulièrement mises à jour.</w:t>
            </w:r>
          </w:p>
        </w:tc>
      </w:tr>
      <w:tr w:rsidR="003732C2" w:rsidRPr="004D0169" w14:paraId="51C59EC1" w14:textId="77777777" w:rsidTr="00CC4239">
        <w:tc>
          <w:tcPr>
            <w:tcW w:w="10060" w:type="dxa"/>
          </w:tcPr>
          <w:p w14:paraId="3CC7A304" w14:textId="00642D55" w:rsidR="003732C2" w:rsidRPr="00845C56" w:rsidRDefault="00360374" w:rsidP="00CC4239">
            <w:pPr>
              <w:rPr>
                <w:i/>
                <w:iCs/>
                <w:lang w:val="fr-FR"/>
              </w:rPr>
            </w:pPr>
            <w:r w:rsidRPr="00360374">
              <w:rPr>
                <w:i/>
                <w:iCs/>
                <w:lang w:val="fr-FR"/>
              </w:rPr>
              <w:t>Réglementation locale :</w:t>
            </w:r>
            <w:r w:rsidR="003732C2" w:rsidRPr="005740E4">
              <w:rPr>
                <w:lang w:val="fr-FR"/>
              </w:rPr>
              <w:t xml:space="preserve"> </w:t>
            </w:r>
            <w:r w:rsidRPr="00360374">
              <w:rPr>
                <w:lang w:val="fr-FR"/>
              </w:rPr>
              <w:t>Les organisations partenaires ne doivent travailler qu’avec des parties dûment agréées et enregistrées, y compris les agents IMT</w:t>
            </w:r>
            <w:r>
              <w:rPr>
                <w:lang w:val="fr-FR"/>
              </w:rPr>
              <w:t>S</w:t>
            </w:r>
            <w:r w:rsidRPr="00360374">
              <w:rPr>
                <w:lang w:val="fr-FR"/>
              </w:rPr>
              <w:t>/</w:t>
            </w:r>
            <w:proofErr w:type="spellStart"/>
            <w:r w:rsidRPr="00360374">
              <w:rPr>
                <w:lang w:val="fr-FR"/>
              </w:rPr>
              <w:t>hawala</w:t>
            </w:r>
            <w:proofErr w:type="spellEnd"/>
            <w:r w:rsidRPr="00360374">
              <w:rPr>
                <w:lang w:val="fr-FR"/>
              </w:rPr>
              <w:t xml:space="preserve"> locaux.</w:t>
            </w:r>
          </w:p>
        </w:tc>
      </w:tr>
      <w:tr w:rsidR="003F4569" w:rsidRPr="004D0169" w14:paraId="528B8AD8" w14:textId="77777777" w:rsidTr="003F4569">
        <w:tc>
          <w:tcPr>
            <w:tcW w:w="10060" w:type="dxa"/>
            <w:shd w:val="clear" w:color="auto" w:fill="BFBFBF" w:themeFill="background1" w:themeFillShade="BF"/>
          </w:tcPr>
          <w:p w14:paraId="47B3A9F2" w14:textId="1089701D" w:rsidR="003F4569" w:rsidRPr="005740E4" w:rsidRDefault="003F4569" w:rsidP="00CC4239">
            <w:pPr>
              <w:rPr>
                <w:i/>
                <w:iCs/>
                <w:lang w:val="fr-FR"/>
              </w:rPr>
            </w:pPr>
            <w:r w:rsidRPr="005740E4">
              <w:rPr>
                <w:b/>
                <w:bCs/>
                <w:lang w:val="fr-FR"/>
              </w:rPr>
              <w:t xml:space="preserve">5. </w:t>
            </w:r>
            <w:r w:rsidR="00360374">
              <w:rPr>
                <w:b/>
                <w:bCs/>
                <w:lang w:val="fr-FR"/>
              </w:rPr>
              <w:t xml:space="preserve"> </w:t>
            </w:r>
            <w:r w:rsidR="00360374" w:rsidRPr="00360374">
              <w:rPr>
                <w:b/>
                <w:bCs/>
                <w:lang w:val="fr-FR"/>
              </w:rPr>
              <w:t>Transparence du transfert de fonds</w:t>
            </w:r>
          </w:p>
        </w:tc>
      </w:tr>
      <w:tr w:rsidR="003732C2" w:rsidRPr="004D0169" w14:paraId="6456F41A" w14:textId="77777777" w:rsidTr="00CC4239">
        <w:tc>
          <w:tcPr>
            <w:tcW w:w="10060" w:type="dxa"/>
          </w:tcPr>
          <w:p w14:paraId="3FFCE7D7" w14:textId="147C3345" w:rsidR="003732C2" w:rsidRPr="005740E4" w:rsidRDefault="00360374" w:rsidP="00CC4239">
            <w:pPr>
              <w:rPr>
                <w:lang w:val="fr-FR"/>
              </w:rPr>
            </w:pPr>
            <w:r w:rsidRPr="00360374">
              <w:rPr>
                <w:i/>
                <w:iCs/>
                <w:lang w:val="fr-FR"/>
              </w:rPr>
              <w:lastRenderedPageBreak/>
              <w:t>Paiement à l’agent IMT</w:t>
            </w:r>
            <w:r>
              <w:rPr>
                <w:i/>
                <w:iCs/>
                <w:lang w:val="fr-FR"/>
              </w:rPr>
              <w:t>S</w:t>
            </w:r>
            <w:r w:rsidRPr="00360374">
              <w:rPr>
                <w:i/>
                <w:iCs/>
                <w:lang w:val="fr-FR"/>
              </w:rPr>
              <w:t>/</w:t>
            </w:r>
            <w:proofErr w:type="spellStart"/>
            <w:r w:rsidRPr="00360374">
              <w:rPr>
                <w:i/>
                <w:iCs/>
                <w:lang w:val="fr-FR"/>
              </w:rPr>
              <w:t>hawala</w:t>
            </w:r>
            <w:proofErr w:type="spellEnd"/>
            <w:r w:rsidRPr="00360374">
              <w:rPr>
                <w:i/>
                <w:iCs/>
                <w:lang w:val="fr-FR"/>
              </w:rPr>
              <w:t xml:space="preserve"> et piste d’audit :</w:t>
            </w:r>
            <w:r w:rsidR="003732C2" w:rsidRPr="005740E4">
              <w:rPr>
                <w:lang w:val="fr-FR"/>
              </w:rPr>
              <w:t xml:space="preserve"> </w:t>
            </w:r>
            <w:r w:rsidRPr="00360374">
              <w:rPr>
                <w:lang w:val="fr-FR"/>
              </w:rPr>
              <w:t xml:space="preserve"> Il faut documenter que les fonds destinés à l’agent IMT</w:t>
            </w:r>
            <w:r>
              <w:rPr>
                <w:lang w:val="fr-FR"/>
              </w:rPr>
              <w:t>S</w:t>
            </w:r>
            <w:r w:rsidRPr="00360374">
              <w:rPr>
                <w:lang w:val="fr-FR"/>
              </w:rPr>
              <w:t>/</w:t>
            </w:r>
            <w:proofErr w:type="spellStart"/>
            <w:r w:rsidRPr="00360374">
              <w:rPr>
                <w:lang w:val="fr-FR"/>
              </w:rPr>
              <w:t>hawala</w:t>
            </w:r>
            <w:proofErr w:type="spellEnd"/>
            <w:r w:rsidRPr="00360374">
              <w:rPr>
                <w:lang w:val="fr-FR"/>
              </w:rPr>
              <w:t xml:space="preserve"> sont transférés sur un compte identifié auprès d’une banque ou d’une autre institution réglementée (l’usage d’espèces devant être évité), afin d’assurer une piste d’audit. Cette exigence de traçabilité s’applique aux transferts effectués par l’agent IMT</w:t>
            </w:r>
            <w:r>
              <w:rPr>
                <w:lang w:val="fr-FR"/>
              </w:rPr>
              <w:t>S</w:t>
            </w:r>
            <w:r w:rsidRPr="00360374">
              <w:rPr>
                <w:lang w:val="fr-FR"/>
              </w:rPr>
              <w:t>/</w:t>
            </w:r>
            <w:proofErr w:type="spellStart"/>
            <w:r w:rsidRPr="00360374">
              <w:rPr>
                <w:lang w:val="fr-FR"/>
              </w:rPr>
              <w:t>hawala</w:t>
            </w:r>
            <w:proofErr w:type="spellEnd"/>
            <w:r w:rsidRPr="00360374">
              <w:rPr>
                <w:lang w:val="fr-FR"/>
              </w:rPr>
              <w:t xml:space="preserve"> recevant initialement les fonds de l’organisation ainsi qu’à tout transfert ultérieur à des agents IMT</w:t>
            </w:r>
            <w:r>
              <w:rPr>
                <w:lang w:val="fr-FR"/>
              </w:rPr>
              <w:t>S</w:t>
            </w:r>
            <w:r w:rsidRPr="00360374">
              <w:rPr>
                <w:lang w:val="fr-FR"/>
              </w:rPr>
              <w:t>/</w:t>
            </w:r>
            <w:proofErr w:type="spellStart"/>
            <w:r w:rsidRPr="00360374">
              <w:rPr>
                <w:lang w:val="fr-FR"/>
              </w:rPr>
              <w:t>hawala</w:t>
            </w:r>
            <w:proofErr w:type="spellEnd"/>
            <w:r w:rsidRPr="00360374">
              <w:rPr>
                <w:lang w:val="fr-FR"/>
              </w:rPr>
              <w:t xml:space="preserve"> locaux.</w:t>
            </w:r>
          </w:p>
        </w:tc>
      </w:tr>
      <w:tr w:rsidR="003732C2" w:rsidRPr="004D0169" w14:paraId="74F901C8" w14:textId="77777777" w:rsidTr="00CC4239">
        <w:tc>
          <w:tcPr>
            <w:tcW w:w="10060" w:type="dxa"/>
          </w:tcPr>
          <w:p w14:paraId="76DF70D8" w14:textId="79BF09FE" w:rsidR="003732C2" w:rsidRPr="005740E4" w:rsidRDefault="00360374" w:rsidP="00CC4239">
            <w:pPr>
              <w:rPr>
                <w:lang w:val="fr-FR"/>
              </w:rPr>
            </w:pPr>
            <w:r w:rsidRPr="00360374">
              <w:rPr>
                <w:i/>
                <w:iCs/>
                <w:lang w:val="fr-FR"/>
              </w:rPr>
              <w:t>Paiement au bénéficiaire final :</w:t>
            </w:r>
            <w:r>
              <w:rPr>
                <w:i/>
                <w:iCs/>
                <w:lang w:val="fr-FR"/>
              </w:rPr>
              <w:t xml:space="preserve"> </w:t>
            </w:r>
            <w:r w:rsidRPr="00845C56">
              <w:rPr>
                <w:lang w:val="fr-FR"/>
              </w:rPr>
              <w:t xml:space="preserve"> </w:t>
            </w:r>
            <w:r w:rsidRPr="00360374">
              <w:rPr>
                <w:lang w:val="fr-FR"/>
              </w:rPr>
              <w:t>Il faut documenter que les fonds ont bien été retirés par le bénéficiaire final.</w:t>
            </w:r>
          </w:p>
        </w:tc>
      </w:tr>
    </w:tbl>
    <w:p w14:paraId="619B860E" w14:textId="731A1246" w:rsidR="003732C2" w:rsidRPr="005740E4" w:rsidRDefault="003732C2" w:rsidP="003732C2">
      <w:pPr>
        <w:rPr>
          <w:b/>
          <w:bCs/>
          <w:lang w:val="fr-FR"/>
        </w:rPr>
      </w:pPr>
      <w:r w:rsidRPr="005740E4">
        <w:rPr>
          <w:b/>
          <w:bCs/>
          <w:lang w:val="fr-FR"/>
        </w:rPr>
        <w:t xml:space="preserve">   </w:t>
      </w:r>
    </w:p>
    <w:p w14:paraId="69127B68" w14:textId="51587326" w:rsidR="007D2987" w:rsidRPr="005740E4" w:rsidRDefault="007D2987">
      <w:pPr>
        <w:rPr>
          <w:lang w:val="fr-FR"/>
        </w:rPr>
      </w:pPr>
    </w:p>
    <w:sectPr w:rsidR="007D2987" w:rsidRPr="005740E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643A"/>
    <w:multiLevelType w:val="multilevel"/>
    <w:tmpl w:val="C9FA1FA0"/>
    <w:lvl w:ilvl="0">
      <w:start w:val="1"/>
      <w:numFmt w:val="decimal"/>
      <w:pStyle w:val="Heading1"/>
      <w:lvlText w:val="%1"/>
      <w:lvlJc w:val="left"/>
      <w:pPr>
        <w:ind w:left="851" w:hanging="851"/>
      </w:pPr>
      <w:rPr>
        <w:rFonts w:hint="default"/>
        <w:b/>
        <w:i w:val="0"/>
        <w:sz w:val="19"/>
        <w:szCs w:val="19"/>
      </w:rPr>
    </w:lvl>
    <w:lvl w:ilvl="1">
      <w:start w:val="1"/>
      <w:numFmt w:val="decimal"/>
      <w:pStyle w:val="Afsnitsnummerering2"/>
      <w:lvlText w:val="%1.%2"/>
      <w:lvlJc w:val="left"/>
      <w:pPr>
        <w:ind w:left="851" w:hanging="851"/>
      </w:pPr>
      <w:rPr>
        <w:rFonts w:hint="default"/>
        <w:b w:val="0"/>
        <w:i w:val="0"/>
        <w:sz w:val="19"/>
        <w:szCs w:val="19"/>
      </w:rPr>
    </w:lvl>
    <w:lvl w:ilvl="2">
      <w:start w:val="1"/>
      <w:numFmt w:val="decimal"/>
      <w:pStyle w:val="Afsnitsnummerering3"/>
      <w:lvlText w:val="%1.%2.%3"/>
      <w:lvlJc w:val="left"/>
      <w:pPr>
        <w:ind w:left="851" w:hanging="851"/>
      </w:pPr>
      <w:rPr>
        <w:rFonts w:hint="default"/>
        <w:b w:val="0"/>
        <w:i w:val="0"/>
        <w:sz w:val="19"/>
        <w:szCs w:val="19"/>
      </w:rPr>
    </w:lvl>
    <w:lvl w:ilvl="3">
      <w:start w:val="1"/>
      <w:numFmt w:val="decimal"/>
      <w:pStyle w:val="Afsnitsnummerering4"/>
      <w:lvlText w:val="%1.%2.%3.%4"/>
      <w:lvlJc w:val="left"/>
      <w:pPr>
        <w:ind w:left="851" w:hanging="851"/>
      </w:pPr>
      <w:rPr>
        <w:rFonts w:hint="default"/>
        <w:sz w:val="19"/>
        <w:szCs w:val="19"/>
      </w:rPr>
    </w:lvl>
    <w:lvl w:ilvl="4">
      <w:start w:val="1"/>
      <w:numFmt w:val="decimal"/>
      <w:pStyle w:val="Afsnitsnummerering5"/>
      <w:lvlText w:val="%1.%2.%3.%4.%5"/>
      <w:lvlJc w:val="left"/>
      <w:pPr>
        <w:ind w:left="851" w:hanging="851"/>
      </w:pPr>
      <w:rPr>
        <w:rFonts w:hint="default"/>
        <w:sz w:val="19"/>
        <w:szCs w:val="19"/>
      </w:rPr>
    </w:lvl>
    <w:lvl w:ilvl="5">
      <w:start w:val="1"/>
      <w:numFmt w:val="lowerLetter"/>
      <w:pStyle w:val="Opstillingermeda"/>
      <w:lvlText w:val="(%6)"/>
      <w:lvlJc w:val="left"/>
      <w:pPr>
        <w:ind w:left="1418" w:hanging="567"/>
      </w:pPr>
      <w:rPr>
        <w:rFonts w:hint="default"/>
        <w:sz w:val="19"/>
      </w:rPr>
    </w:lvl>
    <w:lvl w:ilvl="6">
      <w:start w:val="1"/>
      <w:numFmt w:val="decimal"/>
      <w:lvlRestart w:val="5"/>
      <w:pStyle w:val="Opstillingmed1"/>
      <w:lvlText w:val="(%7)"/>
      <w:lvlJc w:val="left"/>
      <w:pPr>
        <w:ind w:left="1418" w:hanging="567"/>
      </w:pPr>
      <w:rPr>
        <w:rFonts w:hint="default"/>
        <w:sz w:val="19"/>
        <w:u w:val="none"/>
      </w:rPr>
    </w:lvl>
    <w:lvl w:ilvl="7">
      <w:start w:val="1"/>
      <w:numFmt w:val="decimal"/>
      <w:lvlRestart w:val="5"/>
      <w:pStyle w:val="Opstillingmed10"/>
      <w:lvlText w:val="%8."/>
      <w:lvlJc w:val="left"/>
      <w:pPr>
        <w:ind w:left="1418" w:hanging="567"/>
      </w:pPr>
      <w:rPr>
        <w:rFonts w:hint="default"/>
        <w:sz w:val="19"/>
      </w:rPr>
    </w:lvl>
    <w:lvl w:ilvl="8">
      <w:start w:val="1"/>
      <w:numFmt w:val="lowerRoman"/>
      <w:lvlRestart w:val="5"/>
      <w:pStyle w:val="Opstillingmedi"/>
      <w:lvlText w:val="(%9)"/>
      <w:lvlJc w:val="left"/>
      <w:pPr>
        <w:ind w:left="1418" w:hanging="567"/>
      </w:pPr>
      <w:rPr>
        <w:rFonts w:hint="default"/>
        <w:sz w:val="19"/>
      </w:rPr>
    </w:lvl>
  </w:abstractNum>
  <w:abstractNum w:abstractNumId="1" w15:restartNumberingAfterBreak="0">
    <w:nsid w:val="14D97BC9"/>
    <w:multiLevelType w:val="hybridMultilevel"/>
    <w:tmpl w:val="47342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C2"/>
    <w:rsid w:val="000C6761"/>
    <w:rsid w:val="000D6643"/>
    <w:rsid w:val="00173E65"/>
    <w:rsid w:val="001B1E8C"/>
    <w:rsid w:val="00211B35"/>
    <w:rsid w:val="0026203F"/>
    <w:rsid w:val="00281874"/>
    <w:rsid w:val="002A15F6"/>
    <w:rsid w:val="002A7769"/>
    <w:rsid w:val="00332A0C"/>
    <w:rsid w:val="00360374"/>
    <w:rsid w:val="003732C2"/>
    <w:rsid w:val="0039365C"/>
    <w:rsid w:val="003F4569"/>
    <w:rsid w:val="00466548"/>
    <w:rsid w:val="004B24BD"/>
    <w:rsid w:val="004D0169"/>
    <w:rsid w:val="004F0689"/>
    <w:rsid w:val="00504A68"/>
    <w:rsid w:val="00544710"/>
    <w:rsid w:val="00564E42"/>
    <w:rsid w:val="00573866"/>
    <w:rsid w:val="005740E4"/>
    <w:rsid w:val="005800FE"/>
    <w:rsid w:val="0061274A"/>
    <w:rsid w:val="00623BEE"/>
    <w:rsid w:val="00640D1F"/>
    <w:rsid w:val="00672946"/>
    <w:rsid w:val="006A029A"/>
    <w:rsid w:val="006B27C6"/>
    <w:rsid w:val="006B27EC"/>
    <w:rsid w:val="006C0060"/>
    <w:rsid w:val="00742535"/>
    <w:rsid w:val="00757101"/>
    <w:rsid w:val="007D2987"/>
    <w:rsid w:val="008036A9"/>
    <w:rsid w:val="008142E7"/>
    <w:rsid w:val="00833107"/>
    <w:rsid w:val="00836446"/>
    <w:rsid w:val="00845C56"/>
    <w:rsid w:val="008525E5"/>
    <w:rsid w:val="008A086B"/>
    <w:rsid w:val="008A2A3B"/>
    <w:rsid w:val="008A4BCC"/>
    <w:rsid w:val="009B3649"/>
    <w:rsid w:val="009D0BE1"/>
    <w:rsid w:val="00A0002D"/>
    <w:rsid w:val="00A23FA7"/>
    <w:rsid w:val="00A2714C"/>
    <w:rsid w:val="00A44A2D"/>
    <w:rsid w:val="00A707F5"/>
    <w:rsid w:val="00AB72EE"/>
    <w:rsid w:val="00B471EB"/>
    <w:rsid w:val="00C14A37"/>
    <w:rsid w:val="00C431B5"/>
    <w:rsid w:val="00CC0D71"/>
    <w:rsid w:val="00CD118F"/>
    <w:rsid w:val="00DA07FD"/>
    <w:rsid w:val="00DC4EB9"/>
    <w:rsid w:val="00E14BF6"/>
    <w:rsid w:val="00E51C52"/>
    <w:rsid w:val="00E657A0"/>
    <w:rsid w:val="00E93D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56AC"/>
  <w15:chartTrackingRefBased/>
  <w15:docId w15:val="{E27485A3-5A5A-452C-A14A-7F6DFE61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2C2"/>
  </w:style>
  <w:style w:type="paragraph" w:styleId="Heading1">
    <w:name w:val="heading 1"/>
    <w:basedOn w:val="Normal"/>
    <w:next w:val="Afsnitsnummerering2"/>
    <w:link w:val="Heading1Char"/>
    <w:uiPriority w:val="9"/>
    <w:qFormat/>
    <w:rsid w:val="003732C2"/>
    <w:pPr>
      <w:keepNext/>
      <w:keepLines/>
      <w:numPr>
        <w:numId w:val="2"/>
      </w:numPr>
      <w:spacing w:before="240" w:after="160" w:line="240" w:lineRule="atLeast"/>
      <w:jc w:val="both"/>
      <w:outlineLvl w:val="0"/>
    </w:pPr>
    <w:rPr>
      <w:rFonts w:ascii="Tahoma" w:eastAsiaTheme="majorEastAsia" w:hAnsi="Tahoma" w:cstheme="majorBidi"/>
      <w:b/>
      <w:bCs/>
      <w:caps/>
      <w:sz w:val="19"/>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2C2"/>
    <w:rPr>
      <w:rFonts w:ascii="Tahoma" w:eastAsiaTheme="majorEastAsia" w:hAnsi="Tahoma" w:cstheme="majorBidi"/>
      <w:b/>
      <w:bCs/>
      <w:caps/>
      <w:sz w:val="19"/>
      <w:szCs w:val="28"/>
      <w:lang w:val="en-GB"/>
    </w:rPr>
  </w:style>
  <w:style w:type="table" w:styleId="TableGrid">
    <w:name w:val="Table Grid"/>
    <w:basedOn w:val="TableNormal"/>
    <w:uiPriority w:val="59"/>
    <w:rsid w:val="00373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2C2"/>
    <w:pPr>
      <w:ind w:left="720"/>
      <w:contextualSpacing/>
    </w:pPr>
  </w:style>
  <w:style w:type="paragraph" w:customStyle="1" w:styleId="Afsnitsnummerering2">
    <w:name w:val="Afsnitsnummerering 2"/>
    <w:basedOn w:val="Normal"/>
    <w:uiPriority w:val="2"/>
    <w:qFormat/>
    <w:rsid w:val="003732C2"/>
    <w:pPr>
      <w:numPr>
        <w:ilvl w:val="1"/>
        <w:numId w:val="2"/>
      </w:numPr>
      <w:spacing w:before="160" w:after="160" w:line="240" w:lineRule="atLeast"/>
      <w:jc w:val="both"/>
    </w:pPr>
    <w:rPr>
      <w:rFonts w:ascii="Tahoma" w:hAnsi="Tahoma"/>
      <w:sz w:val="19"/>
      <w:szCs w:val="18"/>
      <w:lang w:val="en-GB"/>
    </w:rPr>
  </w:style>
  <w:style w:type="paragraph" w:customStyle="1" w:styleId="Afsnitsnummerering3">
    <w:name w:val="Afsnitsnummerering 3"/>
    <w:basedOn w:val="Normal"/>
    <w:uiPriority w:val="2"/>
    <w:qFormat/>
    <w:rsid w:val="003732C2"/>
    <w:pPr>
      <w:numPr>
        <w:ilvl w:val="2"/>
        <w:numId w:val="2"/>
      </w:numPr>
      <w:spacing w:before="160" w:after="160" w:line="240" w:lineRule="atLeast"/>
      <w:jc w:val="both"/>
    </w:pPr>
    <w:rPr>
      <w:rFonts w:ascii="Tahoma" w:hAnsi="Tahoma"/>
      <w:sz w:val="19"/>
      <w:szCs w:val="18"/>
      <w:lang w:val="en-GB"/>
    </w:rPr>
  </w:style>
  <w:style w:type="paragraph" w:customStyle="1" w:styleId="Afsnitsnummerering4">
    <w:name w:val="Afsnitsnummerering 4"/>
    <w:basedOn w:val="Normal"/>
    <w:uiPriority w:val="2"/>
    <w:qFormat/>
    <w:rsid w:val="003732C2"/>
    <w:pPr>
      <w:numPr>
        <w:ilvl w:val="3"/>
        <w:numId w:val="2"/>
      </w:numPr>
      <w:spacing w:before="160" w:after="160" w:line="240" w:lineRule="atLeast"/>
      <w:jc w:val="both"/>
    </w:pPr>
    <w:rPr>
      <w:rFonts w:ascii="Tahoma" w:hAnsi="Tahoma"/>
      <w:sz w:val="19"/>
      <w:szCs w:val="18"/>
      <w:lang w:val="en-GB"/>
    </w:rPr>
  </w:style>
  <w:style w:type="paragraph" w:customStyle="1" w:styleId="Opstillingermeda">
    <w:name w:val="Opstillinger med (a)"/>
    <w:basedOn w:val="Normal"/>
    <w:uiPriority w:val="2"/>
    <w:qFormat/>
    <w:rsid w:val="003732C2"/>
    <w:pPr>
      <w:numPr>
        <w:ilvl w:val="5"/>
        <w:numId w:val="2"/>
      </w:numPr>
      <w:tabs>
        <w:tab w:val="left" w:pos="1418"/>
      </w:tabs>
      <w:spacing w:before="80" w:after="80" w:line="240" w:lineRule="atLeast"/>
      <w:jc w:val="both"/>
    </w:pPr>
    <w:rPr>
      <w:rFonts w:ascii="Tahoma" w:hAnsi="Tahoma"/>
      <w:sz w:val="19"/>
      <w:szCs w:val="18"/>
      <w:lang w:val="en-GB"/>
    </w:rPr>
  </w:style>
  <w:style w:type="paragraph" w:customStyle="1" w:styleId="Opstillingmed1">
    <w:name w:val="Opstilling med (1)"/>
    <w:basedOn w:val="Normal"/>
    <w:uiPriority w:val="2"/>
    <w:qFormat/>
    <w:rsid w:val="003732C2"/>
    <w:pPr>
      <w:numPr>
        <w:ilvl w:val="6"/>
        <w:numId w:val="2"/>
      </w:numPr>
      <w:spacing w:before="80" w:after="80" w:line="240" w:lineRule="atLeast"/>
      <w:jc w:val="both"/>
    </w:pPr>
    <w:rPr>
      <w:rFonts w:ascii="Tahoma" w:hAnsi="Tahoma"/>
      <w:sz w:val="19"/>
      <w:szCs w:val="18"/>
      <w:lang w:val="en-GB"/>
    </w:rPr>
  </w:style>
  <w:style w:type="paragraph" w:customStyle="1" w:styleId="Opstillingmed10">
    <w:name w:val="Opstilling med 1."/>
    <w:basedOn w:val="Normal"/>
    <w:uiPriority w:val="2"/>
    <w:qFormat/>
    <w:rsid w:val="003732C2"/>
    <w:pPr>
      <w:numPr>
        <w:ilvl w:val="7"/>
        <w:numId w:val="2"/>
      </w:numPr>
      <w:spacing w:before="80" w:after="80" w:line="240" w:lineRule="atLeast"/>
      <w:jc w:val="both"/>
    </w:pPr>
    <w:rPr>
      <w:rFonts w:ascii="Tahoma" w:hAnsi="Tahoma"/>
      <w:sz w:val="19"/>
      <w:szCs w:val="18"/>
      <w:lang w:val="en-GB"/>
    </w:rPr>
  </w:style>
  <w:style w:type="paragraph" w:customStyle="1" w:styleId="Opstillingmedi">
    <w:name w:val="Opstilling med (i)"/>
    <w:basedOn w:val="Normal"/>
    <w:uiPriority w:val="2"/>
    <w:qFormat/>
    <w:rsid w:val="003732C2"/>
    <w:pPr>
      <w:numPr>
        <w:ilvl w:val="8"/>
        <w:numId w:val="2"/>
      </w:numPr>
      <w:spacing w:before="80" w:after="80" w:line="240" w:lineRule="atLeast"/>
      <w:jc w:val="both"/>
    </w:pPr>
    <w:rPr>
      <w:rFonts w:ascii="Tahoma" w:hAnsi="Tahoma"/>
      <w:sz w:val="19"/>
      <w:szCs w:val="18"/>
      <w:lang w:val="en-GB"/>
    </w:rPr>
  </w:style>
  <w:style w:type="paragraph" w:customStyle="1" w:styleId="Afsnitsnummerering5">
    <w:name w:val="Afsnitsnummerering 5"/>
    <w:basedOn w:val="Normal"/>
    <w:uiPriority w:val="2"/>
    <w:qFormat/>
    <w:rsid w:val="003732C2"/>
    <w:pPr>
      <w:numPr>
        <w:ilvl w:val="4"/>
        <w:numId w:val="2"/>
      </w:numPr>
      <w:spacing w:before="160" w:after="160" w:line="240" w:lineRule="atLeast"/>
      <w:jc w:val="both"/>
    </w:pPr>
    <w:rPr>
      <w:rFonts w:ascii="Tahoma" w:hAnsi="Tahoma"/>
      <w:sz w:val="19"/>
      <w:szCs w:val="18"/>
      <w:lang w:val="en-GB"/>
    </w:rPr>
  </w:style>
  <w:style w:type="character" w:styleId="CommentReference">
    <w:name w:val="annotation reference"/>
    <w:basedOn w:val="DefaultParagraphFont"/>
    <w:uiPriority w:val="99"/>
    <w:semiHidden/>
    <w:unhideWhenUsed/>
    <w:rsid w:val="00A0002D"/>
    <w:rPr>
      <w:sz w:val="16"/>
      <w:szCs w:val="16"/>
    </w:rPr>
  </w:style>
  <w:style w:type="paragraph" w:styleId="CommentText">
    <w:name w:val="annotation text"/>
    <w:basedOn w:val="Normal"/>
    <w:link w:val="CommentTextChar"/>
    <w:uiPriority w:val="99"/>
    <w:semiHidden/>
    <w:unhideWhenUsed/>
    <w:rsid w:val="00A0002D"/>
    <w:pPr>
      <w:spacing w:line="240" w:lineRule="auto"/>
    </w:pPr>
  </w:style>
  <w:style w:type="character" w:customStyle="1" w:styleId="CommentTextChar">
    <w:name w:val="Comment Text Char"/>
    <w:basedOn w:val="DefaultParagraphFont"/>
    <w:link w:val="CommentText"/>
    <w:uiPriority w:val="99"/>
    <w:semiHidden/>
    <w:rsid w:val="00A0002D"/>
  </w:style>
  <w:style w:type="paragraph" w:styleId="CommentSubject">
    <w:name w:val="annotation subject"/>
    <w:basedOn w:val="CommentText"/>
    <w:next w:val="CommentText"/>
    <w:link w:val="CommentSubjectChar"/>
    <w:uiPriority w:val="99"/>
    <w:semiHidden/>
    <w:unhideWhenUsed/>
    <w:rsid w:val="00A0002D"/>
    <w:rPr>
      <w:b/>
      <w:bCs/>
    </w:rPr>
  </w:style>
  <w:style w:type="character" w:customStyle="1" w:styleId="CommentSubjectChar">
    <w:name w:val="Comment Subject Char"/>
    <w:basedOn w:val="CommentTextChar"/>
    <w:link w:val="CommentSubject"/>
    <w:uiPriority w:val="99"/>
    <w:semiHidden/>
    <w:rsid w:val="00A00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57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4B25E-2535-4391-B70E-56BBC175C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3872</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Refika Hayta</dc:creator>
  <cp:keywords/>
  <dc:description/>
  <cp:lastModifiedBy>Albert Lenz Bærentsen</cp:lastModifiedBy>
  <cp:revision>2</cp:revision>
  <dcterms:created xsi:type="dcterms:W3CDTF">2025-10-30T11:30:00Z</dcterms:created>
  <dcterms:modified xsi:type="dcterms:W3CDTF">2025-10-30T11:30:00Z</dcterms:modified>
</cp:coreProperties>
</file>