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860" w:rsidRPr="003E27CF" w:rsidRDefault="00191860" w:rsidP="00191860">
      <w:pPr>
        <w:jc w:val="right"/>
        <w:rPr>
          <w:rFonts w:ascii="Cambria" w:hAnsi="Cambria"/>
          <w:i/>
          <w:sz w:val="16"/>
          <w:szCs w:val="16"/>
          <w:lang w:val="en-GB"/>
        </w:rPr>
      </w:pPr>
      <w:r w:rsidRPr="003E27CF">
        <w:rPr>
          <w:rFonts w:ascii="Cambria" w:hAnsi="Cambria"/>
          <w:i/>
          <w:sz w:val="16"/>
          <w:szCs w:val="16"/>
          <w:lang w:val="en-GB"/>
        </w:rPr>
        <w:t>V. 22.11.2020</w:t>
      </w:r>
    </w:p>
    <w:p w:rsidR="002B0BF7" w:rsidRPr="003E27CF" w:rsidRDefault="00E84411">
      <w:pPr>
        <w:rPr>
          <w:rFonts w:ascii="Garamond" w:hAnsi="Garamond"/>
          <w:b/>
          <w:sz w:val="24"/>
          <w:szCs w:val="24"/>
          <w:lang w:val="en-GB"/>
        </w:rPr>
      </w:pPr>
      <w:r w:rsidRPr="003E27CF">
        <w:rPr>
          <w:rFonts w:ascii="Garamond" w:hAnsi="Garamond"/>
          <w:b/>
          <w:sz w:val="24"/>
          <w:szCs w:val="24"/>
          <w:lang w:val="en-GB"/>
        </w:rPr>
        <w:t>Content</w:t>
      </w:r>
      <w:r w:rsidR="002B0BF7" w:rsidRPr="003E27CF">
        <w:rPr>
          <w:rFonts w:ascii="Garamond" w:hAnsi="Garamond"/>
          <w:b/>
          <w:sz w:val="24"/>
          <w:szCs w:val="24"/>
          <w:lang w:val="en-GB"/>
        </w:rPr>
        <w:t xml:space="preserve"> for Country Strategic Framework</w:t>
      </w:r>
    </w:p>
    <w:p w:rsidR="002B0BF7" w:rsidRPr="003E27CF" w:rsidRDefault="002B0BF7" w:rsidP="002B0BF7">
      <w:pPr>
        <w:pStyle w:val="Listeafsnit"/>
        <w:numPr>
          <w:ilvl w:val="0"/>
          <w:numId w:val="3"/>
        </w:numPr>
        <w:spacing w:line="240" w:lineRule="auto"/>
        <w:rPr>
          <w:rFonts w:ascii="Garamond" w:hAnsi="Garamond" w:cs="Garamond"/>
          <w:b/>
          <w:color w:val="000000"/>
          <w:sz w:val="24"/>
          <w:szCs w:val="24"/>
          <w:lang w:val="en-GB"/>
        </w:rPr>
      </w:pPr>
      <w:r w:rsidRPr="003E27CF">
        <w:rPr>
          <w:rFonts w:ascii="Garamond" w:hAnsi="Garamond" w:cs="Times New Roman"/>
          <w:b/>
          <w:color w:val="000000" w:themeColor="text1"/>
          <w:sz w:val="24"/>
          <w:szCs w:val="24"/>
          <w:lang w:val="en-GB"/>
        </w:rPr>
        <w:t>Analysis of context, challenges and risks</w:t>
      </w:r>
      <w:r w:rsidR="00ED7871" w:rsidRPr="003E27CF">
        <w:rPr>
          <w:rFonts w:ascii="Garamond" w:hAnsi="Garamond" w:cs="Times New Roman"/>
          <w:b/>
          <w:color w:val="000000" w:themeColor="text1"/>
          <w:sz w:val="24"/>
          <w:szCs w:val="24"/>
          <w:lang w:val="en-GB"/>
        </w:rPr>
        <w:t xml:space="preserve"> </w:t>
      </w:r>
      <w:r w:rsidR="00ED7871" w:rsidRPr="003E27CF">
        <w:rPr>
          <w:rFonts w:ascii="Garamond" w:hAnsi="Garamond" w:cs="Times New Roman"/>
          <w:color w:val="000000" w:themeColor="text1"/>
          <w:sz w:val="24"/>
          <w:szCs w:val="24"/>
          <w:lang w:val="en-GB"/>
        </w:rPr>
        <w:t>(</w:t>
      </w:r>
      <w:r w:rsidR="00191860" w:rsidRPr="003E27CF">
        <w:rPr>
          <w:rFonts w:ascii="Garamond" w:hAnsi="Garamond" w:cs="Times New Roman"/>
          <w:i/>
          <w:color w:val="000000" w:themeColor="text1"/>
          <w:sz w:val="24"/>
          <w:szCs w:val="24"/>
          <w:lang w:val="en-GB"/>
        </w:rPr>
        <w:t>guidance in A</w:t>
      </w:r>
      <w:r w:rsidR="00ED7871" w:rsidRPr="003E27CF">
        <w:rPr>
          <w:rFonts w:ascii="Garamond" w:hAnsi="Garamond" w:cs="Times New Roman"/>
          <w:i/>
          <w:color w:val="000000" w:themeColor="text1"/>
          <w:sz w:val="24"/>
          <w:szCs w:val="24"/>
          <w:lang w:val="en-GB"/>
        </w:rPr>
        <w:t>nnex 1</w:t>
      </w:r>
      <w:r w:rsidR="00ED7871" w:rsidRPr="003E27CF">
        <w:rPr>
          <w:rFonts w:ascii="Garamond" w:hAnsi="Garamond" w:cs="Times New Roman"/>
          <w:color w:val="000000" w:themeColor="text1"/>
          <w:sz w:val="24"/>
          <w:szCs w:val="24"/>
          <w:lang w:val="en-GB"/>
        </w:rPr>
        <w:t>)</w:t>
      </w:r>
      <w:r w:rsidRPr="003E27CF">
        <w:rPr>
          <w:rFonts w:ascii="Garamond" w:hAnsi="Garamond" w:cs="Times New Roman"/>
          <w:color w:val="000000" w:themeColor="text1"/>
          <w:sz w:val="24"/>
          <w:szCs w:val="24"/>
          <w:lang w:val="en-GB"/>
        </w:rPr>
        <w:t>:</w:t>
      </w:r>
      <w:r w:rsidRPr="003E27CF">
        <w:rPr>
          <w:rFonts w:ascii="Garamond" w:hAnsi="Garamond" w:cs="Times New Roman"/>
          <w:b/>
          <w:color w:val="000000" w:themeColor="text1"/>
          <w:sz w:val="24"/>
          <w:szCs w:val="24"/>
          <w:lang w:val="en-GB"/>
        </w:rPr>
        <w:t xml:space="preserve"> </w:t>
      </w:r>
    </w:p>
    <w:p w:rsidR="002B0BF7" w:rsidRPr="003E27CF" w:rsidRDefault="002B0BF7" w:rsidP="002B0BF7">
      <w:pPr>
        <w:pStyle w:val="Listeafsnit"/>
        <w:numPr>
          <w:ilvl w:val="0"/>
          <w:numId w:val="2"/>
        </w:numPr>
        <w:spacing w:line="240" w:lineRule="auto"/>
        <w:ind w:left="426" w:hanging="284"/>
        <w:rPr>
          <w:rFonts w:ascii="Garamond" w:hAnsi="Garamond" w:cs="Times New Roman"/>
          <w:color w:val="000000" w:themeColor="text1"/>
          <w:sz w:val="24"/>
          <w:szCs w:val="24"/>
          <w:lang w:val="en-GB"/>
        </w:rPr>
      </w:pPr>
      <w:r w:rsidRPr="003E27CF">
        <w:rPr>
          <w:rFonts w:ascii="Garamond" w:hAnsi="Garamond" w:cs="Times New Roman"/>
          <w:color w:val="000000" w:themeColor="text1"/>
          <w:sz w:val="24"/>
          <w:szCs w:val="24"/>
          <w:lang w:val="en-GB"/>
        </w:rPr>
        <w:t xml:space="preserve">Short, sharp and concise description of context, challenges, risks and opportunities, that are relevant to Denmark’s engagement and priorities. The aim is to cover </w:t>
      </w:r>
      <w:proofErr w:type="spellStart"/>
      <w:r w:rsidRPr="003E27CF">
        <w:rPr>
          <w:rFonts w:ascii="Garamond" w:hAnsi="Garamond" w:cs="Times New Roman"/>
          <w:color w:val="000000" w:themeColor="text1"/>
          <w:sz w:val="24"/>
          <w:szCs w:val="24"/>
          <w:lang w:val="en-GB"/>
        </w:rPr>
        <w:t>i.a</w:t>
      </w:r>
      <w:proofErr w:type="spellEnd"/>
      <w:r w:rsidRPr="003E27CF">
        <w:rPr>
          <w:rFonts w:ascii="Garamond" w:hAnsi="Garamond" w:cs="Times New Roman"/>
          <w:color w:val="000000" w:themeColor="text1"/>
          <w:sz w:val="24"/>
          <w:szCs w:val="24"/>
          <w:lang w:val="en-GB"/>
        </w:rPr>
        <w:t xml:space="preserve">. political, security, economic developments, including issues of fragility/conflict/irregular migration, democratization, human rights, vulnerability to climate change etc. </w:t>
      </w:r>
    </w:p>
    <w:p w:rsidR="002B0BF7" w:rsidRPr="003E27CF" w:rsidRDefault="002B0BF7" w:rsidP="002B0BF7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Garamond" w:hAnsi="Garamond" w:cs="Garamond"/>
          <w:color w:val="000000"/>
          <w:sz w:val="24"/>
          <w:szCs w:val="24"/>
          <w:lang w:val="en-GB"/>
        </w:rPr>
      </w:pPr>
      <w:r w:rsidRPr="003E27CF">
        <w:rPr>
          <w:rFonts w:ascii="Garamond" w:hAnsi="Garamond" w:cs="Garamond"/>
          <w:color w:val="000000"/>
          <w:sz w:val="24"/>
          <w:szCs w:val="24"/>
          <w:lang w:val="en-GB"/>
        </w:rPr>
        <w:t>Lessons learned from previous engagements (in all areas/instruments)</w:t>
      </w:r>
    </w:p>
    <w:p w:rsidR="002B0BF7" w:rsidRPr="003E27CF" w:rsidRDefault="002B0BF7" w:rsidP="002B0BF7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31" w:line="240" w:lineRule="auto"/>
        <w:ind w:left="426" w:hanging="284"/>
        <w:rPr>
          <w:rFonts w:ascii="Garamond" w:hAnsi="Garamond" w:cs="Garamond"/>
          <w:color w:val="000000"/>
          <w:sz w:val="24"/>
          <w:szCs w:val="24"/>
          <w:lang w:val="en-GB"/>
        </w:rPr>
      </w:pPr>
      <w:r w:rsidRPr="003E27CF">
        <w:rPr>
          <w:rFonts w:ascii="Garamond" w:hAnsi="Garamond" w:cs="Garamond"/>
          <w:color w:val="000000"/>
          <w:sz w:val="24"/>
          <w:szCs w:val="24"/>
          <w:lang w:val="en-GB"/>
        </w:rPr>
        <w:t>Working with partners/harmonization</w:t>
      </w:r>
    </w:p>
    <w:p w:rsidR="002B0BF7" w:rsidRPr="003E27CF" w:rsidRDefault="002B0BF7" w:rsidP="002B0BF7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31" w:line="240" w:lineRule="auto"/>
        <w:ind w:left="426" w:hanging="284"/>
        <w:rPr>
          <w:rFonts w:ascii="Garamond" w:hAnsi="Garamond" w:cs="Garamond"/>
          <w:color w:val="000000"/>
          <w:sz w:val="24"/>
          <w:szCs w:val="24"/>
          <w:lang w:val="en-GB"/>
        </w:rPr>
      </w:pPr>
      <w:r w:rsidRPr="003E27CF">
        <w:rPr>
          <w:rFonts w:ascii="Garamond" w:hAnsi="Garamond" w:cs="Times New Roman"/>
          <w:color w:val="000000" w:themeColor="text1"/>
          <w:sz w:val="24"/>
          <w:szCs w:val="24"/>
          <w:lang w:val="en-GB"/>
        </w:rPr>
        <w:t>Scenarios</w:t>
      </w:r>
      <w:r w:rsidR="00E31F42" w:rsidRPr="003E27CF">
        <w:rPr>
          <w:rFonts w:ascii="Garamond" w:hAnsi="Garamond" w:cs="Times New Roman"/>
          <w:color w:val="000000" w:themeColor="text1"/>
          <w:sz w:val="24"/>
          <w:szCs w:val="24"/>
          <w:lang w:val="en-GB"/>
        </w:rPr>
        <w:t xml:space="preserve"> (</w:t>
      </w:r>
      <w:r w:rsidR="00191860" w:rsidRPr="003E27CF">
        <w:rPr>
          <w:rFonts w:ascii="Garamond" w:hAnsi="Garamond" w:cs="Times New Roman"/>
          <w:i/>
          <w:color w:val="000000" w:themeColor="text1"/>
          <w:sz w:val="24"/>
          <w:szCs w:val="24"/>
          <w:lang w:val="en-GB"/>
        </w:rPr>
        <w:t>guidance in A</w:t>
      </w:r>
      <w:r w:rsidR="00E31F42" w:rsidRPr="003E27CF">
        <w:rPr>
          <w:rFonts w:ascii="Garamond" w:hAnsi="Garamond" w:cs="Times New Roman"/>
          <w:i/>
          <w:color w:val="000000" w:themeColor="text1"/>
          <w:sz w:val="24"/>
          <w:szCs w:val="24"/>
          <w:lang w:val="en-GB"/>
        </w:rPr>
        <w:t xml:space="preserve">nnex </w:t>
      </w:r>
      <w:r w:rsidR="00191860" w:rsidRPr="003E27CF">
        <w:rPr>
          <w:rFonts w:ascii="Garamond" w:hAnsi="Garamond" w:cs="Times New Roman"/>
          <w:i/>
          <w:color w:val="000000" w:themeColor="text1"/>
          <w:sz w:val="24"/>
          <w:szCs w:val="24"/>
          <w:lang w:val="en-GB"/>
        </w:rPr>
        <w:t>3</w:t>
      </w:r>
      <w:r w:rsidR="00E31F42" w:rsidRPr="003E27CF">
        <w:rPr>
          <w:rFonts w:ascii="Garamond" w:hAnsi="Garamond" w:cs="Times New Roman"/>
          <w:color w:val="000000" w:themeColor="text1"/>
          <w:sz w:val="24"/>
          <w:szCs w:val="24"/>
          <w:lang w:val="en-GB"/>
        </w:rPr>
        <w:t>)</w:t>
      </w:r>
      <w:r w:rsidRPr="003E27CF">
        <w:rPr>
          <w:rFonts w:ascii="Garamond" w:hAnsi="Garamond" w:cs="Times New Roman"/>
          <w:color w:val="000000" w:themeColor="text1"/>
          <w:sz w:val="24"/>
          <w:szCs w:val="24"/>
          <w:lang w:val="en-GB"/>
        </w:rPr>
        <w:t xml:space="preserve"> </w:t>
      </w:r>
    </w:p>
    <w:p w:rsidR="002B0BF7" w:rsidRPr="003E27CF" w:rsidRDefault="002B0BF7" w:rsidP="002B0BF7">
      <w:pPr>
        <w:autoSpaceDE w:val="0"/>
        <w:autoSpaceDN w:val="0"/>
        <w:adjustRightInd w:val="0"/>
        <w:spacing w:after="31" w:line="240" w:lineRule="auto"/>
        <w:ind w:left="426" w:hanging="284"/>
        <w:rPr>
          <w:rFonts w:ascii="Garamond" w:hAnsi="Garamond" w:cs="Garamond"/>
          <w:color w:val="000000"/>
          <w:sz w:val="24"/>
          <w:szCs w:val="24"/>
          <w:lang w:val="en-GB"/>
        </w:rPr>
      </w:pPr>
    </w:p>
    <w:p w:rsidR="002B0BF7" w:rsidRPr="003E27CF" w:rsidRDefault="002B0BF7" w:rsidP="002B0BF7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31" w:line="240" w:lineRule="auto"/>
        <w:rPr>
          <w:rFonts w:ascii="Garamond" w:hAnsi="Garamond" w:cs="Garamond"/>
          <w:b/>
          <w:color w:val="000000"/>
          <w:sz w:val="24"/>
          <w:szCs w:val="24"/>
          <w:lang w:val="en-GB"/>
        </w:rPr>
      </w:pPr>
      <w:r w:rsidRPr="003E27CF">
        <w:rPr>
          <w:rFonts w:ascii="Garamond" w:hAnsi="Garamond" w:cs="Garamond"/>
          <w:b/>
          <w:color w:val="000000"/>
          <w:sz w:val="24"/>
          <w:szCs w:val="24"/>
          <w:lang w:val="en-GB"/>
        </w:rPr>
        <w:t>Danish political priorities, past achievements and strengths</w:t>
      </w:r>
      <w:r w:rsidR="00E31F42" w:rsidRPr="003E27CF">
        <w:rPr>
          <w:rFonts w:ascii="Garamond" w:hAnsi="Garamond" w:cs="Garamond"/>
          <w:b/>
          <w:color w:val="000000"/>
          <w:sz w:val="24"/>
          <w:szCs w:val="24"/>
          <w:lang w:val="en-GB"/>
        </w:rPr>
        <w:t xml:space="preserve"> </w:t>
      </w:r>
      <w:r w:rsidR="00E31F42" w:rsidRPr="003E27CF">
        <w:rPr>
          <w:rFonts w:ascii="Garamond" w:hAnsi="Garamond" w:cs="Times New Roman"/>
          <w:color w:val="000000" w:themeColor="text1"/>
          <w:sz w:val="24"/>
          <w:szCs w:val="24"/>
          <w:lang w:val="en-GB"/>
        </w:rPr>
        <w:t>(</w:t>
      </w:r>
      <w:r w:rsidR="00191860" w:rsidRPr="003E27CF">
        <w:rPr>
          <w:rFonts w:ascii="Garamond" w:hAnsi="Garamond" w:cs="Times New Roman"/>
          <w:i/>
          <w:color w:val="000000" w:themeColor="text1"/>
          <w:sz w:val="24"/>
          <w:szCs w:val="24"/>
          <w:lang w:val="en-GB"/>
        </w:rPr>
        <w:t>guidance in A</w:t>
      </w:r>
      <w:r w:rsidR="00E31F42" w:rsidRPr="003E27CF">
        <w:rPr>
          <w:rFonts w:ascii="Garamond" w:hAnsi="Garamond" w:cs="Times New Roman"/>
          <w:i/>
          <w:color w:val="000000" w:themeColor="text1"/>
          <w:sz w:val="24"/>
          <w:szCs w:val="24"/>
          <w:lang w:val="en-GB"/>
        </w:rPr>
        <w:t>nnex 1</w:t>
      </w:r>
      <w:r w:rsidR="00E31F42" w:rsidRPr="003E27CF">
        <w:rPr>
          <w:rFonts w:ascii="Garamond" w:hAnsi="Garamond" w:cs="Times New Roman"/>
          <w:color w:val="000000" w:themeColor="text1"/>
          <w:sz w:val="24"/>
          <w:szCs w:val="24"/>
          <w:lang w:val="en-GB"/>
        </w:rPr>
        <w:t>):</w:t>
      </w:r>
    </w:p>
    <w:p w:rsidR="002B0BF7" w:rsidRPr="003E27CF" w:rsidRDefault="00191860" w:rsidP="002B0BF7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31" w:line="240" w:lineRule="auto"/>
        <w:ind w:left="426" w:hanging="284"/>
        <w:rPr>
          <w:rFonts w:ascii="Garamond" w:hAnsi="Garamond" w:cs="Garamond"/>
          <w:color w:val="000000"/>
          <w:sz w:val="24"/>
          <w:szCs w:val="24"/>
          <w:lang w:val="en-GB"/>
        </w:rPr>
      </w:pPr>
      <w:r w:rsidRPr="003E27CF">
        <w:rPr>
          <w:rFonts w:ascii="Garamond" w:hAnsi="Garamond" w:cs="Times New Roman"/>
          <w:color w:val="000000" w:themeColor="text1"/>
          <w:sz w:val="24"/>
          <w:szCs w:val="24"/>
          <w:lang w:val="en-GB"/>
        </w:rPr>
        <w:t xml:space="preserve">Danish interests and </w:t>
      </w:r>
      <w:r w:rsidR="002B0BF7" w:rsidRPr="003E27CF">
        <w:rPr>
          <w:rFonts w:ascii="Garamond" w:hAnsi="Garamond" w:cs="Times New Roman"/>
          <w:color w:val="000000" w:themeColor="text1"/>
          <w:sz w:val="24"/>
          <w:szCs w:val="24"/>
          <w:lang w:val="en-GB"/>
        </w:rPr>
        <w:t>political, security, commercial, development policy priorities and matching available instruments.</w:t>
      </w:r>
    </w:p>
    <w:p w:rsidR="002B0BF7" w:rsidRPr="003E27CF" w:rsidRDefault="002B0BF7" w:rsidP="002B0BF7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31" w:line="240" w:lineRule="auto"/>
        <w:ind w:left="426" w:hanging="284"/>
        <w:rPr>
          <w:rFonts w:ascii="Garamond" w:hAnsi="Garamond" w:cs="Garamond"/>
          <w:color w:val="000000"/>
          <w:sz w:val="24"/>
          <w:szCs w:val="24"/>
          <w:lang w:val="en-GB"/>
        </w:rPr>
      </w:pPr>
      <w:r w:rsidRPr="003E27CF">
        <w:rPr>
          <w:rFonts w:ascii="Garamond" w:hAnsi="Garamond" w:cs="Times New Roman"/>
          <w:color w:val="000000" w:themeColor="text1"/>
          <w:sz w:val="24"/>
          <w:szCs w:val="24"/>
          <w:lang w:val="en-GB"/>
        </w:rPr>
        <w:t xml:space="preserve">Past achievements/challenges in the engagement and Danish strengths </w:t>
      </w:r>
    </w:p>
    <w:p w:rsidR="002B0BF7" w:rsidRPr="003E27CF" w:rsidRDefault="002B0BF7" w:rsidP="002B0BF7">
      <w:pPr>
        <w:pStyle w:val="Listeafsnit"/>
        <w:autoSpaceDE w:val="0"/>
        <w:autoSpaceDN w:val="0"/>
        <w:adjustRightInd w:val="0"/>
        <w:spacing w:after="31" w:line="240" w:lineRule="auto"/>
        <w:ind w:left="426" w:hanging="284"/>
        <w:rPr>
          <w:rFonts w:ascii="Garamond" w:hAnsi="Garamond" w:cs="Garamond"/>
          <w:b/>
          <w:color w:val="000000"/>
          <w:sz w:val="24"/>
          <w:szCs w:val="24"/>
          <w:lang w:val="en-GB"/>
        </w:rPr>
      </w:pPr>
    </w:p>
    <w:p w:rsidR="002B0BF7" w:rsidRPr="003E27CF" w:rsidRDefault="002B0BF7" w:rsidP="002B0BF7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31" w:line="240" w:lineRule="auto"/>
        <w:rPr>
          <w:rFonts w:ascii="Garamond" w:hAnsi="Garamond" w:cs="Garamond"/>
          <w:b/>
          <w:color w:val="000000"/>
          <w:sz w:val="24"/>
          <w:szCs w:val="24"/>
          <w:lang w:val="en-GB"/>
        </w:rPr>
      </w:pPr>
      <w:r w:rsidRPr="003E27CF">
        <w:rPr>
          <w:rFonts w:ascii="Garamond" w:hAnsi="Garamond" w:cs="Garamond"/>
          <w:b/>
          <w:color w:val="000000"/>
          <w:sz w:val="24"/>
          <w:szCs w:val="24"/>
          <w:lang w:val="en-GB"/>
        </w:rPr>
        <w:t>Vision and strategic objectives for Denmark’s engagement in the country:</w:t>
      </w:r>
    </w:p>
    <w:p w:rsidR="002B0BF7" w:rsidRPr="003E27CF" w:rsidRDefault="002B0BF7" w:rsidP="002B0BF7">
      <w:pPr>
        <w:pStyle w:val="Listeafsnit"/>
        <w:numPr>
          <w:ilvl w:val="0"/>
          <w:numId w:val="2"/>
        </w:numPr>
        <w:spacing w:line="240" w:lineRule="auto"/>
        <w:ind w:left="426" w:hanging="284"/>
        <w:rPr>
          <w:rFonts w:ascii="Garamond" w:hAnsi="Garamond" w:cs="Times New Roman"/>
          <w:color w:val="000000" w:themeColor="text1"/>
          <w:sz w:val="24"/>
          <w:szCs w:val="24"/>
          <w:lang w:val="en-GB"/>
        </w:rPr>
      </w:pPr>
      <w:r w:rsidRPr="003E27CF">
        <w:rPr>
          <w:rFonts w:ascii="Garamond" w:hAnsi="Garamond" w:cs="Garamond"/>
          <w:color w:val="000000"/>
          <w:sz w:val="24"/>
          <w:szCs w:val="24"/>
          <w:lang w:val="en-GB"/>
        </w:rPr>
        <w:t xml:space="preserve">Vision and strategic objectives for Denmark’s </w:t>
      </w:r>
      <w:r w:rsidRPr="003E27CF">
        <w:rPr>
          <w:rFonts w:ascii="Garamond" w:hAnsi="Garamond" w:cs="Times New Roman"/>
          <w:color w:val="000000" w:themeColor="text1"/>
          <w:sz w:val="24"/>
          <w:szCs w:val="24"/>
          <w:lang w:val="en-GB"/>
        </w:rPr>
        <w:t>comprehensive engagement in the country and str</w:t>
      </w:r>
      <w:r w:rsidR="00191860" w:rsidRPr="003E27CF">
        <w:rPr>
          <w:rFonts w:ascii="Garamond" w:hAnsi="Garamond" w:cs="Times New Roman"/>
          <w:color w:val="000000" w:themeColor="text1"/>
          <w:sz w:val="24"/>
          <w:szCs w:val="24"/>
          <w:lang w:val="en-GB"/>
        </w:rPr>
        <w:t>ategic indicators against which to assess progress</w:t>
      </w:r>
    </w:p>
    <w:p w:rsidR="002B0BF7" w:rsidRPr="003E27CF" w:rsidRDefault="002B0BF7" w:rsidP="002B0BF7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31" w:line="240" w:lineRule="auto"/>
        <w:ind w:left="426" w:hanging="284"/>
        <w:rPr>
          <w:rFonts w:ascii="Garamond" w:hAnsi="Garamond" w:cs="Garamond"/>
          <w:color w:val="000000"/>
          <w:sz w:val="24"/>
          <w:szCs w:val="24"/>
          <w:lang w:val="en-GB"/>
        </w:rPr>
      </w:pPr>
      <w:r w:rsidRPr="003E27CF">
        <w:rPr>
          <w:rFonts w:ascii="Garamond" w:hAnsi="Garamond" w:cs="Garamond"/>
          <w:color w:val="000000"/>
          <w:sz w:val="24"/>
          <w:szCs w:val="24"/>
          <w:lang w:val="en-GB"/>
        </w:rPr>
        <w:t>Matchi</w:t>
      </w:r>
      <w:r w:rsidR="00191860" w:rsidRPr="003E27CF">
        <w:rPr>
          <w:rFonts w:ascii="Garamond" w:hAnsi="Garamond" w:cs="Garamond"/>
          <w:color w:val="000000"/>
          <w:sz w:val="24"/>
          <w:szCs w:val="24"/>
          <w:lang w:val="en-GB"/>
        </w:rPr>
        <w:t xml:space="preserve">ng relevant Danish instruments </w:t>
      </w:r>
      <w:r w:rsidRPr="003E27CF">
        <w:rPr>
          <w:rFonts w:ascii="Garamond" w:hAnsi="Garamond" w:cs="Garamond"/>
          <w:color w:val="000000"/>
          <w:sz w:val="24"/>
          <w:szCs w:val="24"/>
          <w:lang w:val="en-GB"/>
        </w:rPr>
        <w:t>whether manag</w:t>
      </w:r>
      <w:r w:rsidR="00191860" w:rsidRPr="003E27CF">
        <w:rPr>
          <w:rFonts w:ascii="Garamond" w:hAnsi="Garamond" w:cs="Garamond"/>
          <w:color w:val="000000"/>
          <w:sz w:val="24"/>
          <w:szCs w:val="24"/>
          <w:lang w:val="en-GB"/>
        </w:rPr>
        <w:t>ed by the embassy and MFA units with the strategic objectives</w:t>
      </w:r>
      <w:r w:rsidRPr="003E27CF">
        <w:rPr>
          <w:rFonts w:ascii="Garamond" w:hAnsi="Garamond" w:cs="Garamond"/>
          <w:color w:val="000000"/>
          <w:sz w:val="24"/>
          <w:szCs w:val="24"/>
          <w:lang w:val="en-GB"/>
        </w:rPr>
        <w:t xml:space="preserve"> </w:t>
      </w:r>
      <w:bookmarkStart w:id="0" w:name="_GoBack"/>
      <w:bookmarkEnd w:id="0"/>
    </w:p>
    <w:p w:rsidR="002B0BF7" w:rsidRPr="003E27CF" w:rsidRDefault="002B0BF7" w:rsidP="002B0BF7">
      <w:pPr>
        <w:pStyle w:val="Listeafsnit"/>
        <w:autoSpaceDE w:val="0"/>
        <w:autoSpaceDN w:val="0"/>
        <w:adjustRightInd w:val="0"/>
        <w:spacing w:after="31" w:line="240" w:lineRule="auto"/>
        <w:ind w:left="426" w:hanging="284"/>
        <w:rPr>
          <w:rFonts w:ascii="Garamond" w:hAnsi="Garamond" w:cs="Garamond"/>
          <w:b/>
          <w:color w:val="000000"/>
          <w:sz w:val="24"/>
          <w:szCs w:val="24"/>
          <w:lang w:val="en-GB"/>
        </w:rPr>
      </w:pPr>
    </w:p>
    <w:p w:rsidR="002B0BF7" w:rsidRPr="003E27CF" w:rsidRDefault="002B0BF7" w:rsidP="002B0BF7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31" w:line="240" w:lineRule="auto"/>
        <w:rPr>
          <w:rFonts w:ascii="Garamond" w:hAnsi="Garamond" w:cs="Garamond"/>
          <w:b/>
          <w:color w:val="000000"/>
          <w:sz w:val="24"/>
          <w:szCs w:val="24"/>
          <w:lang w:val="en-GB"/>
        </w:rPr>
      </w:pPr>
      <w:r w:rsidRPr="003E27CF">
        <w:rPr>
          <w:rFonts w:ascii="Garamond" w:hAnsi="Garamond" w:cs="Garamond"/>
          <w:b/>
          <w:color w:val="000000"/>
          <w:sz w:val="24"/>
          <w:szCs w:val="24"/>
          <w:lang w:val="en-GB"/>
        </w:rPr>
        <w:t>Monitoring the strategic framework</w:t>
      </w:r>
    </w:p>
    <w:p w:rsidR="002B0BF7" w:rsidRPr="003E27CF" w:rsidRDefault="002B0BF7" w:rsidP="002B0BF7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12" w:line="240" w:lineRule="auto"/>
        <w:ind w:left="426" w:hanging="284"/>
        <w:rPr>
          <w:rFonts w:ascii="Garamond" w:hAnsi="Garamond" w:cs="Garamond"/>
          <w:color w:val="000000"/>
          <w:sz w:val="24"/>
          <w:szCs w:val="24"/>
          <w:lang w:val="en-GB"/>
        </w:rPr>
      </w:pPr>
      <w:r w:rsidRPr="003E27CF">
        <w:rPr>
          <w:rFonts w:ascii="Garamond" w:hAnsi="Garamond" w:cs="Garamond"/>
          <w:color w:val="000000"/>
          <w:sz w:val="24"/>
          <w:szCs w:val="24"/>
          <w:lang w:val="en-GB"/>
        </w:rPr>
        <w:t>Outline of how strategic monitoring of the strategic framework will take place</w:t>
      </w:r>
    </w:p>
    <w:p w:rsidR="002B0BF7" w:rsidRPr="003E27CF" w:rsidRDefault="002B0BF7" w:rsidP="002B0BF7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12" w:line="240" w:lineRule="auto"/>
        <w:ind w:left="426" w:hanging="284"/>
        <w:rPr>
          <w:rFonts w:ascii="Garamond" w:hAnsi="Garamond" w:cs="Garamond"/>
          <w:color w:val="000000"/>
          <w:sz w:val="24"/>
          <w:szCs w:val="24"/>
          <w:lang w:val="en-GB"/>
        </w:rPr>
      </w:pPr>
      <w:r w:rsidRPr="003E27CF">
        <w:rPr>
          <w:rFonts w:ascii="Garamond" w:hAnsi="Garamond" w:cs="Garamond"/>
          <w:color w:val="000000"/>
          <w:sz w:val="24"/>
          <w:szCs w:val="24"/>
          <w:lang w:val="en-GB"/>
        </w:rPr>
        <w:t xml:space="preserve">Visual overview/figure of the monitoring framework. </w:t>
      </w:r>
    </w:p>
    <w:p w:rsidR="002B0BF7" w:rsidRPr="003E27CF" w:rsidRDefault="002B0BF7" w:rsidP="002B0BF7">
      <w:pPr>
        <w:autoSpaceDE w:val="0"/>
        <w:autoSpaceDN w:val="0"/>
        <w:adjustRightInd w:val="0"/>
        <w:spacing w:after="12" w:line="240" w:lineRule="auto"/>
        <w:ind w:left="426" w:hanging="284"/>
        <w:rPr>
          <w:rFonts w:ascii="Garamond" w:hAnsi="Garamond" w:cs="Garamond"/>
          <w:color w:val="000000"/>
          <w:sz w:val="24"/>
          <w:szCs w:val="24"/>
          <w:lang w:val="en-GB"/>
        </w:rPr>
      </w:pPr>
    </w:p>
    <w:p w:rsidR="002B0BF7" w:rsidRPr="003E27CF" w:rsidRDefault="003E27CF" w:rsidP="002B0BF7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12" w:line="240" w:lineRule="auto"/>
        <w:rPr>
          <w:rFonts w:ascii="Garamond" w:hAnsi="Garamond" w:cs="Garamond"/>
          <w:b/>
          <w:color w:val="000000"/>
          <w:sz w:val="24"/>
          <w:szCs w:val="24"/>
          <w:lang w:val="en-GB"/>
        </w:rPr>
      </w:pPr>
      <w:r w:rsidRPr="003E27CF">
        <w:rPr>
          <w:rFonts w:ascii="Garamond" w:hAnsi="Garamond" w:cs="Garamond"/>
          <w:b/>
          <w:color w:val="000000"/>
          <w:sz w:val="24"/>
          <w:szCs w:val="24"/>
          <w:lang w:val="en-GB"/>
        </w:rPr>
        <w:t>Outline of the Bilateral Development P</w:t>
      </w:r>
      <w:r w:rsidR="002B0BF7" w:rsidRPr="003E27CF">
        <w:rPr>
          <w:rFonts w:ascii="Garamond" w:hAnsi="Garamond" w:cs="Garamond"/>
          <w:b/>
          <w:color w:val="000000"/>
          <w:sz w:val="24"/>
          <w:szCs w:val="24"/>
          <w:lang w:val="en-GB"/>
        </w:rPr>
        <w:t>rogramme</w:t>
      </w:r>
    </w:p>
    <w:p w:rsidR="002B0BF7" w:rsidRPr="003E27CF" w:rsidRDefault="003E27CF" w:rsidP="002B0BF7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12" w:line="240" w:lineRule="auto"/>
        <w:ind w:left="426" w:hanging="284"/>
        <w:rPr>
          <w:rFonts w:ascii="Garamond" w:hAnsi="Garamond" w:cs="Garamond"/>
          <w:color w:val="000000"/>
          <w:sz w:val="24"/>
          <w:szCs w:val="24"/>
          <w:lang w:val="en-GB"/>
        </w:rPr>
      </w:pPr>
      <w:r w:rsidRPr="003E27CF">
        <w:rPr>
          <w:rFonts w:ascii="Garamond" w:hAnsi="Garamond" w:cs="Garamond"/>
          <w:color w:val="000000"/>
          <w:sz w:val="24"/>
          <w:szCs w:val="24"/>
          <w:lang w:val="en-GB"/>
        </w:rPr>
        <w:t>Outline of the Bilateral Development P</w:t>
      </w:r>
      <w:r w:rsidR="002B0BF7" w:rsidRPr="003E27CF">
        <w:rPr>
          <w:rFonts w:ascii="Garamond" w:hAnsi="Garamond" w:cs="Garamond"/>
          <w:color w:val="000000"/>
          <w:sz w:val="24"/>
          <w:szCs w:val="24"/>
          <w:lang w:val="en-GB"/>
        </w:rPr>
        <w:t xml:space="preserve">rogramme as its fits into the strategic objectives and in view of Danish strengths, previous support and lessons learned and with due regard to activities of other development partners. </w:t>
      </w:r>
    </w:p>
    <w:p w:rsidR="002B0BF7" w:rsidRPr="003E27CF" w:rsidRDefault="002B0BF7" w:rsidP="002B0BF7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12" w:line="240" w:lineRule="auto"/>
        <w:ind w:left="426" w:hanging="284"/>
        <w:rPr>
          <w:rFonts w:ascii="Garamond" w:hAnsi="Garamond" w:cs="Garamond"/>
          <w:color w:val="000000"/>
          <w:sz w:val="24"/>
          <w:szCs w:val="24"/>
          <w:lang w:val="en-GB"/>
        </w:rPr>
      </w:pPr>
      <w:r w:rsidRPr="003E27CF">
        <w:rPr>
          <w:rFonts w:ascii="Garamond" w:hAnsi="Garamond" w:cs="Garamond"/>
          <w:color w:val="000000"/>
          <w:sz w:val="24"/>
          <w:szCs w:val="24"/>
          <w:lang w:val="en-GB"/>
        </w:rPr>
        <w:t>Indication of preliminary outcomes</w:t>
      </w:r>
      <w:r w:rsidR="003E27CF" w:rsidRPr="003E27CF">
        <w:rPr>
          <w:rFonts w:ascii="Garamond" w:hAnsi="Garamond" w:cs="Garamond"/>
          <w:color w:val="000000"/>
          <w:sz w:val="24"/>
          <w:szCs w:val="24"/>
          <w:lang w:val="en-GB"/>
        </w:rPr>
        <w:t xml:space="preserve"> for the development projects</w:t>
      </w:r>
      <w:r w:rsidRPr="003E27CF">
        <w:rPr>
          <w:rFonts w:ascii="Garamond" w:hAnsi="Garamond" w:cs="Garamond"/>
          <w:color w:val="000000"/>
          <w:sz w:val="24"/>
          <w:szCs w:val="24"/>
          <w:lang w:val="en-GB"/>
        </w:rPr>
        <w:t xml:space="preserve">, yet choice of partners </w:t>
      </w:r>
      <w:proofErr w:type="gramStart"/>
      <w:r w:rsidRPr="003E27CF">
        <w:rPr>
          <w:rFonts w:ascii="Garamond" w:hAnsi="Garamond" w:cs="Garamond"/>
          <w:color w:val="000000"/>
          <w:sz w:val="24"/>
          <w:szCs w:val="24"/>
          <w:lang w:val="en-GB"/>
        </w:rPr>
        <w:t>should not be indicated</w:t>
      </w:r>
      <w:proofErr w:type="gramEnd"/>
      <w:r w:rsidRPr="003E27CF">
        <w:rPr>
          <w:rFonts w:ascii="Garamond" w:hAnsi="Garamond" w:cs="Garamond"/>
          <w:color w:val="000000"/>
          <w:sz w:val="24"/>
          <w:szCs w:val="24"/>
          <w:lang w:val="en-GB"/>
        </w:rPr>
        <w:t>. The section should be substantive, but not go into technical details.</w:t>
      </w:r>
    </w:p>
    <w:p w:rsidR="002B0BF7" w:rsidRPr="003E27CF" w:rsidRDefault="002B0BF7" w:rsidP="002B0BF7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12" w:line="240" w:lineRule="auto"/>
        <w:ind w:left="426" w:hanging="284"/>
        <w:rPr>
          <w:rFonts w:ascii="Garamond" w:hAnsi="Garamond" w:cs="Garamond"/>
          <w:color w:val="000000"/>
          <w:sz w:val="24"/>
          <w:szCs w:val="24"/>
          <w:lang w:val="en-GB"/>
        </w:rPr>
      </w:pPr>
      <w:r w:rsidRPr="003E27CF">
        <w:rPr>
          <w:rFonts w:ascii="Garamond" w:hAnsi="Garamond" w:cs="Garamond"/>
          <w:color w:val="000000"/>
          <w:sz w:val="24"/>
          <w:szCs w:val="24"/>
          <w:lang w:val="en-GB"/>
        </w:rPr>
        <w:t>General overall budget based on the Finance Act with breakdown by outcome.</w:t>
      </w:r>
    </w:p>
    <w:p w:rsidR="002B0BF7" w:rsidRPr="003E27CF" w:rsidRDefault="00E31F42" w:rsidP="002B0BF7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12" w:line="240" w:lineRule="auto"/>
        <w:ind w:left="426" w:hanging="284"/>
        <w:rPr>
          <w:rFonts w:ascii="Garamond" w:hAnsi="Garamond" w:cs="Garamond"/>
          <w:color w:val="000000"/>
          <w:sz w:val="26"/>
          <w:szCs w:val="26"/>
          <w:lang w:val="en-GB"/>
        </w:rPr>
      </w:pPr>
      <w:r w:rsidRPr="003E27CF">
        <w:rPr>
          <w:rFonts w:ascii="Garamond" w:hAnsi="Garamond" w:cs="Garamond"/>
          <w:color w:val="000000"/>
          <w:sz w:val="24"/>
          <w:szCs w:val="24"/>
          <w:lang w:val="en-GB"/>
        </w:rPr>
        <w:t>MAL (monitoring, accountability and learning) set-up</w:t>
      </w:r>
      <w:r w:rsidR="003E27CF" w:rsidRPr="003E27CF">
        <w:rPr>
          <w:rFonts w:ascii="Garamond" w:hAnsi="Garamond" w:cs="Garamond"/>
          <w:color w:val="000000"/>
          <w:sz w:val="24"/>
          <w:szCs w:val="24"/>
          <w:lang w:val="en-GB"/>
        </w:rPr>
        <w:t xml:space="preserve"> of the Bilateral Development P</w:t>
      </w:r>
      <w:r w:rsidR="002B0BF7" w:rsidRPr="003E27CF">
        <w:rPr>
          <w:rFonts w:ascii="Garamond" w:hAnsi="Garamond" w:cs="Garamond"/>
          <w:color w:val="000000"/>
          <w:sz w:val="24"/>
          <w:szCs w:val="24"/>
          <w:lang w:val="en-GB"/>
        </w:rPr>
        <w:t>rogramme</w:t>
      </w:r>
    </w:p>
    <w:p w:rsidR="007D2987" w:rsidRPr="003E27CF" w:rsidRDefault="002B0BF7">
      <w:pPr>
        <w:rPr>
          <w:lang w:val="en-GB"/>
        </w:rPr>
      </w:pPr>
      <w:r w:rsidRPr="003E27CF">
        <w:rPr>
          <w:lang w:val="en-GB"/>
        </w:rPr>
        <w:t xml:space="preserve"> </w:t>
      </w:r>
    </w:p>
    <w:p w:rsidR="002B0BF7" w:rsidRPr="002B0BF7" w:rsidRDefault="002B0BF7">
      <w:pPr>
        <w:rPr>
          <w:lang w:val="en-US"/>
        </w:rPr>
      </w:pPr>
    </w:p>
    <w:sectPr w:rsidR="002B0BF7" w:rsidRPr="002B0BF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0B35"/>
    <w:multiLevelType w:val="hybridMultilevel"/>
    <w:tmpl w:val="8514DB32"/>
    <w:lvl w:ilvl="0" w:tplc="D3061414">
      <w:start w:val="1"/>
      <w:numFmt w:val="bullet"/>
      <w:lvlText w:val="-"/>
      <w:lvlJc w:val="left"/>
      <w:pPr>
        <w:ind w:left="144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91CEB"/>
    <w:multiLevelType w:val="hybridMultilevel"/>
    <w:tmpl w:val="752225AC"/>
    <w:lvl w:ilvl="0" w:tplc="575AAF1C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9408AF"/>
    <w:multiLevelType w:val="hybridMultilevel"/>
    <w:tmpl w:val="CC880540"/>
    <w:lvl w:ilvl="0" w:tplc="BB227E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F7"/>
    <w:rsid w:val="00191860"/>
    <w:rsid w:val="001D2A84"/>
    <w:rsid w:val="002B0BF7"/>
    <w:rsid w:val="003E27CF"/>
    <w:rsid w:val="006D51B2"/>
    <w:rsid w:val="007D2987"/>
    <w:rsid w:val="00B22EA6"/>
    <w:rsid w:val="00E31F42"/>
    <w:rsid w:val="00E84411"/>
    <w:rsid w:val="00E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BFB3"/>
  <w15:chartTrackingRefBased/>
  <w15:docId w15:val="{97FF6A84-C107-41B3-A806-E5441150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aliases w:val="Dot pt,F5 List Paragraph,List Paragraph1,No Spacing1,List Paragraph Char Char Char,Indicator Text,Colorful List - Accent 11,Numbered Para 1,Bullet 1,Bullet Points,List Paragraph12,MAIN CONTENT,List Paragraph11,List Paragraph2,OBC Bullet"/>
    <w:basedOn w:val="Normal"/>
    <w:link w:val="ListeafsnitTegn"/>
    <w:uiPriority w:val="34"/>
    <w:qFormat/>
    <w:rsid w:val="002B0BF7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ListeafsnitTegn">
    <w:name w:val="Listeafsnit Tegn"/>
    <w:aliases w:val="Dot pt Tegn,F5 List Paragraph Tegn,List Paragraph1 Tegn,No Spacing1 Tegn,List Paragraph Char Char Char Tegn,Indicator Text Tegn,Colorful List - Accent 11 Tegn,Numbered Para 1 Tegn,Bullet 1 Tegn,Bullet Points Tegn,List Paragraph12 Tegn"/>
    <w:link w:val="Listeafsnit"/>
    <w:uiPriority w:val="34"/>
    <w:locked/>
    <w:rsid w:val="002B0BF7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Buch Kristensen</dc:creator>
  <cp:keywords/>
  <dc:description/>
  <cp:lastModifiedBy>Esther Lønstrup</cp:lastModifiedBy>
  <cp:revision>2</cp:revision>
  <dcterms:created xsi:type="dcterms:W3CDTF">2020-11-26T10:11:00Z</dcterms:created>
  <dcterms:modified xsi:type="dcterms:W3CDTF">2020-11-26T10:11:00Z</dcterms:modified>
</cp:coreProperties>
</file>