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07A2" w14:textId="688A5AF3" w:rsidR="003732C2" w:rsidRDefault="003732C2" w:rsidP="003F4569">
      <w:pPr>
        <w:spacing w:before="240"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Annex</w:t>
      </w:r>
      <w:r w:rsidR="00B471EB">
        <w:rPr>
          <w:b/>
          <w:bCs/>
          <w:lang w:val="en-GB"/>
        </w:rPr>
        <w:t xml:space="preserve"> </w:t>
      </w:r>
      <w:r w:rsidR="00CC0D71">
        <w:rPr>
          <w:b/>
          <w:bCs/>
          <w:lang w:val="en-GB"/>
        </w:rPr>
        <w:t xml:space="preserve">9 </w:t>
      </w:r>
      <w:r>
        <w:rPr>
          <w:b/>
          <w:bCs/>
          <w:lang w:val="en-GB"/>
        </w:rPr>
        <w:t>- Additional c</w:t>
      </w:r>
      <w:r w:rsidRPr="00B918F2">
        <w:rPr>
          <w:b/>
          <w:bCs/>
          <w:lang w:val="en-GB"/>
        </w:rPr>
        <w:t xml:space="preserve">ompliance requirements to be applied when informal money </w:t>
      </w:r>
      <w:r w:rsidR="003F4569">
        <w:rPr>
          <w:b/>
          <w:bCs/>
          <w:lang w:val="en-GB"/>
        </w:rPr>
        <w:t>t</w:t>
      </w:r>
      <w:r w:rsidRPr="00B918F2">
        <w:rPr>
          <w:b/>
          <w:bCs/>
          <w:lang w:val="en-GB"/>
        </w:rPr>
        <w:t>ransfer systems (IMTS) are used by partners to transfer Danish funds</w:t>
      </w:r>
    </w:p>
    <w:p w14:paraId="63799842" w14:textId="3EF60CE6" w:rsidR="008A2A3B" w:rsidRDefault="008A2A3B" w:rsidP="003F4569">
      <w:pPr>
        <w:spacing w:before="240" w:after="0" w:line="240" w:lineRule="auto"/>
        <w:rPr>
          <w:b/>
          <w:bCs/>
          <w:lang w:val="en-GB"/>
        </w:rPr>
      </w:pPr>
    </w:p>
    <w:tbl>
      <w:tblPr>
        <w:tblStyle w:val="TableGrid"/>
        <w:tblpPr w:leftFromText="180" w:rightFromText="180" w:vertAnchor="page" w:horzAnchor="margin" w:tblpY="295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732C2" w:rsidRPr="00CC0D71" w14:paraId="4C7A04F0" w14:textId="77777777" w:rsidTr="00CC4239">
        <w:tc>
          <w:tcPr>
            <w:tcW w:w="10060" w:type="dxa"/>
            <w:shd w:val="clear" w:color="auto" w:fill="BFBFBF" w:themeFill="background1" w:themeFillShade="BF"/>
          </w:tcPr>
          <w:p w14:paraId="7BFDA398" w14:textId="6D2752C2" w:rsidR="003732C2" w:rsidRPr="00A52A01" w:rsidRDefault="003732C2" w:rsidP="003F4569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1. N</w:t>
            </w:r>
            <w:r w:rsidRPr="00DB7EDC">
              <w:rPr>
                <w:b/>
                <w:bCs/>
                <w:lang w:val="en-GB"/>
              </w:rPr>
              <w:t xml:space="preserve">eed </w:t>
            </w:r>
            <w:r>
              <w:rPr>
                <w:b/>
                <w:bCs/>
                <w:lang w:val="en-GB"/>
              </w:rPr>
              <w:t>and r</w:t>
            </w:r>
            <w:r w:rsidRPr="00DB7EDC">
              <w:rPr>
                <w:b/>
                <w:bCs/>
                <w:lang w:val="en-GB"/>
              </w:rPr>
              <w:t>isk assessment of the use of IMTS</w:t>
            </w:r>
          </w:p>
        </w:tc>
      </w:tr>
      <w:tr w:rsidR="003732C2" w:rsidRPr="00CC0D71" w14:paraId="5AFAC7E6" w14:textId="77777777" w:rsidTr="00CC4239">
        <w:trPr>
          <w:trHeight w:val="1296"/>
        </w:trPr>
        <w:tc>
          <w:tcPr>
            <w:tcW w:w="10060" w:type="dxa"/>
          </w:tcPr>
          <w:p w14:paraId="001C5BCF" w14:textId="0DF64C71" w:rsidR="003732C2" w:rsidRPr="00A52A01" w:rsidRDefault="003732C2" w:rsidP="003F4569">
            <w:pPr>
              <w:rPr>
                <w:lang w:val="en-GB"/>
              </w:rPr>
            </w:pPr>
            <w:r w:rsidRPr="001D4B02">
              <w:rPr>
                <w:i/>
                <w:iCs/>
                <w:lang w:val="en-GB"/>
              </w:rPr>
              <w:t>Need assessment:</w:t>
            </w:r>
            <w:r>
              <w:rPr>
                <w:lang w:val="en-GB"/>
              </w:rPr>
              <w:t xml:space="preserve"> </w:t>
            </w:r>
            <w:r w:rsidRPr="00DB7EDC">
              <w:rPr>
                <w:lang w:val="en-GB"/>
              </w:rPr>
              <w:t>The use of all other payment options than IMTS/hawala should actively be considered and pursued, including but not necessarily limited to direct bank transfers, including through correspondent banking, money transfer services, transfers in virtual currencies, and other solutions</w:t>
            </w:r>
            <w:r w:rsidR="002A7769">
              <w:rPr>
                <w:lang w:val="en-GB"/>
              </w:rPr>
              <w:t xml:space="preserve"> </w:t>
            </w:r>
            <w:r w:rsidRPr="00C14A37">
              <w:rPr>
                <w:b/>
                <w:bCs/>
                <w:i/>
                <w:iCs/>
                <w:lang w:val="en-GB"/>
              </w:rPr>
              <w:t xml:space="preserve">meaning that IMTS should </w:t>
            </w:r>
            <w:r w:rsidR="008036A9" w:rsidRPr="00C14A37">
              <w:rPr>
                <w:b/>
                <w:bCs/>
                <w:i/>
                <w:iCs/>
                <w:lang w:val="en-GB"/>
              </w:rPr>
              <w:t xml:space="preserve">always </w:t>
            </w:r>
            <w:r w:rsidRPr="00C14A37">
              <w:rPr>
                <w:b/>
                <w:bCs/>
                <w:i/>
                <w:iCs/>
                <w:lang w:val="en-GB"/>
              </w:rPr>
              <w:t>be the last transfer option available</w:t>
            </w:r>
            <w:r w:rsidRPr="00FE35A1">
              <w:rPr>
                <w:lang w:val="en-GB"/>
              </w:rPr>
              <w:t>.</w:t>
            </w:r>
          </w:p>
        </w:tc>
      </w:tr>
      <w:tr w:rsidR="003732C2" w:rsidRPr="00332A0C" w14:paraId="100C58C4" w14:textId="77777777" w:rsidTr="00CC4239">
        <w:trPr>
          <w:trHeight w:val="566"/>
        </w:trPr>
        <w:tc>
          <w:tcPr>
            <w:tcW w:w="10060" w:type="dxa"/>
          </w:tcPr>
          <w:p w14:paraId="61D3A922" w14:textId="57DB616D" w:rsidR="003732C2" w:rsidRPr="00A52A01" w:rsidRDefault="003F4569" w:rsidP="00CC4239">
            <w:pPr>
              <w:rPr>
                <w:lang w:val="en-GB"/>
              </w:rPr>
            </w:pPr>
            <w:r>
              <w:rPr>
                <w:i/>
                <w:iCs/>
                <w:lang w:val="en-GB"/>
              </w:rPr>
              <w:t>R</w:t>
            </w:r>
            <w:r w:rsidR="003732C2" w:rsidRPr="001D4B02">
              <w:rPr>
                <w:i/>
                <w:iCs/>
                <w:lang w:val="en-GB"/>
              </w:rPr>
              <w:t>isk assessment</w:t>
            </w:r>
            <w:r w:rsidR="003732C2">
              <w:rPr>
                <w:i/>
                <w:iCs/>
                <w:lang w:val="en-GB"/>
              </w:rPr>
              <w:t xml:space="preserve"> </w:t>
            </w:r>
            <w:r w:rsidR="003732C2">
              <w:rPr>
                <w:lang w:val="en-GB"/>
              </w:rPr>
              <w:t xml:space="preserve">of the use of IMTS in the project in question </w:t>
            </w:r>
            <w:r w:rsidR="003732C2" w:rsidRPr="00160E03">
              <w:rPr>
                <w:lang w:val="en-GB"/>
              </w:rPr>
              <w:t>should be conducted</w:t>
            </w:r>
            <w:r w:rsidR="003732C2">
              <w:rPr>
                <w:lang w:val="en-GB"/>
              </w:rPr>
              <w:t xml:space="preserve"> to ensure that all risks and mitigating actions are identified</w:t>
            </w:r>
            <w:r w:rsidR="00332A0C">
              <w:rPr>
                <w:lang w:val="en-GB"/>
              </w:rPr>
              <w:t>.</w:t>
            </w:r>
            <w:r w:rsidR="00CD118F">
              <w:rPr>
                <w:lang w:val="en-GB"/>
              </w:rPr>
              <w:t xml:space="preserve"> </w:t>
            </w:r>
            <w:r w:rsidR="00332A0C">
              <w:rPr>
                <w:lang w:val="en-GB"/>
              </w:rPr>
              <w:t xml:space="preserve">The </w:t>
            </w:r>
            <w:r w:rsidR="00CD118F">
              <w:rPr>
                <w:lang w:val="en-GB"/>
              </w:rPr>
              <w:t>risk assessment should be kept updated.</w:t>
            </w:r>
          </w:p>
        </w:tc>
      </w:tr>
      <w:tr w:rsidR="003732C2" w14:paraId="1A39DF0E" w14:textId="77777777" w:rsidTr="00CC4239">
        <w:tc>
          <w:tcPr>
            <w:tcW w:w="10060" w:type="dxa"/>
            <w:shd w:val="clear" w:color="auto" w:fill="BFBFBF" w:themeFill="background1" w:themeFillShade="BF"/>
          </w:tcPr>
          <w:p w14:paraId="44B621C2" w14:textId="77777777" w:rsidR="003732C2" w:rsidRDefault="003732C2" w:rsidP="00CC423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2. L</w:t>
            </w:r>
            <w:r w:rsidRPr="00C52B65">
              <w:rPr>
                <w:b/>
                <w:bCs/>
                <w:lang w:val="en-GB"/>
              </w:rPr>
              <w:t xml:space="preserve">egal </w:t>
            </w:r>
            <w:r>
              <w:rPr>
                <w:b/>
                <w:bCs/>
                <w:lang w:val="en-GB"/>
              </w:rPr>
              <w:t>aspects</w:t>
            </w:r>
          </w:p>
        </w:tc>
      </w:tr>
      <w:tr w:rsidR="003732C2" w:rsidRPr="00CC0D71" w14:paraId="6D822667" w14:textId="77777777" w:rsidTr="00CC4239">
        <w:tc>
          <w:tcPr>
            <w:tcW w:w="10060" w:type="dxa"/>
          </w:tcPr>
          <w:p w14:paraId="534DDF73" w14:textId="5CACEF55" w:rsidR="003732C2" w:rsidRDefault="003732C2" w:rsidP="003F4569">
            <w:pPr>
              <w:rPr>
                <w:i/>
                <w:iCs/>
                <w:lang w:val="en-GB"/>
              </w:rPr>
            </w:pPr>
            <w:r w:rsidRPr="005E7EF2">
              <w:rPr>
                <w:i/>
                <w:iCs/>
                <w:lang w:val="en-GB"/>
              </w:rPr>
              <w:t>Legal compliance</w:t>
            </w:r>
            <w:r w:rsidRPr="00FD58C2">
              <w:rPr>
                <w:lang w:val="en-GB"/>
              </w:rPr>
              <w:t xml:space="preserve">: </w:t>
            </w:r>
            <w:r w:rsidR="00C14A37">
              <w:rPr>
                <w:lang w:val="en-GB"/>
              </w:rPr>
              <w:t xml:space="preserve"> Any</w:t>
            </w:r>
            <w:r w:rsidR="00C14A37" w:rsidRPr="00FD58C2">
              <w:rPr>
                <w:lang w:val="en-GB"/>
              </w:rPr>
              <w:t xml:space="preserve"> activities associated with the use of IMTS/hawala </w:t>
            </w:r>
            <w:r w:rsidR="00C14A37">
              <w:rPr>
                <w:lang w:val="en-GB"/>
              </w:rPr>
              <w:t xml:space="preserve">should always be </w:t>
            </w:r>
            <w:r w:rsidR="00C14A37" w:rsidRPr="00FD58C2">
              <w:rPr>
                <w:lang w:val="en-GB"/>
              </w:rPr>
              <w:t>in compliance with relevant Danish</w:t>
            </w:r>
            <w:r w:rsidR="00C14A37">
              <w:rPr>
                <w:lang w:val="en-GB"/>
              </w:rPr>
              <w:t>, local</w:t>
            </w:r>
            <w:r w:rsidR="00C14A37" w:rsidRPr="00FD58C2">
              <w:rPr>
                <w:lang w:val="en-GB"/>
              </w:rPr>
              <w:t xml:space="preserve"> and international leg</w:t>
            </w:r>
            <w:r w:rsidR="00C14A37">
              <w:rPr>
                <w:lang w:val="en-GB"/>
              </w:rPr>
              <w:t xml:space="preserve">islation and EU </w:t>
            </w:r>
            <w:r w:rsidR="00C14A37" w:rsidRPr="00B1412D">
              <w:rPr>
                <w:lang w:val="en-GB"/>
              </w:rPr>
              <w:t>restrictive measures</w:t>
            </w:r>
            <w:r w:rsidRPr="00FD58C2">
              <w:rPr>
                <w:lang w:val="en-GB"/>
              </w:rPr>
              <w:t xml:space="preserve">. </w:t>
            </w:r>
          </w:p>
        </w:tc>
      </w:tr>
      <w:tr w:rsidR="003732C2" w14:paraId="13A4A2F7" w14:textId="77777777" w:rsidTr="00CC4239">
        <w:tc>
          <w:tcPr>
            <w:tcW w:w="10060" w:type="dxa"/>
            <w:shd w:val="clear" w:color="auto" w:fill="BFBFBF" w:themeFill="background1" w:themeFillShade="BF"/>
          </w:tcPr>
          <w:p w14:paraId="35081F46" w14:textId="77777777" w:rsidR="003732C2" w:rsidRDefault="003732C2" w:rsidP="00CC4239">
            <w:pPr>
              <w:rPr>
                <w:i/>
                <w:iCs/>
                <w:lang w:val="en-GB"/>
              </w:rPr>
            </w:pPr>
            <w:r>
              <w:rPr>
                <w:b/>
                <w:bCs/>
              </w:rPr>
              <w:t xml:space="preserve">3. </w:t>
            </w:r>
            <w:proofErr w:type="spellStart"/>
            <w:r w:rsidRPr="001C58BB">
              <w:rPr>
                <w:b/>
                <w:bCs/>
              </w:rPr>
              <w:t>Internal</w:t>
            </w:r>
            <w:proofErr w:type="spellEnd"/>
            <w:r w:rsidRPr="001C58BB">
              <w:rPr>
                <w:b/>
                <w:bCs/>
              </w:rPr>
              <w:t xml:space="preserve"> </w:t>
            </w:r>
            <w:proofErr w:type="spellStart"/>
            <w:r w:rsidRPr="001C58BB">
              <w:rPr>
                <w:b/>
                <w:bCs/>
              </w:rPr>
              <w:t>governance</w:t>
            </w:r>
            <w:proofErr w:type="spellEnd"/>
            <w:r w:rsidRPr="001C58BB">
              <w:rPr>
                <w:b/>
                <w:bCs/>
              </w:rPr>
              <w:t xml:space="preserve"> measures</w:t>
            </w:r>
          </w:p>
        </w:tc>
      </w:tr>
      <w:tr w:rsidR="003732C2" w:rsidRPr="00CC0D71" w14:paraId="58D544B8" w14:textId="77777777" w:rsidTr="00CC4239">
        <w:tc>
          <w:tcPr>
            <w:tcW w:w="10060" w:type="dxa"/>
          </w:tcPr>
          <w:p w14:paraId="2E0C8BBD" w14:textId="286D3A7D" w:rsidR="003732C2" w:rsidRDefault="003732C2" w:rsidP="00CC4239">
            <w:pPr>
              <w:rPr>
                <w:lang w:val="en-GB"/>
              </w:rPr>
            </w:pPr>
            <w:r w:rsidRPr="001D4B02">
              <w:rPr>
                <w:i/>
                <w:iCs/>
                <w:lang w:val="en-GB"/>
              </w:rPr>
              <w:t>Written guidelines:</w:t>
            </w:r>
            <w:r w:rsidRPr="006701B4">
              <w:rPr>
                <w:lang w:val="en-GB"/>
              </w:rPr>
              <w:t xml:space="preserve"> Written guidelines </w:t>
            </w:r>
            <w:r w:rsidR="00332A0C">
              <w:rPr>
                <w:lang w:val="en-GB"/>
              </w:rPr>
              <w:t>should be in place</w:t>
            </w:r>
            <w:r w:rsidR="00332A0C" w:rsidRPr="006701B4">
              <w:rPr>
                <w:lang w:val="en-GB"/>
              </w:rPr>
              <w:t xml:space="preserve"> </w:t>
            </w:r>
            <w:r w:rsidRPr="006701B4">
              <w:rPr>
                <w:lang w:val="en-GB"/>
              </w:rPr>
              <w:t xml:space="preserve">that regulate </w:t>
            </w:r>
            <w:r w:rsidR="00332A0C">
              <w:rPr>
                <w:lang w:val="en-GB"/>
              </w:rPr>
              <w:t>the following:</w:t>
            </w:r>
          </w:p>
          <w:p w14:paraId="3259995E" w14:textId="163583F8" w:rsidR="003732C2" w:rsidRPr="00A52A01" w:rsidRDefault="003732C2" w:rsidP="00CC4239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that IMTS is only used in situations</w:t>
            </w:r>
            <w:r w:rsidRPr="00DB7EDC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where there are no other </w:t>
            </w:r>
            <w:r w:rsidR="00332A0C">
              <w:rPr>
                <w:lang w:val="en-GB"/>
              </w:rPr>
              <w:t xml:space="preserve">viable </w:t>
            </w:r>
            <w:r>
              <w:rPr>
                <w:lang w:val="en-GB"/>
              </w:rPr>
              <w:t>options to transfer funds</w:t>
            </w:r>
            <w:r w:rsidR="00332A0C">
              <w:rPr>
                <w:lang w:val="en-GB"/>
              </w:rPr>
              <w:t>,</w:t>
            </w:r>
            <w:r>
              <w:rPr>
                <w:lang w:val="en-GB"/>
              </w:rPr>
              <w:t xml:space="preserve"> and </w:t>
            </w:r>
            <w:r w:rsidR="00332A0C">
              <w:rPr>
                <w:lang w:val="en-GB"/>
              </w:rPr>
              <w:t xml:space="preserve">relevant </w:t>
            </w:r>
            <w:r>
              <w:rPr>
                <w:lang w:val="en-GB"/>
              </w:rPr>
              <w:t>mitigating actions are in place to reduce risks.</w:t>
            </w:r>
          </w:p>
          <w:p w14:paraId="325D7E78" w14:textId="2DDA3975" w:rsidR="003732C2" w:rsidRPr="00A52A01" w:rsidRDefault="003732C2" w:rsidP="00CC4239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6701B4">
              <w:rPr>
                <w:lang w:val="en-GB"/>
              </w:rPr>
              <w:t xml:space="preserve">who </w:t>
            </w:r>
            <w:r w:rsidR="00A0002D">
              <w:rPr>
                <w:lang w:val="en-GB"/>
              </w:rPr>
              <w:t>is authorised to</w:t>
            </w:r>
            <w:r w:rsidR="00A0002D" w:rsidRPr="006701B4">
              <w:rPr>
                <w:lang w:val="en-GB"/>
              </w:rPr>
              <w:t xml:space="preserve"> </w:t>
            </w:r>
            <w:r w:rsidRPr="006701B4">
              <w:rPr>
                <w:lang w:val="en-GB"/>
              </w:rPr>
              <w:t>take the decision on the use of IMTS/hawala</w:t>
            </w:r>
            <w:r w:rsidR="008036A9">
              <w:rPr>
                <w:lang w:val="en-GB"/>
              </w:rPr>
              <w:t xml:space="preserve"> in the concrete </w:t>
            </w:r>
            <w:proofErr w:type="gramStart"/>
            <w:r w:rsidR="008036A9">
              <w:rPr>
                <w:lang w:val="en-GB"/>
              </w:rPr>
              <w:t>situation</w:t>
            </w:r>
            <w:r w:rsidR="00332A0C">
              <w:rPr>
                <w:lang w:val="en-GB"/>
              </w:rPr>
              <w:t>.</w:t>
            </w:r>
            <w:proofErr w:type="gramEnd"/>
            <w:r w:rsidR="00332A0C" w:rsidRPr="006701B4">
              <w:rPr>
                <w:lang w:val="en-GB"/>
              </w:rPr>
              <w:t xml:space="preserve"> </w:t>
            </w:r>
            <w:r w:rsidRPr="006701B4">
              <w:rPr>
                <w:lang w:val="en-GB"/>
              </w:rPr>
              <w:t xml:space="preserve">The </w:t>
            </w:r>
            <w:r w:rsidR="00A0002D">
              <w:rPr>
                <w:lang w:val="en-GB"/>
              </w:rPr>
              <w:t>mandate</w:t>
            </w:r>
            <w:r w:rsidR="00A0002D" w:rsidRPr="006701B4">
              <w:rPr>
                <w:lang w:val="en-GB"/>
              </w:rPr>
              <w:t xml:space="preserve"> </w:t>
            </w:r>
            <w:r w:rsidRPr="006701B4">
              <w:rPr>
                <w:lang w:val="en-GB"/>
              </w:rPr>
              <w:t>should preferably</w:t>
            </w:r>
            <w:r w:rsidR="00A0002D">
              <w:rPr>
                <w:lang w:val="en-GB"/>
              </w:rPr>
              <w:t xml:space="preserve"> remain at</w:t>
            </w:r>
            <w:r w:rsidRPr="006701B4">
              <w:rPr>
                <w:lang w:val="en-GB"/>
              </w:rPr>
              <w:t xml:space="preserve"> highest executive level in the organisation</w:t>
            </w:r>
            <w:r w:rsidR="003F4569">
              <w:rPr>
                <w:lang w:val="en-GB"/>
              </w:rPr>
              <w:t>.</w:t>
            </w:r>
          </w:p>
          <w:p w14:paraId="47C99AD5" w14:textId="6E7DA587" w:rsidR="003732C2" w:rsidRPr="00A52A01" w:rsidRDefault="003732C2" w:rsidP="00CC4239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3301F7">
              <w:rPr>
                <w:lang w:val="en-GB"/>
              </w:rPr>
              <w:t>ow IMTS fund transfers are to be conducted, use of companies/agents, vetting processes, audit trails etc.</w:t>
            </w:r>
          </w:p>
          <w:p w14:paraId="265DF6B2" w14:textId="657BE519" w:rsidR="003732C2" w:rsidRPr="0061274A" w:rsidRDefault="003732C2" w:rsidP="003732C2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61274A">
              <w:rPr>
                <w:lang w:val="en-GB"/>
              </w:rPr>
              <w:t>that the amount of funds transferred to IMTS/hawala agent is based on an assessment of the concrete funding</w:t>
            </w:r>
            <w:r w:rsidR="00332A0C">
              <w:rPr>
                <w:lang w:val="en-GB"/>
              </w:rPr>
              <w:t xml:space="preserve"> needs, and</w:t>
            </w:r>
            <w:r w:rsidRPr="0061274A">
              <w:rPr>
                <w:lang w:val="en-GB"/>
              </w:rPr>
              <w:t xml:space="preserve"> </w:t>
            </w:r>
            <w:r w:rsidR="006B27C6">
              <w:rPr>
                <w:lang w:val="en-GB"/>
              </w:rPr>
              <w:t>must</w:t>
            </w:r>
            <w:r w:rsidRPr="0061274A">
              <w:rPr>
                <w:lang w:val="en-GB"/>
              </w:rPr>
              <w:t xml:space="preserve"> avoid any fund accumulation with IMTS/hawala agents including any local agents</w:t>
            </w:r>
            <w:r w:rsidR="003F4569">
              <w:rPr>
                <w:lang w:val="en-GB"/>
              </w:rPr>
              <w:t>.</w:t>
            </w:r>
            <w:r w:rsidRPr="0061274A">
              <w:rPr>
                <w:lang w:val="en-GB"/>
              </w:rPr>
              <w:t xml:space="preserve"> </w:t>
            </w:r>
          </w:p>
          <w:p w14:paraId="1C45C408" w14:textId="0597F526" w:rsidR="003732C2" w:rsidRPr="0061274A" w:rsidRDefault="003732C2" w:rsidP="003732C2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61274A">
              <w:rPr>
                <w:lang w:val="en-GB"/>
              </w:rPr>
              <w:t>that funds are forwarded from the IMTS/hawala agent/local agent to the end recipients without delay</w:t>
            </w:r>
            <w:r w:rsidR="003F4569">
              <w:rPr>
                <w:lang w:val="en-GB"/>
              </w:rPr>
              <w:t>.</w:t>
            </w:r>
          </w:p>
          <w:p w14:paraId="3B7E3AE7" w14:textId="2C6DFE81" w:rsidR="003732C2" w:rsidRPr="0061274A" w:rsidRDefault="003732C2" w:rsidP="00CC4239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61274A">
              <w:rPr>
                <w:lang w:val="en-GB"/>
              </w:rPr>
              <w:t>that any fee to IMTS/hawala agent is in line with principles of sound and proper financial management of funds</w:t>
            </w:r>
            <w:r w:rsidR="0061274A">
              <w:rPr>
                <w:lang w:val="en-GB"/>
              </w:rPr>
              <w:t>, they are</w:t>
            </w:r>
            <w:r w:rsidR="0061274A" w:rsidRPr="0061274A">
              <w:rPr>
                <w:lang w:val="en-GB"/>
              </w:rPr>
              <w:t xml:space="preserve"> accounted for and included in the audit</w:t>
            </w:r>
            <w:r w:rsidR="003F4569">
              <w:rPr>
                <w:lang w:val="en-GB"/>
              </w:rPr>
              <w:t>.</w:t>
            </w:r>
          </w:p>
          <w:p w14:paraId="72664796" w14:textId="27DB1000" w:rsidR="003732C2" w:rsidRPr="003732C2" w:rsidRDefault="00332A0C" w:rsidP="003F4569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lang w:val="en-GB"/>
              </w:rPr>
            </w:pPr>
            <w:r>
              <w:rPr>
                <w:lang w:val="en-GB"/>
              </w:rPr>
              <w:t xml:space="preserve">who </w:t>
            </w:r>
            <w:r w:rsidR="004F0689">
              <w:rPr>
                <w:lang w:val="en-GB"/>
              </w:rPr>
              <w:t>to notify and how,</w:t>
            </w:r>
            <w:r w:rsidR="00E14BF6">
              <w:rPr>
                <w:lang w:val="en-GB"/>
              </w:rPr>
              <w:t xml:space="preserve"> </w:t>
            </w:r>
            <w:r w:rsidR="003732C2" w:rsidRPr="0061274A">
              <w:rPr>
                <w:lang w:val="en-GB"/>
              </w:rPr>
              <w:t xml:space="preserve">in case of </w:t>
            </w:r>
            <w:r w:rsidR="00E14BF6">
              <w:rPr>
                <w:lang w:val="en-GB"/>
              </w:rPr>
              <w:t>irregularities</w:t>
            </w:r>
            <w:r w:rsidR="003732C2" w:rsidRPr="0061274A">
              <w:rPr>
                <w:lang w:val="en-GB"/>
              </w:rPr>
              <w:t xml:space="preserve"> related to the use of IMTS/hawala, </w:t>
            </w:r>
            <w:r w:rsidR="004F0689">
              <w:rPr>
                <w:lang w:val="en-GB"/>
              </w:rPr>
              <w:t xml:space="preserve">and what course of action is </w:t>
            </w:r>
            <w:proofErr w:type="gramStart"/>
            <w:r w:rsidR="004F0689">
              <w:rPr>
                <w:lang w:val="en-GB"/>
              </w:rPr>
              <w:t>prescribed</w:t>
            </w:r>
            <w:r w:rsidR="003F4569">
              <w:rPr>
                <w:lang w:val="en-GB"/>
              </w:rPr>
              <w:t>.</w:t>
            </w:r>
            <w:proofErr w:type="gramEnd"/>
          </w:p>
        </w:tc>
      </w:tr>
      <w:tr w:rsidR="003732C2" w:rsidRPr="00CC0D71" w14:paraId="2C2D6939" w14:textId="77777777" w:rsidTr="00CC4239">
        <w:tc>
          <w:tcPr>
            <w:tcW w:w="10060" w:type="dxa"/>
          </w:tcPr>
          <w:p w14:paraId="69FD0ECB" w14:textId="4CC94FAF" w:rsidR="003732C2" w:rsidRPr="00A52A01" w:rsidRDefault="003732C2" w:rsidP="003F4569">
            <w:pPr>
              <w:rPr>
                <w:lang w:val="en-GB"/>
              </w:rPr>
            </w:pPr>
            <w:r w:rsidRPr="001D4B02">
              <w:rPr>
                <w:i/>
                <w:iCs/>
                <w:lang w:val="en-GB"/>
              </w:rPr>
              <w:t>Monitoring and control:</w:t>
            </w:r>
            <w:r w:rsidRPr="006701B4">
              <w:rPr>
                <w:lang w:val="en-GB"/>
              </w:rPr>
              <w:t xml:space="preserve"> </w:t>
            </w:r>
            <w:r>
              <w:rPr>
                <w:lang w:val="en-GB"/>
              </w:rPr>
              <w:t>I</w:t>
            </w:r>
            <w:r w:rsidRPr="006701B4">
              <w:rPr>
                <w:lang w:val="en-GB"/>
              </w:rPr>
              <w:t>nternal procedures that regulate how the use of IMTS/hawala is being monitored and controlled on an on-going basis</w:t>
            </w:r>
            <w:r w:rsidR="00836446">
              <w:rPr>
                <w:lang w:val="en-GB"/>
              </w:rPr>
              <w:t xml:space="preserve"> must be in place</w:t>
            </w:r>
            <w:r w:rsidRPr="006701B4">
              <w:rPr>
                <w:lang w:val="en-GB"/>
              </w:rPr>
              <w:t xml:space="preserve">. The monitoring and control should be </w:t>
            </w:r>
            <w:r w:rsidR="00544710">
              <w:rPr>
                <w:lang w:val="en-GB"/>
              </w:rPr>
              <w:t xml:space="preserve">conducted throughout the chain, until and including receipt by the end recipient </w:t>
            </w:r>
            <w:r w:rsidRPr="006701B4">
              <w:rPr>
                <w:lang w:val="en-GB"/>
              </w:rPr>
              <w:t>on an on-going basis with reasonable frequency</w:t>
            </w:r>
            <w:r w:rsidR="00544710">
              <w:rPr>
                <w:lang w:val="en-GB"/>
              </w:rPr>
              <w:t>,</w:t>
            </w:r>
            <w:r>
              <w:rPr>
                <w:lang w:val="en-GB"/>
              </w:rPr>
              <w:t xml:space="preserve"> and should be documented</w:t>
            </w:r>
            <w:r w:rsidRPr="006701B4">
              <w:rPr>
                <w:lang w:val="en-GB"/>
              </w:rPr>
              <w:t>.</w:t>
            </w:r>
          </w:p>
        </w:tc>
      </w:tr>
      <w:tr w:rsidR="003732C2" w:rsidRPr="00A52A01" w14:paraId="2B087BC0" w14:textId="77777777" w:rsidTr="003F4569">
        <w:tc>
          <w:tcPr>
            <w:tcW w:w="10060" w:type="dxa"/>
            <w:shd w:val="clear" w:color="auto" w:fill="BFBFBF" w:themeFill="background1" w:themeFillShade="BF"/>
          </w:tcPr>
          <w:p w14:paraId="652A83A0" w14:textId="6722C072" w:rsidR="003F4569" w:rsidRPr="00A52A01" w:rsidRDefault="003732C2" w:rsidP="003F4569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4. Vetting requirements</w:t>
            </w:r>
          </w:p>
        </w:tc>
      </w:tr>
      <w:tr w:rsidR="003732C2" w:rsidRPr="00CC0D71" w14:paraId="614377EB" w14:textId="77777777" w:rsidTr="00CC4239">
        <w:tc>
          <w:tcPr>
            <w:tcW w:w="10060" w:type="dxa"/>
          </w:tcPr>
          <w:p w14:paraId="7F803A6E" w14:textId="6202BC72" w:rsidR="003732C2" w:rsidRPr="001D4B02" w:rsidRDefault="001B1E8C" w:rsidP="00CC4239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I</w:t>
            </w:r>
            <w:r w:rsidR="003732C2" w:rsidRPr="001D4B02">
              <w:rPr>
                <w:i/>
                <w:iCs/>
                <w:lang w:val="en-GB"/>
              </w:rPr>
              <w:t>dentification of the IMTS/hawala agent including any local agent:</w:t>
            </w:r>
          </w:p>
          <w:p w14:paraId="754E8B50" w14:textId="26FF94A5" w:rsidR="003732C2" w:rsidRPr="00A52A01" w:rsidRDefault="00C431B5" w:rsidP="00CC4239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3732C2" w:rsidRPr="003013B4">
              <w:rPr>
                <w:lang w:val="en-GB"/>
              </w:rPr>
              <w:t>ocumentation of the identity of the company/agent</w:t>
            </w:r>
            <w:r w:rsidR="003732C2">
              <w:rPr>
                <w:lang w:val="en-GB"/>
              </w:rPr>
              <w:t xml:space="preserve"> being used throughout the transaction-chain including local agents</w:t>
            </w:r>
            <w:r>
              <w:rPr>
                <w:lang w:val="en-GB"/>
              </w:rPr>
              <w:t xml:space="preserve"> </w:t>
            </w:r>
            <w:r w:rsidR="001B1E8C">
              <w:rPr>
                <w:lang w:val="en-GB"/>
              </w:rPr>
              <w:t>should be obtained</w:t>
            </w:r>
            <w:r w:rsidR="003732C2" w:rsidRPr="003013B4">
              <w:rPr>
                <w:lang w:val="en-GB"/>
              </w:rPr>
              <w:t xml:space="preserve">. </w:t>
            </w:r>
          </w:p>
        </w:tc>
      </w:tr>
      <w:tr w:rsidR="003732C2" w:rsidRPr="00CC0D71" w14:paraId="409C070F" w14:textId="77777777" w:rsidTr="00CC4239">
        <w:tc>
          <w:tcPr>
            <w:tcW w:w="10060" w:type="dxa"/>
          </w:tcPr>
          <w:p w14:paraId="745C55F3" w14:textId="77777777" w:rsidR="003732C2" w:rsidRPr="001D4B02" w:rsidRDefault="003732C2" w:rsidP="00CC4239">
            <w:pPr>
              <w:rPr>
                <w:i/>
                <w:iCs/>
                <w:lang w:val="en-GB"/>
              </w:rPr>
            </w:pPr>
            <w:r w:rsidRPr="001D4B02">
              <w:rPr>
                <w:i/>
                <w:iCs/>
                <w:lang w:val="en-GB"/>
              </w:rPr>
              <w:t xml:space="preserve">Sanctions screening of IMTS/hawala companies/agents including local agents: </w:t>
            </w:r>
          </w:p>
          <w:p w14:paraId="155A347B" w14:textId="431D0D29" w:rsidR="003732C2" w:rsidRPr="001D4B02" w:rsidRDefault="003732C2" w:rsidP="00CC4239">
            <w:pPr>
              <w:rPr>
                <w:i/>
                <w:iCs/>
                <w:lang w:val="en-GB"/>
              </w:rPr>
            </w:pPr>
            <w:r>
              <w:rPr>
                <w:lang w:val="en-GB"/>
              </w:rPr>
              <w:t xml:space="preserve">Document that all IMTS/hawala agents being involved in the transaction has undergone sanction screenings that </w:t>
            </w:r>
            <w:r w:rsidRPr="003013B4">
              <w:rPr>
                <w:lang w:val="en-GB"/>
              </w:rPr>
              <w:t>include as a minimum UN</w:t>
            </w:r>
            <w:r>
              <w:rPr>
                <w:lang w:val="en-GB"/>
              </w:rPr>
              <w:t xml:space="preserve"> </w:t>
            </w:r>
            <w:r w:rsidRPr="003013B4">
              <w:rPr>
                <w:lang w:val="en-GB"/>
              </w:rPr>
              <w:t>and EU sanctions</w:t>
            </w:r>
            <w:r>
              <w:rPr>
                <w:lang w:val="en-GB"/>
              </w:rPr>
              <w:t xml:space="preserve">. </w:t>
            </w:r>
            <w:r w:rsidRPr="003013B4">
              <w:rPr>
                <w:lang w:val="en-GB"/>
              </w:rPr>
              <w:t xml:space="preserve">The sanctions </w:t>
            </w:r>
            <w:proofErr w:type="gramStart"/>
            <w:r w:rsidRPr="003013B4">
              <w:rPr>
                <w:lang w:val="en-GB"/>
              </w:rPr>
              <w:t>checks</w:t>
            </w:r>
            <w:proofErr w:type="gramEnd"/>
            <w:r w:rsidRPr="003013B4">
              <w:rPr>
                <w:lang w:val="en-GB"/>
              </w:rPr>
              <w:t xml:space="preserve"> need to be conducted on an on-going basis to </w:t>
            </w:r>
            <w:r w:rsidR="001B1E8C">
              <w:rPr>
                <w:lang w:val="en-GB"/>
              </w:rPr>
              <w:t>as</w:t>
            </w:r>
            <w:r w:rsidRPr="003013B4">
              <w:rPr>
                <w:lang w:val="en-GB"/>
              </w:rPr>
              <w:t xml:space="preserve"> sanctions lists</w:t>
            </w:r>
            <w:r w:rsidR="001B1E8C">
              <w:rPr>
                <w:lang w:val="en-GB"/>
              </w:rPr>
              <w:t xml:space="preserve"> are constantly updated</w:t>
            </w:r>
            <w:r w:rsidRPr="003013B4">
              <w:rPr>
                <w:lang w:val="en-GB"/>
              </w:rPr>
              <w:t xml:space="preserve">. </w:t>
            </w:r>
          </w:p>
        </w:tc>
      </w:tr>
      <w:tr w:rsidR="003732C2" w:rsidRPr="00CC0D71" w14:paraId="51C59EC1" w14:textId="77777777" w:rsidTr="00CC4239">
        <w:tc>
          <w:tcPr>
            <w:tcW w:w="10060" w:type="dxa"/>
          </w:tcPr>
          <w:p w14:paraId="3CC7A304" w14:textId="1A98B40F" w:rsidR="003732C2" w:rsidRPr="001D4B02" w:rsidRDefault="003732C2" w:rsidP="00CC4239">
            <w:pPr>
              <w:rPr>
                <w:i/>
                <w:iCs/>
                <w:lang w:val="en-GB"/>
              </w:rPr>
            </w:pPr>
            <w:r w:rsidRPr="00A52A01">
              <w:rPr>
                <w:i/>
                <w:iCs/>
                <w:lang w:val="en-GB"/>
              </w:rPr>
              <w:t>Local regulations:</w:t>
            </w:r>
            <w:r w:rsidRPr="001A235F">
              <w:rPr>
                <w:lang w:val="en-GB"/>
              </w:rPr>
              <w:t xml:space="preserve"> Partner organisations should only engage with properly licensed and registered parties, including local IMTS/hawala agents.</w:t>
            </w:r>
          </w:p>
        </w:tc>
      </w:tr>
      <w:tr w:rsidR="003F4569" w:rsidRPr="001D4B02" w14:paraId="528B8AD8" w14:textId="77777777" w:rsidTr="003F4569">
        <w:tc>
          <w:tcPr>
            <w:tcW w:w="10060" w:type="dxa"/>
            <w:shd w:val="clear" w:color="auto" w:fill="BFBFBF" w:themeFill="background1" w:themeFillShade="BF"/>
          </w:tcPr>
          <w:p w14:paraId="47B3A9F2" w14:textId="3DAF4E72" w:rsidR="003F4569" w:rsidRPr="00A52A01" w:rsidRDefault="003F4569" w:rsidP="00CC4239">
            <w:pPr>
              <w:rPr>
                <w:i/>
                <w:iCs/>
                <w:lang w:val="en-GB"/>
              </w:rPr>
            </w:pPr>
            <w:r>
              <w:rPr>
                <w:b/>
                <w:bCs/>
              </w:rPr>
              <w:t xml:space="preserve">5. </w:t>
            </w:r>
            <w:r w:rsidRPr="00982E3A">
              <w:rPr>
                <w:b/>
                <w:bCs/>
              </w:rPr>
              <w:t xml:space="preserve">Fund transfer </w:t>
            </w:r>
            <w:proofErr w:type="spellStart"/>
            <w:r w:rsidRPr="00982E3A">
              <w:rPr>
                <w:b/>
                <w:bCs/>
              </w:rPr>
              <w:t>transparency</w:t>
            </w:r>
            <w:proofErr w:type="spellEnd"/>
          </w:p>
        </w:tc>
      </w:tr>
      <w:tr w:rsidR="003732C2" w:rsidRPr="00CC0D71" w14:paraId="6456F41A" w14:textId="77777777" w:rsidTr="00CC4239">
        <w:tc>
          <w:tcPr>
            <w:tcW w:w="10060" w:type="dxa"/>
          </w:tcPr>
          <w:p w14:paraId="3FFCE7D7" w14:textId="11C999FB" w:rsidR="003732C2" w:rsidRPr="00A52A01" w:rsidRDefault="003732C2" w:rsidP="00CC4239">
            <w:pPr>
              <w:rPr>
                <w:lang w:val="en-GB"/>
              </w:rPr>
            </w:pPr>
            <w:r w:rsidRPr="001D4B02">
              <w:rPr>
                <w:i/>
                <w:iCs/>
                <w:lang w:val="en-GB"/>
              </w:rPr>
              <w:t>Payment to IMTS/hawala agent and audit trail:</w:t>
            </w:r>
            <w:r w:rsidRPr="0012560B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Document that funds to </w:t>
            </w:r>
            <w:r w:rsidRPr="0012560B">
              <w:rPr>
                <w:lang w:val="en-GB"/>
              </w:rPr>
              <w:t>IMTS/hawala agent</w:t>
            </w:r>
            <w:r>
              <w:rPr>
                <w:lang w:val="en-GB"/>
              </w:rPr>
              <w:t xml:space="preserve"> are</w:t>
            </w:r>
            <w:r w:rsidRPr="0012560B">
              <w:rPr>
                <w:lang w:val="en-GB"/>
              </w:rPr>
              <w:t xml:space="preserve"> </w:t>
            </w:r>
            <w:r>
              <w:rPr>
                <w:lang w:val="en-GB"/>
              </w:rPr>
              <w:t>transferred</w:t>
            </w:r>
            <w:r w:rsidRPr="0012560B">
              <w:rPr>
                <w:lang w:val="en-GB"/>
              </w:rPr>
              <w:t xml:space="preserve"> into an identified account with a bank or another regulated institution</w:t>
            </w:r>
            <w:r>
              <w:rPr>
                <w:lang w:val="en-GB"/>
              </w:rPr>
              <w:t xml:space="preserve"> (</w:t>
            </w:r>
            <w:proofErr w:type="gramStart"/>
            <w:r>
              <w:rPr>
                <w:lang w:val="en-GB"/>
              </w:rPr>
              <w:t>i.e.</w:t>
            </w:r>
            <w:proofErr w:type="gramEnd"/>
            <w:r>
              <w:rPr>
                <w:lang w:val="en-GB"/>
              </w:rPr>
              <w:t xml:space="preserve"> cash</w:t>
            </w:r>
            <w:r w:rsidR="001B1E8C">
              <w:rPr>
                <w:lang w:val="en-GB"/>
              </w:rPr>
              <w:t xml:space="preserve"> should </w:t>
            </w:r>
            <w:r w:rsidR="00544710">
              <w:rPr>
                <w:lang w:val="en-GB"/>
              </w:rPr>
              <w:t>be avoided</w:t>
            </w:r>
            <w:r>
              <w:rPr>
                <w:lang w:val="en-GB"/>
              </w:rPr>
              <w:t>)</w:t>
            </w:r>
            <w:r w:rsidRPr="0012560B">
              <w:rPr>
                <w:lang w:val="en-GB"/>
              </w:rPr>
              <w:t xml:space="preserve"> to secure an audit trail.</w:t>
            </w:r>
            <w:r>
              <w:rPr>
                <w:lang w:val="en-GB"/>
              </w:rPr>
              <w:t xml:space="preserve"> The requirement for audit trail applies to transfers </w:t>
            </w:r>
            <w:r>
              <w:rPr>
                <w:lang w:val="en-GB"/>
              </w:rPr>
              <w:lastRenderedPageBreak/>
              <w:t xml:space="preserve">from IMTS/hawala agent </w:t>
            </w:r>
            <w:r w:rsidRPr="003013B4">
              <w:rPr>
                <w:lang w:val="en-GB"/>
              </w:rPr>
              <w:t>initially receiving the funds</w:t>
            </w:r>
            <w:r>
              <w:rPr>
                <w:lang w:val="en-GB"/>
              </w:rPr>
              <w:t xml:space="preserve"> from the organisation </w:t>
            </w:r>
            <w:r w:rsidR="001B1E8C">
              <w:rPr>
                <w:lang w:val="en-GB"/>
              </w:rPr>
              <w:t xml:space="preserve">as well as any </w:t>
            </w:r>
            <w:r w:rsidRPr="002A7769">
              <w:rPr>
                <w:lang w:val="en-GB"/>
              </w:rPr>
              <w:t xml:space="preserve">further </w:t>
            </w:r>
            <w:r w:rsidR="001B1E8C" w:rsidRPr="002A7769">
              <w:rPr>
                <w:lang w:val="en-GB"/>
              </w:rPr>
              <w:t xml:space="preserve">transfers </w:t>
            </w:r>
            <w:r w:rsidRPr="002A7769">
              <w:rPr>
                <w:lang w:val="en-GB"/>
              </w:rPr>
              <w:t>to any local IMTS/hawala agent</w:t>
            </w:r>
            <w:r w:rsidR="001B1E8C" w:rsidRPr="002A7769">
              <w:rPr>
                <w:lang w:val="en-GB"/>
              </w:rPr>
              <w:t>s.</w:t>
            </w:r>
          </w:p>
        </w:tc>
      </w:tr>
      <w:tr w:rsidR="003732C2" w:rsidRPr="00CC0D71" w14:paraId="74F901C8" w14:textId="77777777" w:rsidTr="00CC4239">
        <w:tc>
          <w:tcPr>
            <w:tcW w:w="10060" w:type="dxa"/>
          </w:tcPr>
          <w:p w14:paraId="76DF70D8" w14:textId="77777777" w:rsidR="003732C2" w:rsidRPr="00A52A01" w:rsidRDefault="003732C2" w:rsidP="00CC4239">
            <w:pPr>
              <w:rPr>
                <w:lang w:val="en-GB"/>
              </w:rPr>
            </w:pPr>
            <w:r w:rsidRPr="001D4B02">
              <w:rPr>
                <w:i/>
                <w:iCs/>
                <w:lang w:val="en-GB"/>
              </w:rPr>
              <w:lastRenderedPageBreak/>
              <w:t>Payment to end recipient</w:t>
            </w:r>
            <w:r>
              <w:rPr>
                <w:lang w:val="en-GB"/>
              </w:rPr>
              <w:t xml:space="preserve">: Document that funds have been collected by end recipient. </w:t>
            </w:r>
          </w:p>
        </w:tc>
      </w:tr>
    </w:tbl>
    <w:p w14:paraId="619B860E" w14:textId="731A1246" w:rsidR="003732C2" w:rsidRDefault="003732C2" w:rsidP="003732C2">
      <w:pPr>
        <w:rPr>
          <w:b/>
          <w:bCs/>
          <w:lang w:val="en-GB"/>
        </w:rPr>
      </w:pPr>
      <w:r w:rsidRPr="00B918F2">
        <w:rPr>
          <w:b/>
          <w:bCs/>
          <w:lang w:val="en-GB"/>
        </w:rPr>
        <w:t xml:space="preserve">   </w:t>
      </w:r>
    </w:p>
    <w:p w14:paraId="69127B68" w14:textId="51587326" w:rsidR="007D2987" w:rsidRPr="003732C2" w:rsidRDefault="007D2987">
      <w:pPr>
        <w:rPr>
          <w:lang w:val="en-GB"/>
        </w:rPr>
      </w:pPr>
    </w:p>
    <w:sectPr w:rsidR="007D2987" w:rsidRPr="003732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643A"/>
    <w:multiLevelType w:val="multilevel"/>
    <w:tmpl w:val="C9FA1FA0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  <w:b/>
        <w:i w:val="0"/>
        <w:sz w:val="19"/>
        <w:szCs w:val="19"/>
      </w:rPr>
    </w:lvl>
    <w:lvl w:ilvl="1">
      <w:start w:val="1"/>
      <w:numFmt w:val="decimal"/>
      <w:pStyle w:val="Afsnitsnummerering2"/>
      <w:lvlText w:val="%1.%2"/>
      <w:lvlJc w:val="left"/>
      <w:pPr>
        <w:ind w:left="851" w:hanging="851"/>
      </w:pPr>
      <w:rPr>
        <w:rFonts w:hint="default"/>
        <w:b w:val="0"/>
        <w:i w:val="0"/>
        <w:sz w:val="19"/>
        <w:szCs w:val="19"/>
      </w:rPr>
    </w:lvl>
    <w:lvl w:ilvl="2">
      <w:start w:val="1"/>
      <w:numFmt w:val="decimal"/>
      <w:pStyle w:val="Afsnitsnummerering3"/>
      <w:lvlText w:val="%1.%2.%3"/>
      <w:lvlJc w:val="left"/>
      <w:pPr>
        <w:ind w:left="851" w:hanging="851"/>
      </w:pPr>
      <w:rPr>
        <w:rFonts w:hint="default"/>
        <w:b w:val="0"/>
        <w:i w:val="0"/>
        <w:sz w:val="19"/>
        <w:szCs w:val="19"/>
      </w:rPr>
    </w:lvl>
    <w:lvl w:ilvl="3">
      <w:start w:val="1"/>
      <w:numFmt w:val="decimal"/>
      <w:pStyle w:val="Afsnitsnummerering4"/>
      <w:lvlText w:val="%1.%2.%3.%4"/>
      <w:lvlJc w:val="left"/>
      <w:pPr>
        <w:ind w:left="851" w:hanging="851"/>
      </w:pPr>
      <w:rPr>
        <w:rFonts w:hint="default"/>
        <w:sz w:val="19"/>
        <w:szCs w:val="19"/>
      </w:rPr>
    </w:lvl>
    <w:lvl w:ilvl="4">
      <w:start w:val="1"/>
      <w:numFmt w:val="decimal"/>
      <w:pStyle w:val="Afsnitsnummerering5"/>
      <w:lvlText w:val="%1.%2.%3.%4.%5"/>
      <w:lvlJc w:val="left"/>
      <w:pPr>
        <w:ind w:left="851" w:hanging="851"/>
      </w:pPr>
      <w:rPr>
        <w:rFonts w:hint="default"/>
        <w:sz w:val="19"/>
        <w:szCs w:val="19"/>
      </w:rPr>
    </w:lvl>
    <w:lvl w:ilvl="5">
      <w:start w:val="1"/>
      <w:numFmt w:val="lowerLetter"/>
      <w:pStyle w:val="Opstillingermeda"/>
      <w:lvlText w:val="(%6)"/>
      <w:lvlJc w:val="left"/>
      <w:pPr>
        <w:ind w:left="1418" w:hanging="567"/>
      </w:pPr>
      <w:rPr>
        <w:rFonts w:hint="default"/>
        <w:sz w:val="19"/>
      </w:rPr>
    </w:lvl>
    <w:lvl w:ilvl="6">
      <w:start w:val="1"/>
      <w:numFmt w:val="decimal"/>
      <w:lvlRestart w:val="5"/>
      <w:pStyle w:val="Opstillingmed1"/>
      <w:lvlText w:val="(%7)"/>
      <w:lvlJc w:val="left"/>
      <w:pPr>
        <w:ind w:left="1418" w:hanging="567"/>
      </w:pPr>
      <w:rPr>
        <w:rFonts w:hint="default"/>
        <w:sz w:val="19"/>
        <w:u w:val="none"/>
      </w:rPr>
    </w:lvl>
    <w:lvl w:ilvl="7">
      <w:start w:val="1"/>
      <w:numFmt w:val="decimal"/>
      <w:lvlRestart w:val="5"/>
      <w:pStyle w:val="Opstillingmed10"/>
      <w:lvlText w:val="%8."/>
      <w:lvlJc w:val="left"/>
      <w:pPr>
        <w:ind w:left="1418" w:hanging="567"/>
      </w:pPr>
      <w:rPr>
        <w:rFonts w:hint="default"/>
        <w:sz w:val="19"/>
      </w:rPr>
    </w:lvl>
    <w:lvl w:ilvl="8">
      <w:start w:val="1"/>
      <w:numFmt w:val="lowerRoman"/>
      <w:lvlRestart w:val="5"/>
      <w:pStyle w:val="Opstillingmedi"/>
      <w:lvlText w:val="(%9)"/>
      <w:lvlJc w:val="left"/>
      <w:pPr>
        <w:ind w:left="1418" w:hanging="567"/>
      </w:pPr>
      <w:rPr>
        <w:rFonts w:hint="default"/>
        <w:sz w:val="19"/>
      </w:rPr>
    </w:lvl>
  </w:abstractNum>
  <w:abstractNum w:abstractNumId="1" w15:restartNumberingAfterBreak="0">
    <w:nsid w:val="14D97BC9"/>
    <w:multiLevelType w:val="hybridMultilevel"/>
    <w:tmpl w:val="47342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C2"/>
    <w:rsid w:val="000C6761"/>
    <w:rsid w:val="00173E65"/>
    <w:rsid w:val="001B1E8C"/>
    <w:rsid w:val="00211B35"/>
    <w:rsid w:val="0026203F"/>
    <w:rsid w:val="00281874"/>
    <w:rsid w:val="002A15F6"/>
    <w:rsid w:val="002A7769"/>
    <w:rsid w:val="00332A0C"/>
    <w:rsid w:val="003732C2"/>
    <w:rsid w:val="0039365C"/>
    <w:rsid w:val="003F4569"/>
    <w:rsid w:val="00466548"/>
    <w:rsid w:val="004B24BD"/>
    <w:rsid w:val="004F0689"/>
    <w:rsid w:val="00504A68"/>
    <w:rsid w:val="00544710"/>
    <w:rsid w:val="00573866"/>
    <w:rsid w:val="005800FE"/>
    <w:rsid w:val="0061274A"/>
    <w:rsid w:val="00640D1F"/>
    <w:rsid w:val="00672946"/>
    <w:rsid w:val="006A029A"/>
    <w:rsid w:val="006B27C6"/>
    <w:rsid w:val="006B27EC"/>
    <w:rsid w:val="00742535"/>
    <w:rsid w:val="007D2987"/>
    <w:rsid w:val="008036A9"/>
    <w:rsid w:val="008142E7"/>
    <w:rsid w:val="00833107"/>
    <w:rsid w:val="00836446"/>
    <w:rsid w:val="008525E5"/>
    <w:rsid w:val="008A086B"/>
    <w:rsid w:val="008A2A3B"/>
    <w:rsid w:val="009B3649"/>
    <w:rsid w:val="009D0BE1"/>
    <w:rsid w:val="00A0002D"/>
    <w:rsid w:val="00A23FA7"/>
    <w:rsid w:val="00A2714C"/>
    <w:rsid w:val="00A44A2D"/>
    <w:rsid w:val="00A707F5"/>
    <w:rsid w:val="00B471EB"/>
    <w:rsid w:val="00C14A37"/>
    <w:rsid w:val="00C431B5"/>
    <w:rsid w:val="00CC0D71"/>
    <w:rsid w:val="00CD118F"/>
    <w:rsid w:val="00DA07FD"/>
    <w:rsid w:val="00DC4EB9"/>
    <w:rsid w:val="00E14BF6"/>
    <w:rsid w:val="00E51C52"/>
    <w:rsid w:val="00E6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56AC"/>
  <w15:chartTrackingRefBased/>
  <w15:docId w15:val="{E27485A3-5A5A-452C-A14A-7F6DFE61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C2"/>
  </w:style>
  <w:style w:type="paragraph" w:styleId="Heading1">
    <w:name w:val="heading 1"/>
    <w:basedOn w:val="Normal"/>
    <w:next w:val="Afsnitsnummerering2"/>
    <w:link w:val="Heading1Char"/>
    <w:uiPriority w:val="9"/>
    <w:qFormat/>
    <w:rsid w:val="003732C2"/>
    <w:pPr>
      <w:keepNext/>
      <w:keepLines/>
      <w:numPr>
        <w:numId w:val="2"/>
      </w:numPr>
      <w:spacing w:before="240" w:after="160" w:line="240" w:lineRule="atLeast"/>
      <w:jc w:val="both"/>
      <w:outlineLvl w:val="0"/>
    </w:pPr>
    <w:rPr>
      <w:rFonts w:ascii="Tahoma" w:eastAsiaTheme="majorEastAsia" w:hAnsi="Tahoma" w:cstheme="majorBidi"/>
      <w:b/>
      <w:bCs/>
      <w:caps/>
      <w:sz w:val="19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2C2"/>
    <w:rPr>
      <w:rFonts w:ascii="Tahoma" w:eastAsiaTheme="majorEastAsia" w:hAnsi="Tahoma" w:cstheme="majorBidi"/>
      <w:b/>
      <w:bCs/>
      <w:caps/>
      <w:sz w:val="19"/>
      <w:szCs w:val="28"/>
      <w:lang w:val="en-GB"/>
    </w:rPr>
  </w:style>
  <w:style w:type="table" w:styleId="TableGrid">
    <w:name w:val="Table Grid"/>
    <w:basedOn w:val="TableNormal"/>
    <w:uiPriority w:val="59"/>
    <w:rsid w:val="0037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2C2"/>
    <w:pPr>
      <w:ind w:left="720"/>
      <w:contextualSpacing/>
    </w:pPr>
  </w:style>
  <w:style w:type="paragraph" w:customStyle="1" w:styleId="Afsnitsnummerering2">
    <w:name w:val="Afsnitsnummerering 2"/>
    <w:basedOn w:val="Normal"/>
    <w:uiPriority w:val="2"/>
    <w:qFormat/>
    <w:rsid w:val="003732C2"/>
    <w:pPr>
      <w:numPr>
        <w:ilvl w:val="1"/>
        <w:numId w:val="2"/>
      </w:numPr>
      <w:spacing w:before="160" w:after="160" w:line="240" w:lineRule="atLeast"/>
      <w:jc w:val="both"/>
    </w:pPr>
    <w:rPr>
      <w:rFonts w:ascii="Tahoma" w:hAnsi="Tahoma"/>
      <w:sz w:val="19"/>
      <w:szCs w:val="18"/>
      <w:lang w:val="en-GB"/>
    </w:rPr>
  </w:style>
  <w:style w:type="paragraph" w:customStyle="1" w:styleId="Afsnitsnummerering3">
    <w:name w:val="Afsnitsnummerering 3"/>
    <w:basedOn w:val="Normal"/>
    <w:uiPriority w:val="2"/>
    <w:qFormat/>
    <w:rsid w:val="003732C2"/>
    <w:pPr>
      <w:numPr>
        <w:ilvl w:val="2"/>
        <w:numId w:val="2"/>
      </w:numPr>
      <w:spacing w:before="160" w:after="160" w:line="240" w:lineRule="atLeast"/>
      <w:jc w:val="both"/>
    </w:pPr>
    <w:rPr>
      <w:rFonts w:ascii="Tahoma" w:hAnsi="Tahoma"/>
      <w:sz w:val="19"/>
      <w:szCs w:val="18"/>
      <w:lang w:val="en-GB"/>
    </w:rPr>
  </w:style>
  <w:style w:type="paragraph" w:customStyle="1" w:styleId="Afsnitsnummerering4">
    <w:name w:val="Afsnitsnummerering 4"/>
    <w:basedOn w:val="Normal"/>
    <w:uiPriority w:val="2"/>
    <w:qFormat/>
    <w:rsid w:val="003732C2"/>
    <w:pPr>
      <w:numPr>
        <w:ilvl w:val="3"/>
        <w:numId w:val="2"/>
      </w:numPr>
      <w:spacing w:before="160" w:after="160" w:line="240" w:lineRule="atLeast"/>
      <w:jc w:val="both"/>
    </w:pPr>
    <w:rPr>
      <w:rFonts w:ascii="Tahoma" w:hAnsi="Tahoma"/>
      <w:sz w:val="19"/>
      <w:szCs w:val="18"/>
      <w:lang w:val="en-GB"/>
    </w:rPr>
  </w:style>
  <w:style w:type="paragraph" w:customStyle="1" w:styleId="Opstillingermeda">
    <w:name w:val="Opstillinger med (a)"/>
    <w:basedOn w:val="Normal"/>
    <w:uiPriority w:val="2"/>
    <w:qFormat/>
    <w:rsid w:val="003732C2"/>
    <w:pPr>
      <w:numPr>
        <w:ilvl w:val="5"/>
        <w:numId w:val="2"/>
      </w:numPr>
      <w:tabs>
        <w:tab w:val="left" w:pos="1418"/>
      </w:tabs>
      <w:spacing w:before="80" w:after="80" w:line="240" w:lineRule="atLeast"/>
      <w:jc w:val="both"/>
    </w:pPr>
    <w:rPr>
      <w:rFonts w:ascii="Tahoma" w:hAnsi="Tahoma"/>
      <w:sz w:val="19"/>
      <w:szCs w:val="18"/>
      <w:lang w:val="en-GB"/>
    </w:rPr>
  </w:style>
  <w:style w:type="paragraph" w:customStyle="1" w:styleId="Opstillingmed1">
    <w:name w:val="Opstilling med (1)"/>
    <w:basedOn w:val="Normal"/>
    <w:uiPriority w:val="2"/>
    <w:qFormat/>
    <w:rsid w:val="003732C2"/>
    <w:pPr>
      <w:numPr>
        <w:ilvl w:val="6"/>
        <w:numId w:val="2"/>
      </w:numPr>
      <w:spacing w:before="80" w:after="80" w:line="240" w:lineRule="atLeast"/>
      <w:jc w:val="both"/>
    </w:pPr>
    <w:rPr>
      <w:rFonts w:ascii="Tahoma" w:hAnsi="Tahoma"/>
      <w:sz w:val="19"/>
      <w:szCs w:val="18"/>
      <w:lang w:val="en-GB"/>
    </w:rPr>
  </w:style>
  <w:style w:type="paragraph" w:customStyle="1" w:styleId="Opstillingmed10">
    <w:name w:val="Opstilling med 1."/>
    <w:basedOn w:val="Normal"/>
    <w:uiPriority w:val="2"/>
    <w:qFormat/>
    <w:rsid w:val="003732C2"/>
    <w:pPr>
      <w:numPr>
        <w:ilvl w:val="7"/>
        <w:numId w:val="2"/>
      </w:numPr>
      <w:spacing w:before="80" w:after="80" w:line="240" w:lineRule="atLeast"/>
      <w:jc w:val="both"/>
    </w:pPr>
    <w:rPr>
      <w:rFonts w:ascii="Tahoma" w:hAnsi="Tahoma"/>
      <w:sz w:val="19"/>
      <w:szCs w:val="18"/>
      <w:lang w:val="en-GB"/>
    </w:rPr>
  </w:style>
  <w:style w:type="paragraph" w:customStyle="1" w:styleId="Opstillingmedi">
    <w:name w:val="Opstilling med (i)"/>
    <w:basedOn w:val="Normal"/>
    <w:uiPriority w:val="2"/>
    <w:qFormat/>
    <w:rsid w:val="003732C2"/>
    <w:pPr>
      <w:numPr>
        <w:ilvl w:val="8"/>
        <w:numId w:val="2"/>
      </w:numPr>
      <w:spacing w:before="80" w:after="80" w:line="240" w:lineRule="atLeast"/>
      <w:jc w:val="both"/>
    </w:pPr>
    <w:rPr>
      <w:rFonts w:ascii="Tahoma" w:hAnsi="Tahoma"/>
      <w:sz w:val="19"/>
      <w:szCs w:val="18"/>
      <w:lang w:val="en-GB"/>
    </w:rPr>
  </w:style>
  <w:style w:type="paragraph" w:customStyle="1" w:styleId="Afsnitsnummerering5">
    <w:name w:val="Afsnitsnummerering 5"/>
    <w:basedOn w:val="Normal"/>
    <w:uiPriority w:val="2"/>
    <w:qFormat/>
    <w:rsid w:val="003732C2"/>
    <w:pPr>
      <w:numPr>
        <w:ilvl w:val="4"/>
        <w:numId w:val="2"/>
      </w:numPr>
      <w:spacing w:before="160" w:after="160" w:line="240" w:lineRule="atLeast"/>
      <w:jc w:val="both"/>
    </w:pPr>
    <w:rPr>
      <w:rFonts w:ascii="Tahoma" w:hAnsi="Tahoma"/>
      <w:sz w:val="19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00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0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0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4B25E-2535-4391-B70E-56BBC175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Refika Hayta</dc:creator>
  <cp:keywords/>
  <dc:description/>
  <cp:lastModifiedBy>Albert Lenz Bærentsen</cp:lastModifiedBy>
  <cp:revision>2</cp:revision>
  <dcterms:created xsi:type="dcterms:W3CDTF">2025-10-24T10:08:00Z</dcterms:created>
  <dcterms:modified xsi:type="dcterms:W3CDTF">2025-10-24T10:08:00Z</dcterms:modified>
</cp:coreProperties>
</file>