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0E27" w14:textId="04DE4567" w:rsidR="00F07080" w:rsidRPr="00F07080" w:rsidRDefault="004D42EB" w:rsidP="00F07080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F07080">
        <w:rPr>
          <w:rFonts w:asciiTheme="minorHAnsi" w:hAnsiTheme="minorHAnsi" w:cstheme="minorHAnsi"/>
          <w:sz w:val="22"/>
          <w:szCs w:val="22"/>
          <w:lang w:val="en-GB"/>
        </w:rPr>
        <w:t>T</w:t>
      </w:r>
      <w:r w:rsidR="00E56558" w:rsidRPr="00F07080">
        <w:rPr>
          <w:rFonts w:asciiTheme="minorHAnsi" w:hAnsiTheme="minorHAnsi" w:cstheme="minorHAnsi"/>
          <w:sz w:val="22"/>
          <w:szCs w:val="22"/>
          <w:lang w:val="en-GB"/>
        </w:rPr>
        <w:t>h</w:t>
      </w:r>
      <w:r w:rsidR="002C3E13">
        <w:rPr>
          <w:rFonts w:asciiTheme="minorHAnsi" w:hAnsiTheme="minorHAnsi" w:cstheme="minorHAnsi"/>
          <w:sz w:val="22"/>
          <w:szCs w:val="22"/>
          <w:lang w:val="en-GB"/>
        </w:rPr>
        <w:t xml:space="preserve">is </w:t>
      </w:r>
      <w:r w:rsidR="00520E02">
        <w:rPr>
          <w:rFonts w:asciiTheme="minorHAnsi" w:hAnsiTheme="minorHAnsi" w:cstheme="minorHAnsi"/>
          <w:sz w:val="22"/>
          <w:szCs w:val="22"/>
          <w:lang w:val="en-GB"/>
        </w:rPr>
        <w:t xml:space="preserve">annex </w:t>
      </w:r>
      <w:r w:rsidR="00E56558" w:rsidRPr="00F07080">
        <w:rPr>
          <w:rFonts w:asciiTheme="minorHAnsi" w:hAnsiTheme="minorHAnsi" w:cstheme="minorHAnsi"/>
          <w:sz w:val="22"/>
          <w:szCs w:val="22"/>
          <w:lang w:val="en-GB"/>
        </w:rPr>
        <w:t>provide</w:t>
      </w:r>
      <w:r w:rsidR="005D0383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E56558" w:rsidRPr="00F07080">
        <w:rPr>
          <w:rFonts w:asciiTheme="minorHAnsi" w:hAnsiTheme="minorHAnsi" w:cstheme="minorHAnsi"/>
          <w:sz w:val="22"/>
          <w:szCs w:val="22"/>
          <w:lang w:val="en-GB"/>
        </w:rPr>
        <w:t xml:space="preserve"> an overview of</w:t>
      </w:r>
      <w:r w:rsidR="00650B79" w:rsidRPr="00F07080">
        <w:rPr>
          <w:rFonts w:asciiTheme="minorHAnsi" w:hAnsiTheme="minorHAnsi" w:cstheme="minorHAnsi"/>
          <w:sz w:val="22"/>
          <w:szCs w:val="22"/>
          <w:lang w:val="en-GB"/>
        </w:rPr>
        <w:t xml:space="preserve"> the</w:t>
      </w:r>
      <w:r w:rsidR="00E56558" w:rsidRPr="00F0708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F7B0F">
        <w:rPr>
          <w:rFonts w:asciiTheme="minorHAnsi" w:hAnsiTheme="minorHAnsi" w:cstheme="minorHAnsi"/>
          <w:sz w:val="22"/>
          <w:szCs w:val="22"/>
          <w:lang w:val="en-GB"/>
        </w:rPr>
        <w:t xml:space="preserve">MFA </w:t>
      </w:r>
      <w:r w:rsidR="00BE0E8C">
        <w:rPr>
          <w:rFonts w:asciiTheme="minorHAnsi" w:hAnsiTheme="minorHAnsi" w:cstheme="minorHAnsi"/>
          <w:sz w:val="22"/>
          <w:szCs w:val="22"/>
          <w:lang w:val="en-GB"/>
        </w:rPr>
        <w:t xml:space="preserve">units’ </w:t>
      </w:r>
      <w:r w:rsidR="00520E02">
        <w:rPr>
          <w:rFonts w:asciiTheme="minorHAnsi" w:hAnsiTheme="minorHAnsi" w:cstheme="minorHAnsi"/>
          <w:sz w:val="22"/>
          <w:szCs w:val="22"/>
          <w:lang w:val="en-GB"/>
        </w:rPr>
        <w:t xml:space="preserve">preliminary </w:t>
      </w:r>
      <w:r w:rsidR="00E56558" w:rsidRPr="00F07080">
        <w:rPr>
          <w:rFonts w:asciiTheme="minorHAnsi" w:hAnsiTheme="minorHAnsi" w:cstheme="minorHAnsi"/>
          <w:sz w:val="22"/>
          <w:szCs w:val="22"/>
          <w:lang w:val="en-GB"/>
        </w:rPr>
        <w:t xml:space="preserve">risk assessment </w:t>
      </w:r>
      <w:r w:rsidR="00FF7B0F">
        <w:rPr>
          <w:rFonts w:asciiTheme="minorHAnsi" w:hAnsiTheme="minorHAnsi" w:cstheme="minorHAnsi"/>
          <w:sz w:val="22"/>
          <w:szCs w:val="22"/>
          <w:lang w:val="en-GB"/>
        </w:rPr>
        <w:t>of</w:t>
      </w:r>
      <w:r w:rsidR="00FF7B0F" w:rsidRPr="00F0708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56558" w:rsidRPr="00F07080">
        <w:rPr>
          <w:rFonts w:asciiTheme="minorHAnsi" w:hAnsiTheme="minorHAnsi" w:cstheme="minorHAnsi"/>
          <w:sz w:val="22"/>
          <w:szCs w:val="22"/>
          <w:lang w:val="en-GB"/>
        </w:rPr>
        <w:t>[</w:t>
      </w:r>
      <w:r w:rsidRPr="00AB0543">
        <w:rPr>
          <w:rFonts w:asciiTheme="minorHAnsi" w:hAnsiTheme="minorHAnsi" w:cstheme="minorHAnsi"/>
          <w:sz w:val="22"/>
          <w:szCs w:val="22"/>
          <w:lang w:val="en-GB"/>
        </w:rPr>
        <w:t>programme/</w:t>
      </w:r>
      <w:r w:rsidR="00E56558" w:rsidRPr="00AB0543">
        <w:rPr>
          <w:rFonts w:asciiTheme="minorHAnsi" w:hAnsiTheme="minorHAnsi" w:cstheme="minorHAnsi"/>
          <w:sz w:val="22"/>
          <w:szCs w:val="22"/>
          <w:lang w:val="en-GB"/>
        </w:rPr>
        <w:t>project title]</w:t>
      </w:r>
      <w:r w:rsidR="00E56558" w:rsidRPr="00F07080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F07080">
        <w:rPr>
          <w:rFonts w:asciiTheme="minorHAnsi" w:hAnsiTheme="minorHAnsi" w:cstheme="minorHAnsi"/>
          <w:sz w:val="22"/>
          <w:szCs w:val="22"/>
          <w:lang w:val="en-GB"/>
        </w:rPr>
        <w:t>with</w:t>
      </w:r>
      <w:r w:rsidR="00E56558" w:rsidRPr="00F07080">
        <w:rPr>
          <w:rFonts w:asciiTheme="minorHAnsi" w:hAnsiTheme="minorHAnsi" w:cstheme="minorHAnsi"/>
          <w:sz w:val="22"/>
          <w:szCs w:val="22"/>
          <w:lang w:val="en-GB"/>
        </w:rPr>
        <w:t xml:space="preserve"> a total budget of </w:t>
      </w:r>
      <w:r w:rsidR="00FF7B0F">
        <w:rPr>
          <w:rFonts w:asciiTheme="minorHAnsi" w:hAnsiTheme="minorHAnsi" w:cstheme="minorHAnsi"/>
          <w:sz w:val="22"/>
          <w:szCs w:val="22"/>
          <w:lang w:val="en-GB"/>
        </w:rPr>
        <w:t xml:space="preserve">DKK </w:t>
      </w:r>
      <w:r w:rsidR="00E56558" w:rsidRPr="00F07080">
        <w:rPr>
          <w:rFonts w:asciiTheme="minorHAnsi" w:hAnsiTheme="minorHAnsi" w:cstheme="minorHAnsi"/>
          <w:sz w:val="22"/>
          <w:szCs w:val="22"/>
          <w:lang w:val="en-GB"/>
        </w:rPr>
        <w:t>[</w:t>
      </w:r>
      <w:r w:rsidR="00E56558" w:rsidRPr="00AB0543">
        <w:rPr>
          <w:rFonts w:asciiTheme="minorHAnsi" w:hAnsiTheme="minorHAnsi" w:cstheme="minorHAnsi"/>
          <w:sz w:val="22"/>
          <w:szCs w:val="22"/>
          <w:lang w:val="en-GB"/>
        </w:rPr>
        <w:t>insert amount</w:t>
      </w:r>
      <w:r w:rsidR="00E56558" w:rsidRPr="00F07080">
        <w:rPr>
          <w:rFonts w:asciiTheme="minorHAnsi" w:hAnsiTheme="minorHAnsi" w:cstheme="minorHAnsi"/>
          <w:sz w:val="22"/>
          <w:szCs w:val="22"/>
          <w:lang w:val="en-GB"/>
        </w:rPr>
        <w:t>]</w:t>
      </w:r>
      <w:r w:rsidRPr="00F07080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F0708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07080" w:rsidRPr="00F07080">
        <w:rPr>
          <w:rFonts w:asciiTheme="minorHAnsi" w:hAnsiTheme="minorHAnsi" w:cstheme="minorHAnsi"/>
          <w:sz w:val="22"/>
          <w:szCs w:val="22"/>
          <w:lang w:val="en-GB"/>
        </w:rPr>
        <w:t xml:space="preserve">The risk categories </w:t>
      </w:r>
      <w:r w:rsidR="00520E02">
        <w:rPr>
          <w:rFonts w:asciiTheme="minorHAnsi" w:hAnsiTheme="minorHAnsi" w:cstheme="minorHAnsi"/>
          <w:sz w:val="22"/>
          <w:szCs w:val="22"/>
          <w:lang w:val="en-GB"/>
        </w:rPr>
        <w:t xml:space="preserve">used </w:t>
      </w:r>
      <w:r w:rsidR="00F07080" w:rsidRPr="00F07080">
        <w:rPr>
          <w:rFonts w:asciiTheme="minorHAnsi" w:hAnsiTheme="minorHAnsi" w:cstheme="minorHAnsi"/>
          <w:sz w:val="22"/>
          <w:szCs w:val="22"/>
          <w:lang w:val="en-GB"/>
        </w:rPr>
        <w:t>follow the traffic light system: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50"/>
        <w:gridCol w:w="7365"/>
      </w:tblGrid>
      <w:tr w:rsidR="007A71DC" w:rsidRPr="00F07080" w14:paraId="4343A791" w14:textId="77777777" w:rsidTr="007A71DC"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E11C" w14:textId="77777777" w:rsidR="00F07080" w:rsidRPr="00F07080" w:rsidRDefault="00F07080" w:rsidP="0086084C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07080">
              <w:rPr>
                <w:rFonts w:asciiTheme="minorHAnsi" w:hAnsiTheme="minorHAnsi" w:cstheme="minorHAnsi"/>
                <w:b/>
                <w:bCs/>
                <w:lang w:val="en-GB"/>
              </w:rPr>
              <w:t>Risk category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B12" w14:textId="77777777" w:rsidR="00F07080" w:rsidRPr="00F07080" w:rsidRDefault="00F07080" w:rsidP="0086084C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07080">
              <w:rPr>
                <w:rFonts w:asciiTheme="minorHAnsi" w:hAnsiTheme="minorHAnsi" w:cstheme="minorHAnsi"/>
                <w:b/>
                <w:bCs/>
                <w:lang w:val="en-GB"/>
              </w:rPr>
              <w:t>Colour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3A1D2" w14:textId="77777777" w:rsidR="00F07080" w:rsidRPr="00F07080" w:rsidRDefault="00F07080" w:rsidP="0086084C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07080">
              <w:rPr>
                <w:rFonts w:asciiTheme="minorHAnsi" w:hAnsiTheme="minorHAnsi" w:cstheme="minorHAnsi"/>
                <w:b/>
                <w:bCs/>
                <w:lang w:val="en-GB"/>
              </w:rPr>
              <w:t>Definition</w:t>
            </w:r>
          </w:p>
        </w:tc>
      </w:tr>
      <w:tr w:rsidR="007A71DC" w:rsidRPr="00533D4D" w14:paraId="725B7951" w14:textId="77777777" w:rsidTr="007A71DC"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</w:tcPr>
          <w:p w14:paraId="15803AF3" w14:textId="77777777" w:rsidR="00F07080" w:rsidRPr="00F07080" w:rsidRDefault="00F07080" w:rsidP="0086084C">
            <w:pPr>
              <w:rPr>
                <w:rFonts w:asciiTheme="minorHAnsi" w:hAnsiTheme="minorHAnsi" w:cstheme="minorHAnsi"/>
                <w:lang w:val="en-GB"/>
              </w:rPr>
            </w:pPr>
            <w:r w:rsidRPr="00F07080">
              <w:rPr>
                <w:rFonts w:asciiTheme="minorHAnsi" w:hAnsiTheme="minorHAnsi" w:cstheme="minorHAnsi"/>
                <w:lang w:val="en-GB"/>
              </w:rPr>
              <w:t>Low risk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73623B84" w14:textId="77777777" w:rsidR="00F07080" w:rsidRPr="00F07080" w:rsidRDefault="00F07080" w:rsidP="0086084C">
            <w:pPr>
              <w:rPr>
                <w:rFonts w:asciiTheme="minorHAnsi" w:hAnsiTheme="minorHAnsi" w:cstheme="minorHAnsi"/>
                <w:lang w:val="en-GB"/>
              </w:rPr>
            </w:pPr>
            <w:r w:rsidRPr="00F07080">
              <w:rPr>
                <w:rFonts w:asciiTheme="minorHAnsi" w:hAnsiTheme="minorHAnsi" w:cstheme="minorHAnsi"/>
                <w:lang w:val="en-GB"/>
              </w:rPr>
              <w:t>Green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</w:tcBorders>
          </w:tcPr>
          <w:p w14:paraId="1A921C7C" w14:textId="77777777" w:rsidR="00F07080" w:rsidRPr="00F07080" w:rsidRDefault="00F07080" w:rsidP="0086084C">
            <w:pPr>
              <w:rPr>
                <w:rFonts w:asciiTheme="minorHAnsi" w:hAnsiTheme="minorHAnsi" w:cstheme="minorHAnsi"/>
                <w:lang w:val="en-GB"/>
              </w:rPr>
            </w:pPr>
            <w:r w:rsidRPr="00F07080">
              <w:rPr>
                <w:rFonts w:asciiTheme="minorHAnsi" w:hAnsiTheme="minorHAnsi" w:cstheme="minorHAnsi"/>
                <w:lang w:val="en-GB"/>
              </w:rPr>
              <w:t>There are no or minimum risks</w:t>
            </w:r>
          </w:p>
        </w:tc>
      </w:tr>
      <w:tr w:rsidR="007A71DC" w:rsidRPr="00533D4D" w14:paraId="3163057F" w14:textId="77777777" w:rsidTr="007A71DC">
        <w:tc>
          <w:tcPr>
            <w:tcW w:w="1413" w:type="dxa"/>
            <w:tcBorders>
              <w:right w:val="single" w:sz="4" w:space="0" w:color="auto"/>
            </w:tcBorders>
          </w:tcPr>
          <w:p w14:paraId="3A4A0213" w14:textId="77777777" w:rsidR="00F07080" w:rsidRPr="00F07080" w:rsidRDefault="00F07080" w:rsidP="0086084C">
            <w:pPr>
              <w:rPr>
                <w:rFonts w:asciiTheme="minorHAnsi" w:hAnsiTheme="minorHAnsi" w:cstheme="minorHAnsi"/>
                <w:lang w:val="en-GB"/>
              </w:rPr>
            </w:pPr>
            <w:r w:rsidRPr="00F07080">
              <w:rPr>
                <w:rFonts w:asciiTheme="minorHAnsi" w:hAnsiTheme="minorHAnsi" w:cstheme="minorHAnsi"/>
                <w:lang w:val="en-GB"/>
              </w:rPr>
              <w:t>Medium risk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43E713D" w14:textId="77777777" w:rsidR="00F07080" w:rsidRPr="00F07080" w:rsidRDefault="00F07080" w:rsidP="0086084C">
            <w:pPr>
              <w:rPr>
                <w:rFonts w:asciiTheme="minorHAnsi" w:hAnsiTheme="minorHAnsi" w:cstheme="minorHAnsi"/>
                <w:lang w:val="en-GB"/>
              </w:rPr>
            </w:pPr>
            <w:r w:rsidRPr="00F07080">
              <w:rPr>
                <w:rFonts w:asciiTheme="minorHAnsi" w:hAnsiTheme="minorHAnsi" w:cstheme="minorHAnsi"/>
                <w:lang w:val="en-GB"/>
              </w:rPr>
              <w:t>Yellow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14:paraId="2A8AFEF0" w14:textId="6E8F286C" w:rsidR="00F07080" w:rsidRPr="00F07080" w:rsidRDefault="00F07080" w:rsidP="0086084C">
            <w:pPr>
              <w:rPr>
                <w:rFonts w:asciiTheme="minorHAnsi" w:hAnsiTheme="minorHAnsi" w:cstheme="minorHAnsi"/>
                <w:lang w:val="en-GB"/>
              </w:rPr>
            </w:pPr>
            <w:r w:rsidRPr="00F07080">
              <w:rPr>
                <w:rFonts w:asciiTheme="minorHAnsi" w:hAnsiTheme="minorHAnsi" w:cstheme="minorHAnsi"/>
                <w:lang w:val="en-GB"/>
              </w:rPr>
              <w:t>Risks exits but</w:t>
            </w:r>
            <w:r w:rsidR="00BE0E8C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F07080">
              <w:rPr>
                <w:rFonts w:asciiTheme="minorHAnsi" w:hAnsiTheme="minorHAnsi" w:cstheme="minorHAnsi"/>
                <w:lang w:val="en-GB"/>
              </w:rPr>
              <w:t xml:space="preserve">can be mitigated </w:t>
            </w:r>
            <w:r w:rsidR="002C3E13">
              <w:rPr>
                <w:rFonts w:asciiTheme="minorHAnsi" w:hAnsiTheme="minorHAnsi" w:cstheme="minorHAnsi"/>
                <w:lang w:val="en-GB"/>
              </w:rPr>
              <w:t>to a manageable level</w:t>
            </w:r>
          </w:p>
        </w:tc>
      </w:tr>
      <w:tr w:rsidR="007A71DC" w:rsidRPr="00533D4D" w14:paraId="4DD91011" w14:textId="77777777" w:rsidTr="007A71DC"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</w:tcPr>
          <w:p w14:paraId="3ED6977A" w14:textId="77777777" w:rsidR="00F07080" w:rsidRPr="00F07080" w:rsidRDefault="00F07080" w:rsidP="0086084C">
            <w:pPr>
              <w:rPr>
                <w:rFonts w:asciiTheme="minorHAnsi" w:hAnsiTheme="minorHAnsi" w:cstheme="minorHAnsi"/>
                <w:lang w:val="en-GB"/>
              </w:rPr>
            </w:pPr>
            <w:r w:rsidRPr="00F07080">
              <w:rPr>
                <w:rFonts w:asciiTheme="minorHAnsi" w:hAnsiTheme="minorHAnsi" w:cstheme="minorHAnsi"/>
                <w:lang w:val="en-GB"/>
              </w:rPr>
              <w:t>High risk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97E01F4" w14:textId="77777777" w:rsidR="00F07080" w:rsidRPr="00F07080" w:rsidRDefault="00F07080" w:rsidP="0086084C">
            <w:pPr>
              <w:rPr>
                <w:rFonts w:asciiTheme="minorHAnsi" w:hAnsiTheme="minorHAnsi" w:cstheme="minorHAnsi"/>
                <w:lang w:val="en-GB"/>
              </w:rPr>
            </w:pPr>
            <w:r w:rsidRPr="00F07080">
              <w:rPr>
                <w:rFonts w:asciiTheme="minorHAnsi" w:hAnsiTheme="minorHAnsi" w:cstheme="minorHAnsi"/>
                <w:lang w:val="en-GB"/>
              </w:rPr>
              <w:t>Red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14:paraId="021DD74B" w14:textId="12182C26" w:rsidR="00F07080" w:rsidRPr="00F07080" w:rsidRDefault="00F07080" w:rsidP="0086084C">
            <w:pPr>
              <w:rPr>
                <w:rFonts w:asciiTheme="minorHAnsi" w:hAnsiTheme="minorHAnsi" w:cstheme="minorHAnsi"/>
                <w:lang w:val="en-GB"/>
              </w:rPr>
            </w:pPr>
            <w:r w:rsidRPr="00F07080">
              <w:rPr>
                <w:rFonts w:asciiTheme="minorHAnsi" w:hAnsiTheme="minorHAnsi" w:cstheme="minorHAnsi"/>
                <w:lang w:val="en-GB"/>
              </w:rPr>
              <w:t>Despite mitigating measures high risks</w:t>
            </w:r>
            <w:r w:rsidR="00BE0E8C">
              <w:rPr>
                <w:rFonts w:asciiTheme="minorHAnsi" w:hAnsiTheme="minorHAnsi" w:cstheme="minorHAnsi"/>
                <w:lang w:val="en-GB"/>
              </w:rPr>
              <w:t xml:space="preserve"> persist</w:t>
            </w:r>
          </w:p>
        </w:tc>
      </w:tr>
    </w:tbl>
    <w:p w14:paraId="230E3A19" w14:textId="49842100" w:rsidR="00650B79" w:rsidRPr="00E46A74" w:rsidRDefault="007A71DC" w:rsidP="00602DA3">
      <w:pPr>
        <w:spacing w:before="240"/>
        <w:rPr>
          <w:rFonts w:asciiTheme="minorHAnsi" w:hAnsiTheme="minorHAnsi" w:cstheme="minorHAnsi"/>
          <w:sz w:val="22"/>
          <w:szCs w:val="22"/>
          <w:lang w:val="en-GB"/>
        </w:rPr>
      </w:pPr>
      <w:r w:rsidRPr="00F07080">
        <w:rPr>
          <w:rFonts w:asciiTheme="minorHAnsi" w:hAnsiTheme="minorHAnsi" w:cstheme="minorHAnsi"/>
          <w:sz w:val="22"/>
          <w:szCs w:val="22"/>
          <w:lang w:val="en-GB"/>
        </w:rPr>
        <w:t>Th</w:t>
      </w:r>
      <w:r w:rsidR="00DD3B65">
        <w:rPr>
          <w:rFonts w:asciiTheme="minorHAnsi" w:hAnsiTheme="minorHAnsi" w:cstheme="minorHAnsi"/>
          <w:sz w:val="22"/>
          <w:szCs w:val="22"/>
          <w:lang w:val="en-GB"/>
        </w:rPr>
        <w:t>e</w:t>
      </w:r>
      <w:r w:rsidR="00FF7B0F">
        <w:rPr>
          <w:rFonts w:asciiTheme="minorHAnsi" w:hAnsiTheme="minorHAnsi" w:cstheme="minorHAnsi"/>
          <w:sz w:val="22"/>
          <w:szCs w:val="22"/>
          <w:lang w:val="en-GB"/>
        </w:rPr>
        <w:t xml:space="preserve"> annex </w:t>
      </w:r>
      <w:r w:rsidR="00520E02">
        <w:rPr>
          <w:rFonts w:asciiTheme="minorHAnsi" w:hAnsiTheme="minorHAnsi" w:cstheme="minorHAnsi"/>
          <w:sz w:val="22"/>
          <w:szCs w:val="22"/>
          <w:lang w:val="en-GB"/>
        </w:rPr>
        <w:t>must be</w:t>
      </w:r>
      <w:r w:rsidRPr="00F07080">
        <w:rPr>
          <w:rFonts w:asciiTheme="minorHAnsi" w:hAnsiTheme="minorHAnsi" w:cstheme="minorHAnsi"/>
          <w:sz w:val="22"/>
          <w:szCs w:val="22"/>
          <w:lang w:val="en-GB"/>
        </w:rPr>
        <w:t xml:space="preserve"> filled out </w:t>
      </w:r>
      <w:r w:rsidR="00602DA3">
        <w:rPr>
          <w:rFonts w:asciiTheme="minorHAnsi" w:hAnsiTheme="minorHAnsi" w:cstheme="minorHAnsi"/>
          <w:sz w:val="22"/>
          <w:szCs w:val="22"/>
          <w:lang w:val="en-GB"/>
        </w:rPr>
        <w:t>with the</w:t>
      </w:r>
      <w:r w:rsidR="00FF7B0F">
        <w:rPr>
          <w:rFonts w:asciiTheme="minorHAnsi" w:hAnsiTheme="minorHAnsi" w:cstheme="minorHAnsi"/>
          <w:sz w:val="22"/>
          <w:szCs w:val="22"/>
          <w:lang w:val="en-GB"/>
        </w:rPr>
        <w:t xml:space="preserve"> identification</w:t>
      </w:r>
      <w:r w:rsidR="00E52D37">
        <w:rPr>
          <w:rFonts w:asciiTheme="minorHAnsi" w:hAnsiTheme="minorHAnsi" w:cstheme="minorHAnsi"/>
          <w:sz w:val="22"/>
          <w:szCs w:val="22"/>
          <w:lang w:val="en-GB"/>
        </w:rPr>
        <w:t xml:space="preserve"> note.</w:t>
      </w:r>
      <w:r w:rsidR="002C3E1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D3B65" w:rsidRPr="00E46A74">
        <w:rPr>
          <w:rFonts w:asciiTheme="minorHAnsi" w:hAnsiTheme="minorHAnsi" w:cstheme="minorHAnsi"/>
          <w:sz w:val="22"/>
          <w:szCs w:val="22"/>
          <w:lang w:val="en-GB"/>
        </w:rPr>
        <w:t xml:space="preserve">The unit must </w:t>
      </w:r>
      <w:r w:rsidR="00766101">
        <w:rPr>
          <w:rFonts w:asciiTheme="minorHAnsi" w:hAnsiTheme="minorHAnsi" w:cstheme="minorHAnsi"/>
          <w:sz w:val="22"/>
          <w:szCs w:val="22"/>
          <w:lang w:val="en-GB"/>
        </w:rPr>
        <w:t>1</w:t>
      </w:r>
      <w:r w:rsidR="002C3E13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="00602DA3">
        <w:rPr>
          <w:rFonts w:asciiTheme="minorHAnsi" w:hAnsiTheme="minorHAnsi" w:cstheme="minorHAnsi"/>
          <w:sz w:val="22"/>
          <w:szCs w:val="22"/>
          <w:lang w:val="en-GB"/>
        </w:rPr>
        <w:t>rate</w:t>
      </w:r>
      <w:r w:rsidR="00DD3B65" w:rsidRPr="00E46A7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02DA3">
        <w:rPr>
          <w:rFonts w:asciiTheme="minorHAnsi" w:hAnsiTheme="minorHAnsi" w:cstheme="minorHAnsi"/>
          <w:sz w:val="22"/>
          <w:szCs w:val="22"/>
          <w:lang w:val="en-GB"/>
        </w:rPr>
        <w:t xml:space="preserve">each of the </w:t>
      </w:r>
      <w:r w:rsidR="00DD3B65" w:rsidRPr="00E46A74">
        <w:rPr>
          <w:rFonts w:asciiTheme="minorHAnsi" w:hAnsiTheme="minorHAnsi" w:cstheme="minorHAnsi"/>
          <w:sz w:val="22"/>
          <w:szCs w:val="22"/>
          <w:lang w:val="en-GB"/>
        </w:rPr>
        <w:t>four types of risks based on the criteria noted in grey</w:t>
      </w:r>
      <w:r w:rsidR="002C3E13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766101">
        <w:rPr>
          <w:rFonts w:asciiTheme="minorHAnsi" w:hAnsiTheme="minorHAnsi" w:cstheme="minorHAnsi"/>
          <w:sz w:val="22"/>
          <w:szCs w:val="22"/>
          <w:lang w:val="en-GB"/>
        </w:rPr>
        <w:t>2</w:t>
      </w:r>
      <w:r w:rsidR="002C3E13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="00602DA3">
        <w:rPr>
          <w:rFonts w:asciiTheme="minorHAnsi" w:hAnsiTheme="minorHAnsi" w:cstheme="minorHAnsi"/>
          <w:sz w:val="22"/>
          <w:szCs w:val="22"/>
          <w:lang w:val="en-GB"/>
        </w:rPr>
        <w:t>explain in bullet point format key reason</w:t>
      </w:r>
      <w:r w:rsidR="002C3E13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602DA3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2C3E13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602DA3">
        <w:rPr>
          <w:rFonts w:asciiTheme="minorHAnsi" w:hAnsiTheme="minorHAnsi" w:cstheme="minorHAnsi"/>
          <w:sz w:val="22"/>
          <w:szCs w:val="22"/>
          <w:lang w:val="en-GB"/>
        </w:rPr>
        <w:t xml:space="preserve"> for its assessment, and</w:t>
      </w:r>
      <w:r w:rsidR="002C3E13">
        <w:rPr>
          <w:rFonts w:asciiTheme="minorHAnsi" w:hAnsiTheme="minorHAnsi" w:cstheme="minorHAnsi"/>
          <w:sz w:val="22"/>
          <w:szCs w:val="22"/>
          <w:lang w:val="en-GB"/>
        </w:rPr>
        <w:t xml:space="preserve"> mitigation measures foreseen, </w:t>
      </w:r>
      <w:r w:rsidR="00766101">
        <w:rPr>
          <w:rFonts w:asciiTheme="minorHAnsi" w:hAnsiTheme="minorHAnsi" w:cstheme="minorHAnsi"/>
          <w:sz w:val="22"/>
          <w:szCs w:val="22"/>
          <w:lang w:val="en-GB"/>
        </w:rPr>
        <w:t>3</w:t>
      </w:r>
      <w:r w:rsidR="002C3E13">
        <w:rPr>
          <w:rFonts w:asciiTheme="minorHAnsi" w:hAnsiTheme="minorHAnsi" w:cstheme="minorHAnsi"/>
          <w:sz w:val="22"/>
          <w:szCs w:val="22"/>
          <w:lang w:val="en-GB"/>
        </w:rPr>
        <w:t xml:space="preserve">) based on the assessment of these four types of risks, the unit </w:t>
      </w:r>
      <w:r w:rsidR="00E94003">
        <w:rPr>
          <w:rFonts w:asciiTheme="minorHAnsi" w:hAnsiTheme="minorHAnsi" w:cstheme="minorHAnsi"/>
          <w:sz w:val="22"/>
          <w:szCs w:val="22"/>
          <w:lang w:val="en-GB"/>
        </w:rPr>
        <w:t xml:space="preserve">should </w:t>
      </w:r>
      <w:r w:rsidR="002C3E13">
        <w:rPr>
          <w:rFonts w:asciiTheme="minorHAnsi" w:hAnsiTheme="minorHAnsi" w:cstheme="minorHAnsi"/>
          <w:sz w:val="22"/>
          <w:szCs w:val="22"/>
          <w:lang w:val="en-GB"/>
        </w:rPr>
        <w:t>provide its overall assessment of risk in the grey box</w:t>
      </w:r>
      <w:r w:rsidR="00602DA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C3E13">
        <w:rPr>
          <w:rFonts w:asciiTheme="minorHAnsi" w:hAnsiTheme="minorHAnsi" w:cstheme="minorHAnsi"/>
          <w:sz w:val="22"/>
          <w:szCs w:val="22"/>
          <w:lang w:val="en-GB"/>
        </w:rPr>
        <w:t>at the end of the annex, and justif</w:t>
      </w:r>
      <w:r w:rsidR="00E94003">
        <w:rPr>
          <w:rFonts w:asciiTheme="minorHAnsi" w:hAnsiTheme="minorHAnsi" w:cstheme="minorHAnsi"/>
          <w:sz w:val="22"/>
          <w:szCs w:val="22"/>
          <w:lang w:val="en-GB"/>
        </w:rPr>
        <w:t>y</w:t>
      </w:r>
      <w:r w:rsidR="002C3E13">
        <w:rPr>
          <w:rFonts w:asciiTheme="minorHAnsi" w:hAnsiTheme="minorHAnsi" w:cstheme="minorHAnsi"/>
          <w:sz w:val="22"/>
          <w:szCs w:val="22"/>
          <w:lang w:val="en-GB"/>
        </w:rPr>
        <w:t xml:space="preserve"> its overall assessment</w:t>
      </w:r>
      <w:r w:rsidR="00E52D3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C3E13">
        <w:rPr>
          <w:rFonts w:asciiTheme="minorHAnsi" w:hAnsiTheme="minorHAnsi" w:cstheme="minorHAnsi"/>
          <w:sz w:val="22"/>
          <w:szCs w:val="22"/>
          <w:lang w:val="en-GB"/>
        </w:rPr>
        <w:t>o</w:t>
      </w:r>
      <w:r w:rsidR="00E94003">
        <w:rPr>
          <w:rFonts w:asciiTheme="minorHAnsi" w:hAnsiTheme="minorHAnsi" w:cstheme="minorHAnsi"/>
          <w:sz w:val="22"/>
          <w:szCs w:val="22"/>
          <w:lang w:val="en-GB"/>
        </w:rPr>
        <w:t>f</w:t>
      </w:r>
      <w:r w:rsidR="002C3E13">
        <w:rPr>
          <w:rFonts w:asciiTheme="minorHAnsi" w:hAnsiTheme="minorHAnsi" w:cstheme="minorHAnsi"/>
          <w:sz w:val="22"/>
          <w:szCs w:val="22"/>
          <w:lang w:val="en-GB"/>
        </w:rPr>
        <w:t xml:space="preserve"> the preliminary risk category. </w:t>
      </w:r>
      <w:r w:rsidR="00FF7B0F" w:rsidRPr="00E46A74">
        <w:rPr>
          <w:rFonts w:asciiTheme="minorHAnsi" w:hAnsiTheme="minorHAnsi" w:cstheme="minorHAnsi"/>
          <w:sz w:val="22"/>
          <w:szCs w:val="22"/>
          <w:lang w:val="en-GB"/>
        </w:rPr>
        <w:t>The final decision on the risk category will be</w:t>
      </w:r>
      <w:r w:rsidR="00E52D37">
        <w:rPr>
          <w:rFonts w:asciiTheme="minorHAnsi" w:hAnsiTheme="minorHAnsi" w:cstheme="minorHAnsi"/>
          <w:sz w:val="22"/>
          <w:szCs w:val="22"/>
          <w:lang w:val="en-GB"/>
        </w:rPr>
        <w:t xml:space="preserve"> discussed and</w:t>
      </w:r>
      <w:r w:rsidR="00FF7B0F" w:rsidRPr="00E46A74">
        <w:rPr>
          <w:rFonts w:asciiTheme="minorHAnsi" w:hAnsiTheme="minorHAnsi" w:cstheme="minorHAnsi"/>
          <w:sz w:val="22"/>
          <w:szCs w:val="22"/>
          <w:lang w:val="en-GB"/>
        </w:rPr>
        <w:t xml:space="preserve"> documented in the kick-off meeting’s </w:t>
      </w:r>
      <w:r w:rsidRPr="00E46A74">
        <w:rPr>
          <w:rFonts w:asciiTheme="minorHAnsi" w:hAnsiTheme="minorHAnsi" w:cstheme="minorHAnsi"/>
          <w:sz w:val="22"/>
          <w:szCs w:val="22"/>
          <w:lang w:val="en-GB"/>
        </w:rPr>
        <w:t>minutes of meetings</w:t>
      </w:r>
      <w:r w:rsidR="00FF7B0F" w:rsidRPr="00E46A74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06"/>
        <w:gridCol w:w="4203"/>
        <w:gridCol w:w="937"/>
        <w:gridCol w:w="4082"/>
      </w:tblGrid>
      <w:tr w:rsidR="00831CE5" w:rsidRPr="00533D4D" w14:paraId="63B14F1D" w14:textId="77777777" w:rsidTr="00B50EC6">
        <w:trPr>
          <w:trHeight w:val="313"/>
        </w:trPr>
        <w:tc>
          <w:tcPr>
            <w:tcW w:w="4609" w:type="dxa"/>
            <w:gridSpan w:val="2"/>
          </w:tcPr>
          <w:p w14:paraId="21B25428" w14:textId="1ECE738F" w:rsidR="00831CE5" w:rsidRPr="00F07080" w:rsidRDefault="00831CE5" w:rsidP="00BB115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7" w:type="dxa"/>
            <w:vAlign w:val="center"/>
          </w:tcPr>
          <w:p w14:paraId="51533808" w14:textId="1A24D265" w:rsidR="00831CE5" w:rsidRPr="00F07080" w:rsidRDefault="00831CE5" w:rsidP="00BB115E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07080">
              <w:rPr>
                <w:rFonts w:asciiTheme="minorHAnsi" w:hAnsiTheme="minorHAnsi" w:cstheme="minorHAnsi"/>
                <w:b/>
                <w:bCs/>
                <w:lang w:val="en-GB"/>
              </w:rPr>
              <w:t>Risk category</w:t>
            </w:r>
          </w:p>
        </w:tc>
        <w:tc>
          <w:tcPr>
            <w:tcW w:w="4082" w:type="dxa"/>
            <w:vAlign w:val="center"/>
          </w:tcPr>
          <w:p w14:paraId="15F4997F" w14:textId="61E451A8" w:rsidR="00831CE5" w:rsidRPr="00F07080" w:rsidRDefault="00831CE5" w:rsidP="00BB115E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0708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Justification 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for choice of overall category, incl. key mitigating factors.</w:t>
            </w:r>
          </w:p>
        </w:tc>
      </w:tr>
      <w:tr w:rsidR="008220EE" w:rsidRPr="00B50EC6" w14:paraId="1805B73F" w14:textId="77777777" w:rsidTr="00B50EC6">
        <w:trPr>
          <w:trHeight w:val="304"/>
        </w:trPr>
        <w:tc>
          <w:tcPr>
            <w:tcW w:w="406" w:type="dxa"/>
            <w:vAlign w:val="center"/>
          </w:tcPr>
          <w:p w14:paraId="5A5FBA85" w14:textId="2E998DCF" w:rsidR="008220EE" w:rsidRPr="0023082E" w:rsidRDefault="008220EE" w:rsidP="008220EE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07080">
              <w:rPr>
                <w:rFonts w:asciiTheme="minorHAnsi" w:hAnsiTheme="minorHAnsi" w:cstheme="minorHAnsi"/>
                <w:b/>
                <w:bCs/>
                <w:lang w:val="en-GB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 </w:t>
            </w:r>
          </w:p>
        </w:tc>
        <w:tc>
          <w:tcPr>
            <w:tcW w:w="4203" w:type="dxa"/>
            <w:vAlign w:val="center"/>
          </w:tcPr>
          <w:p w14:paraId="73386864" w14:textId="53E205C1" w:rsidR="008220EE" w:rsidRPr="008220EE" w:rsidRDefault="008220EE" w:rsidP="008220EE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</w:pPr>
            <w:r w:rsidRPr="008220EE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Overall reputational/political risks</w:t>
            </w:r>
          </w:p>
        </w:tc>
        <w:tc>
          <w:tcPr>
            <w:tcW w:w="937" w:type="dxa"/>
            <w:vMerge w:val="restart"/>
            <w:vAlign w:val="center"/>
          </w:tcPr>
          <w:p w14:paraId="5609B6E4" w14:textId="0EBA1B3D" w:rsidR="008220EE" w:rsidRPr="00F07080" w:rsidRDefault="008220EE" w:rsidP="008220E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07080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4082" w:type="dxa"/>
            <w:vMerge w:val="restart"/>
          </w:tcPr>
          <w:p w14:paraId="03461EAF" w14:textId="77777777" w:rsidR="008220EE" w:rsidRPr="008220EE" w:rsidRDefault="008220EE" w:rsidP="008220EE">
            <w:pPr>
              <w:pStyle w:val="Listeafsnit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413CF88" w14:textId="77777777" w:rsidR="008220EE" w:rsidRPr="008220EE" w:rsidRDefault="008220EE" w:rsidP="008220EE">
            <w:pPr>
              <w:pStyle w:val="Listeafsnit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70D5179" w14:textId="77777777" w:rsidR="008220EE" w:rsidRPr="008220EE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  <w:p w14:paraId="457A2946" w14:textId="77777777" w:rsidR="008220EE" w:rsidRPr="008220EE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  <w:p w14:paraId="7D03DB6C" w14:textId="6D4E8CBE" w:rsidR="008220EE" w:rsidRPr="008220EE" w:rsidRDefault="008220EE" w:rsidP="008220EE">
            <w:pPr>
              <w:pStyle w:val="Listeafsnit"/>
              <w:rPr>
                <w:sz w:val="20"/>
                <w:szCs w:val="20"/>
                <w:lang w:val="en-GB"/>
              </w:rPr>
            </w:pPr>
          </w:p>
        </w:tc>
      </w:tr>
      <w:tr w:rsidR="008220EE" w:rsidRPr="00533D4D" w14:paraId="33A642AF" w14:textId="77777777" w:rsidTr="00B50EC6">
        <w:trPr>
          <w:trHeight w:val="975"/>
        </w:trPr>
        <w:tc>
          <w:tcPr>
            <w:tcW w:w="4609" w:type="dxa"/>
            <w:gridSpan w:val="2"/>
          </w:tcPr>
          <w:p w14:paraId="04CB67E4" w14:textId="5D751B24" w:rsidR="008220EE" w:rsidRPr="00B50EC6" w:rsidRDefault="008220EE" w:rsidP="008220EE">
            <w:pPr>
              <w:pStyle w:val="Listeafsnit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  <w:r w:rsidRPr="00E46A74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>Context (e.g.,</w:t>
            </w:r>
            <w:r w:rsidRPr="00766101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 xml:space="preserve"> complexity,</w:t>
            </w:r>
            <w:r w:rsidRPr="00E46A74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 xml:space="preserve"> fragility, </w:t>
            </w:r>
            <w:r w:rsidRPr="00766101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 xml:space="preserve">political, </w:t>
            </w:r>
            <w:r w:rsidRPr="00B50EC6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 xml:space="preserve">security or other challenges) </w:t>
            </w:r>
          </w:p>
          <w:p w14:paraId="104A68AD" w14:textId="709F2584" w:rsidR="008220EE" w:rsidRPr="00B50EC6" w:rsidRDefault="008220EE" w:rsidP="008220EE">
            <w:pPr>
              <w:pStyle w:val="Listeafsnit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  <w:r w:rsidRPr="00B50EC6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>Politically sensitive areas/target groups</w:t>
            </w:r>
          </w:p>
          <w:p w14:paraId="1841AB3C" w14:textId="57C2A8EE" w:rsidR="008220EE" w:rsidRPr="0023082E" w:rsidRDefault="008220EE" w:rsidP="008220EE">
            <w:pPr>
              <w:pStyle w:val="Listeafsnit"/>
              <w:numPr>
                <w:ilvl w:val="0"/>
                <w:numId w:val="39"/>
              </w:numPr>
              <w:rPr>
                <w:lang w:val="en-GB"/>
              </w:rPr>
            </w:pPr>
            <w:r w:rsidRPr="00B50EC6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>Reputational risks linked to partner/sub-partner</w:t>
            </w:r>
          </w:p>
        </w:tc>
        <w:tc>
          <w:tcPr>
            <w:tcW w:w="937" w:type="dxa"/>
            <w:vMerge/>
            <w:vAlign w:val="center"/>
          </w:tcPr>
          <w:p w14:paraId="2A52DE36" w14:textId="77777777" w:rsidR="008220EE" w:rsidRPr="00F07080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082" w:type="dxa"/>
            <w:vMerge/>
          </w:tcPr>
          <w:p w14:paraId="1600B180" w14:textId="77777777" w:rsidR="008220EE" w:rsidRPr="008220EE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220EE" w:rsidRPr="00E54181" w14:paraId="72F45E50" w14:textId="77777777" w:rsidTr="00B50EC6">
        <w:tc>
          <w:tcPr>
            <w:tcW w:w="406" w:type="dxa"/>
          </w:tcPr>
          <w:p w14:paraId="11A74502" w14:textId="1DF664C4" w:rsidR="008220EE" w:rsidRPr="00F07080" w:rsidRDefault="008220EE" w:rsidP="008220EE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07080"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</w:p>
        </w:tc>
        <w:tc>
          <w:tcPr>
            <w:tcW w:w="4203" w:type="dxa"/>
          </w:tcPr>
          <w:p w14:paraId="4F262B1B" w14:textId="61D7A3AD" w:rsidR="008220EE" w:rsidRPr="00F07080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Overall programmatic risks</w:t>
            </w:r>
          </w:p>
        </w:tc>
        <w:tc>
          <w:tcPr>
            <w:tcW w:w="937" w:type="dxa"/>
            <w:vMerge w:val="restart"/>
            <w:vAlign w:val="center"/>
          </w:tcPr>
          <w:p w14:paraId="4F6D72A5" w14:textId="77777777" w:rsidR="008220EE" w:rsidRPr="00F07080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082" w:type="dxa"/>
            <w:vMerge w:val="restart"/>
          </w:tcPr>
          <w:p w14:paraId="284D986E" w14:textId="1645FBDC" w:rsidR="008220EE" w:rsidRPr="008220EE" w:rsidRDefault="008220EE" w:rsidP="008220EE">
            <w:pPr>
              <w:pStyle w:val="Listeafsnit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2657360" w14:textId="77777777" w:rsidR="008220EE" w:rsidRPr="008220EE" w:rsidRDefault="008220EE" w:rsidP="008220EE">
            <w:pPr>
              <w:pStyle w:val="Listeafsnit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2CE3D4D" w14:textId="77777777" w:rsidR="008220EE" w:rsidRPr="008220EE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  <w:p w14:paraId="3A498967" w14:textId="77777777" w:rsidR="008220EE" w:rsidRPr="008220EE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  <w:p w14:paraId="68B95251" w14:textId="77777777" w:rsidR="008220EE" w:rsidRPr="008220EE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  <w:p w14:paraId="62626643" w14:textId="77777777" w:rsidR="008220EE" w:rsidRPr="008220EE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  <w:p w14:paraId="5942CE62" w14:textId="2897CB63" w:rsidR="008220EE" w:rsidRPr="008220EE" w:rsidRDefault="008220EE" w:rsidP="008220E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220EE" w:rsidRPr="00533D4D" w14:paraId="44119C0A" w14:textId="77777777" w:rsidTr="00B50EC6">
        <w:tc>
          <w:tcPr>
            <w:tcW w:w="4609" w:type="dxa"/>
            <w:gridSpan w:val="2"/>
          </w:tcPr>
          <w:p w14:paraId="13771BA4" w14:textId="77777777" w:rsidR="008220EE" w:rsidRPr="00B50EC6" w:rsidRDefault="008220EE" w:rsidP="008220EE">
            <w:pPr>
              <w:pStyle w:val="Listeafsnit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  <w:r w:rsidRPr="00B50EC6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 xml:space="preserve">New initiative/continuation </w:t>
            </w:r>
          </w:p>
          <w:p w14:paraId="45C08BB5" w14:textId="77777777" w:rsidR="008220EE" w:rsidRPr="00B50EC6" w:rsidRDefault="008220EE" w:rsidP="008220EE">
            <w:pPr>
              <w:pStyle w:val="Listeafsnit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  <w:r w:rsidRPr="00B50EC6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>Support modalities (e.g., new, delegated cooperation, sub-granting mechanisms)</w:t>
            </w:r>
          </w:p>
          <w:p w14:paraId="3361883F" w14:textId="53B0EEA8" w:rsidR="008220EE" w:rsidRPr="00B50EC6" w:rsidRDefault="008220EE" w:rsidP="008220EE">
            <w:pPr>
              <w:pStyle w:val="Listeafsnit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  <w:r w:rsidRPr="00B50EC6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>Wide outreach (e.g., large number of partners, multi-country)</w:t>
            </w:r>
          </w:p>
          <w:p w14:paraId="0DAEF819" w14:textId="58E21AB7" w:rsidR="008220EE" w:rsidRPr="00B50EC6" w:rsidRDefault="008220EE" w:rsidP="008220EE">
            <w:pPr>
              <w:pStyle w:val="Listeafsnit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  <w:r w:rsidRPr="00B50EC6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 xml:space="preserve">Past performance of programme/project </w:t>
            </w:r>
          </w:p>
          <w:p w14:paraId="0E501F4A" w14:textId="6977E05D" w:rsidR="008220EE" w:rsidRPr="00B50EC6" w:rsidRDefault="008220EE" w:rsidP="008220EE">
            <w:pPr>
              <w:pStyle w:val="Listeafsnit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  <w:r w:rsidRPr="00B50EC6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>Performance of existing/potential partners (e.g., known capacity assessment, reviews, evaluations)</w:t>
            </w:r>
          </w:p>
        </w:tc>
        <w:tc>
          <w:tcPr>
            <w:tcW w:w="937" w:type="dxa"/>
            <w:vMerge/>
            <w:vAlign w:val="center"/>
          </w:tcPr>
          <w:p w14:paraId="32CD2423" w14:textId="77777777" w:rsidR="008220EE" w:rsidRPr="00766101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082" w:type="dxa"/>
            <w:vMerge/>
          </w:tcPr>
          <w:p w14:paraId="52F2B4DE" w14:textId="77777777" w:rsidR="008220EE" w:rsidRPr="008220EE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220EE" w:rsidRPr="00F07080" w14:paraId="2F779F61" w14:textId="77777777" w:rsidTr="00B50EC6">
        <w:tc>
          <w:tcPr>
            <w:tcW w:w="406" w:type="dxa"/>
          </w:tcPr>
          <w:p w14:paraId="50EA69CE" w14:textId="5C3A243F" w:rsidR="008220EE" w:rsidRPr="00F07080" w:rsidRDefault="008220EE" w:rsidP="008220EE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07080">
              <w:rPr>
                <w:rFonts w:asciiTheme="minorHAnsi" w:hAnsiTheme="minorHAnsi" w:cstheme="minorHAnsi"/>
                <w:b/>
                <w:bCs/>
                <w:lang w:val="en-GB"/>
              </w:rPr>
              <w:t>3</w:t>
            </w:r>
          </w:p>
        </w:tc>
        <w:tc>
          <w:tcPr>
            <w:tcW w:w="4203" w:type="dxa"/>
          </w:tcPr>
          <w:p w14:paraId="1E3A245C" w14:textId="36E74FB0" w:rsidR="008220EE" w:rsidRPr="00F07080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  <w:r w:rsidRPr="00F07080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Overall financial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risks</w:t>
            </w:r>
          </w:p>
        </w:tc>
        <w:tc>
          <w:tcPr>
            <w:tcW w:w="937" w:type="dxa"/>
            <w:vMerge w:val="restart"/>
            <w:vAlign w:val="center"/>
          </w:tcPr>
          <w:p w14:paraId="3F5A69BB" w14:textId="77777777" w:rsidR="008220EE" w:rsidRPr="00F07080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082" w:type="dxa"/>
            <w:vMerge w:val="restart"/>
          </w:tcPr>
          <w:p w14:paraId="6A252E8C" w14:textId="7254F331" w:rsidR="008220EE" w:rsidRPr="008220EE" w:rsidRDefault="008220EE" w:rsidP="008220EE">
            <w:pPr>
              <w:pStyle w:val="Listeafsnit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220EE" w:rsidRPr="00533D4D" w14:paraId="21F6793F" w14:textId="77777777" w:rsidTr="00B50EC6">
        <w:tc>
          <w:tcPr>
            <w:tcW w:w="4609" w:type="dxa"/>
            <w:gridSpan w:val="2"/>
          </w:tcPr>
          <w:p w14:paraId="7EDF0809" w14:textId="1FF809C6" w:rsidR="008220EE" w:rsidRPr="00F07080" w:rsidRDefault="008220EE" w:rsidP="008220EE">
            <w:pPr>
              <w:pStyle w:val="Listeafsnit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>Evidence of</w:t>
            </w:r>
            <w:r w:rsidRPr="00F07080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 xml:space="preserve"> financial management capacity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 xml:space="preserve"> of existing/potential partners (e.g., capacity assessment(s), financial monitoring, including like-minded donor assessments)</w:t>
            </w:r>
          </w:p>
          <w:p w14:paraId="6ACD22F6" w14:textId="50ACD78C" w:rsidR="008220EE" w:rsidRPr="008220EE" w:rsidRDefault="008220EE" w:rsidP="008220EE">
            <w:pPr>
              <w:pStyle w:val="Listeafsnit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  <w:r w:rsidRPr="008220E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>Large procurement expected (e.g., infrastructure)</w:t>
            </w:r>
          </w:p>
          <w:p w14:paraId="00C724A4" w14:textId="07B98DE9" w:rsidR="008220EE" w:rsidRPr="00F07080" w:rsidRDefault="008220EE" w:rsidP="008220EE">
            <w:pPr>
              <w:pStyle w:val="Listeafsnit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  <w:r w:rsidRPr="00F07080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>C- cases (closed and on-going)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>/follow up</w:t>
            </w:r>
          </w:p>
        </w:tc>
        <w:tc>
          <w:tcPr>
            <w:tcW w:w="937" w:type="dxa"/>
            <w:vMerge/>
            <w:vAlign w:val="center"/>
          </w:tcPr>
          <w:p w14:paraId="72D55EDF" w14:textId="77777777" w:rsidR="008220EE" w:rsidRPr="00F07080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082" w:type="dxa"/>
            <w:vMerge/>
          </w:tcPr>
          <w:p w14:paraId="310B84E8" w14:textId="77777777" w:rsidR="008220EE" w:rsidRPr="008220EE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220EE" w:rsidRPr="00BE0E8C" w14:paraId="1702C1AE" w14:textId="77777777" w:rsidTr="00B50EC6">
        <w:tc>
          <w:tcPr>
            <w:tcW w:w="406" w:type="dxa"/>
          </w:tcPr>
          <w:p w14:paraId="659F4AE1" w14:textId="18437475" w:rsidR="008220EE" w:rsidRPr="00F07080" w:rsidRDefault="008220EE" w:rsidP="008220EE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07080">
              <w:rPr>
                <w:rFonts w:asciiTheme="minorHAnsi" w:hAnsiTheme="minorHAnsi" w:cstheme="minorHAnsi"/>
                <w:b/>
                <w:bCs/>
                <w:lang w:val="en-GB"/>
              </w:rPr>
              <w:t>4</w:t>
            </w:r>
          </w:p>
        </w:tc>
        <w:tc>
          <w:tcPr>
            <w:tcW w:w="4203" w:type="dxa"/>
          </w:tcPr>
          <w:p w14:paraId="1B2A2302" w14:textId="0E38DF21" w:rsidR="008220EE" w:rsidRPr="00F07080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  <w:r w:rsidRPr="00F07080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Overall unit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related risks</w:t>
            </w:r>
          </w:p>
        </w:tc>
        <w:tc>
          <w:tcPr>
            <w:tcW w:w="937" w:type="dxa"/>
            <w:vMerge w:val="restart"/>
            <w:vAlign w:val="center"/>
          </w:tcPr>
          <w:p w14:paraId="5D5FDFF5" w14:textId="77777777" w:rsidR="008220EE" w:rsidRPr="00F07080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082" w:type="dxa"/>
            <w:vMerge w:val="restart"/>
          </w:tcPr>
          <w:p w14:paraId="77A6C909" w14:textId="77777777" w:rsidR="008220EE" w:rsidRPr="008220EE" w:rsidRDefault="008220EE" w:rsidP="008220EE">
            <w:pPr>
              <w:pStyle w:val="Listeafsnit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220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6BAE410F" w14:textId="24915CED" w:rsidR="008220EE" w:rsidRPr="008220EE" w:rsidRDefault="008220EE" w:rsidP="008220EE">
            <w:pPr>
              <w:pStyle w:val="Listeafsnit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220EE" w:rsidRPr="00533D4D" w14:paraId="1741933E" w14:textId="77777777" w:rsidTr="00B50EC6">
        <w:tc>
          <w:tcPr>
            <w:tcW w:w="4609" w:type="dxa"/>
            <w:gridSpan w:val="2"/>
          </w:tcPr>
          <w:p w14:paraId="22646C76" w14:textId="0673D4A6" w:rsidR="008220EE" w:rsidRPr="007A71DC" w:rsidRDefault="008220EE" w:rsidP="008220EE">
            <w:pPr>
              <w:pStyle w:val="Listeafsnit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  <w:r w:rsidRPr="007A71DC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 xml:space="preserve">Experience with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>grant management</w:t>
            </w:r>
          </w:p>
          <w:p w14:paraId="2719AD96" w14:textId="50031C60" w:rsidR="008220EE" w:rsidRPr="008220EE" w:rsidRDefault="008220EE" w:rsidP="008220EE">
            <w:pPr>
              <w:pStyle w:val="Listeafsnit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  <w:r w:rsidRPr="007A71DC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>Unit’s portfolio manageability within existing resources</w:t>
            </w:r>
          </w:p>
        </w:tc>
        <w:tc>
          <w:tcPr>
            <w:tcW w:w="937" w:type="dxa"/>
            <w:vMerge/>
            <w:vAlign w:val="center"/>
          </w:tcPr>
          <w:p w14:paraId="1F251A74" w14:textId="77777777" w:rsidR="008220EE" w:rsidRPr="00F07080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082" w:type="dxa"/>
            <w:vMerge/>
          </w:tcPr>
          <w:p w14:paraId="2A97A92B" w14:textId="77777777" w:rsidR="008220EE" w:rsidRPr="00F07080" w:rsidRDefault="008220EE" w:rsidP="008220E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BEA7438" w14:textId="59872A2C" w:rsidR="002930D8" w:rsidRDefault="002930D8" w:rsidP="007672D2">
      <w:pPr>
        <w:spacing w:after="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256"/>
        <w:gridCol w:w="1417"/>
        <w:gridCol w:w="4961"/>
      </w:tblGrid>
      <w:tr w:rsidR="007672D2" w:rsidRPr="00533D4D" w14:paraId="3F546F10" w14:textId="77777777" w:rsidTr="008220EE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399A3FB" w14:textId="3434012A" w:rsidR="007672D2" w:rsidRPr="00F07080" w:rsidRDefault="007672D2" w:rsidP="00655BA3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0708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Overall </w:t>
            </w:r>
            <w:r w:rsidR="001D516F">
              <w:rPr>
                <w:rFonts w:asciiTheme="minorHAnsi" w:hAnsiTheme="minorHAnsi" w:cstheme="minorHAnsi"/>
                <w:b/>
                <w:bCs/>
                <w:lang w:val="en-GB"/>
              </w:rPr>
              <w:t>unit self-</w:t>
            </w:r>
            <w:r w:rsidRPr="00F0708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assessment 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and </w:t>
            </w:r>
            <w:r w:rsidR="00FF7B0F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preliminary 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conclusion on risk</w:t>
            </w:r>
            <w:r w:rsidR="001D516F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profile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834BB22" w14:textId="07BE6950" w:rsidR="007672D2" w:rsidRPr="00A01C3F" w:rsidRDefault="00E52D37" w:rsidP="00655BA3">
            <w:pPr>
              <w:rPr>
                <w:rFonts w:asciiTheme="minorHAnsi" w:hAnsiTheme="minorHAnsi" w:cstheme="minorHAnsi"/>
                <w:highlight w:val="yellow"/>
                <w:lang w:val="en-GB"/>
              </w:rPr>
            </w:pPr>
            <w:r w:rsidRPr="00AB0543">
              <w:rPr>
                <w:rFonts w:asciiTheme="minorHAnsi" w:hAnsiTheme="minorHAnsi" w:cstheme="minorHAnsi"/>
                <w:lang w:val="en-GB"/>
              </w:rPr>
              <w:t>Preliminary r</w:t>
            </w:r>
            <w:r w:rsidR="00A01C3F" w:rsidRPr="00AB0543">
              <w:rPr>
                <w:rFonts w:asciiTheme="minorHAnsi" w:hAnsiTheme="minorHAnsi" w:cstheme="minorHAnsi"/>
                <w:lang w:val="en-GB"/>
              </w:rPr>
              <w:t>isk category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4F490512" w14:textId="3B1A686D" w:rsidR="00BC0D6A" w:rsidRPr="00AB0543" w:rsidRDefault="007672D2">
            <w:pPr>
              <w:rPr>
                <w:rFonts w:asciiTheme="minorHAnsi" w:hAnsiTheme="minorHAnsi" w:cstheme="minorHAnsi"/>
                <w:lang w:val="en-GB"/>
              </w:rPr>
            </w:pPr>
            <w:r w:rsidRPr="00AB0543">
              <w:rPr>
                <w:rFonts w:asciiTheme="minorHAnsi" w:hAnsiTheme="minorHAnsi" w:cstheme="minorHAnsi"/>
                <w:lang w:val="en-GB"/>
              </w:rPr>
              <w:t>[Here, an overall assessment should be made based on the four assessments above</w:t>
            </w:r>
            <w:r w:rsidR="00BC0D6A" w:rsidRPr="00AB0543">
              <w:rPr>
                <w:rFonts w:asciiTheme="minorHAnsi" w:hAnsiTheme="minorHAnsi" w:cstheme="minorHAnsi"/>
                <w:lang w:val="en-GB"/>
              </w:rPr>
              <w:t>. This should explain the unit’s preliminary conclusion o</w:t>
            </w:r>
            <w:r w:rsidR="00E94003" w:rsidRPr="00AB0543">
              <w:rPr>
                <w:rFonts w:asciiTheme="minorHAnsi" w:hAnsiTheme="minorHAnsi" w:cstheme="minorHAnsi"/>
                <w:lang w:val="en-GB"/>
              </w:rPr>
              <w:t>n</w:t>
            </w:r>
            <w:r w:rsidR="00BC0D6A" w:rsidRPr="00AB0543">
              <w:rPr>
                <w:rFonts w:asciiTheme="minorHAnsi" w:hAnsiTheme="minorHAnsi" w:cstheme="minorHAnsi"/>
                <w:lang w:val="en-GB"/>
              </w:rPr>
              <w:t xml:space="preserve"> the risk category]</w:t>
            </w:r>
          </w:p>
        </w:tc>
      </w:tr>
    </w:tbl>
    <w:p w14:paraId="3169D192" w14:textId="77777777" w:rsidR="007672D2" w:rsidRPr="00F07080" w:rsidRDefault="007672D2" w:rsidP="006D059E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7672D2" w:rsidRPr="00F070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A2B1" w14:textId="77777777" w:rsidR="006851AC" w:rsidRDefault="006851AC" w:rsidP="00BC0EDE">
      <w:pPr>
        <w:spacing w:after="0" w:line="240" w:lineRule="auto"/>
      </w:pPr>
      <w:r>
        <w:separator/>
      </w:r>
    </w:p>
  </w:endnote>
  <w:endnote w:type="continuationSeparator" w:id="0">
    <w:p w14:paraId="53BB4393" w14:textId="77777777" w:rsidR="006851AC" w:rsidRDefault="006851AC" w:rsidP="00BC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CC37" w14:textId="77777777" w:rsidR="00533D4D" w:rsidRDefault="00533D4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0041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82A98" w14:textId="0F2D1829" w:rsidR="007A71DC" w:rsidRDefault="007A71DC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269B0" w14:textId="77777777" w:rsidR="007A71DC" w:rsidRDefault="007A71D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1861" w14:textId="77777777" w:rsidR="00533D4D" w:rsidRDefault="00533D4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66CD" w14:textId="77777777" w:rsidR="006851AC" w:rsidRDefault="006851AC" w:rsidP="00BC0EDE">
      <w:pPr>
        <w:spacing w:after="0" w:line="240" w:lineRule="auto"/>
      </w:pPr>
      <w:r>
        <w:separator/>
      </w:r>
    </w:p>
  </w:footnote>
  <w:footnote w:type="continuationSeparator" w:id="0">
    <w:p w14:paraId="1B60BCDA" w14:textId="77777777" w:rsidR="006851AC" w:rsidRDefault="006851AC" w:rsidP="00BC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5A6B" w14:textId="77777777" w:rsidR="00533D4D" w:rsidRDefault="00533D4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8BAC" w14:textId="313C5FCD" w:rsidR="00BC0EDE" w:rsidRDefault="00E9392A" w:rsidP="2A586DEB">
    <w:pPr>
      <w:spacing w:after="120"/>
      <w:rPr>
        <w:i/>
        <w:iCs/>
        <w:lang w:val="en-GB"/>
      </w:rPr>
    </w:pPr>
    <w:r w:rsidRPr="2A586DEB">
      <w:rPr>
        <w:rFonts w:asciiTheme="minorHAnsi" w:hAnsiTheme="minorHAnsi"/>
        <w:b/>
        <w:bCs/>
        <w:i/>
        <w:iCs/>
        <w:sz w:val="22"/>
        <w:szCs w:val="22"/>
        <w:lang w:val="en-GB"/>
      </w:rPr>
      <w:t>Annex to Identification Note</w:t>
    </w:r>
    <w:r w:rsidR="00B91FB5" w:rsidRPr="2A586DEB">
      <w:rPr>
        <w:rFonts w:asciiTheme="minorHAnsi" w:hAnsiTheme="minorHAnsi"/>
        <w:b/>
        <w:bCs/>
        <w:sz w:val="22"/>
        <w:szCs w:val="22"/>
        <w:lang w:val="en-GB"/>
      </w:rPr>
      <w:t xml:space="preserve">: </w:t>
    </w:r>
    <w:r w:rsidRPr="2A586DEB">
      <w:rPr>
        <w:rFonts w:asciiTheme="minorHAnsi" w:hAnsiTheme="minorHAnsi"/>
        <w:i/>
        <w:iCs/>
        <w:sz w:val="22"/>
        <w:szCs w:val="22"/>
        <w:lang w:val="en-GB"/>
      </w:rPr>
      <w:t>Unit self- assessment of risks related to programmes and stand-alone projects</w:t>
    </w:r>
    <w:r w:rsidR="00533D4D">
      <w:rPr>
        <w:rFonts w:asciiTheme="minorHAnsi" w:hAnsiTheme="minorHAnsi"/>
        <w:i/>
        <w:iCs/>
        <w:sz w:val="22"/>
        <w:szCs w:val="22"/>
        <w:lang w:val="en-GB"/>
      </w:rPr>
      <w:t xml:space="preserve"> [only applicable for programmes and stand-alone </w:t>
    </w:r>
    <w:r w:rsidR="00533D4D">
      <w:rPr>
        <w:rFonts w:asciiTheme="minorHAnsi" w:hAnsiTheme="minorHAnsi"/>
        <w:i/>
        <w:iCs/>
        <w:sz w:val="22"/>
        <w:szCs w:val="22"/>
        <w:lang w:val="en-GB"/>
      </w:rPr>
      <w:t xml:space="preserve">projects between DKK 20 to 100 million] </w:t>
    </w:r>
    <w:r w:rsidR="00BC0EDE" w:rsidRPr="00E46A74">
      <w:rPr>
        <w:i/>
        <w:iCs/>
        <w:lang w:val="en-GB"/>
      </w:rPr>
      <w:tab/>
    </w:r>
    <w:r w:rsidRPr="00E46A74">
      <w:rPr>
        <w:i/>
        <w:iCs/>
        <w:lang w:val="en-GB"/>
      </w:rPr>
      <w:tab/>
    </w:r>
  </w:p>
  <w:p w14:paraId="79BE5CAB" w14:textId="59A8EBA9" w:rsidR="00B91FB5" w:rsidRPr="00E46A74" w:rsidRDefault="00B91FB5" w:rsidP="00E46A74">
    <w:pPr>
      <w:spacing w:after="120"/>
      <w:ind w:left="6520" w:firstLine="1304"/>
      <w:rPr>
        <w:rFonts w:asciiTheme="minorHAnsi" w:hAnsiTheme="minorHAnsi" w:cstheme="minorHAnsi"/>
        <w:b/>
        <w:bCs/>
        <w:sz w:val="22"/>
        <w:szCs w:val="22"/>
        <w:lang w:val="en-GB"/>
      </w:rPr>
    </w:pPr>
    <w:r w:rsidRPr="0075090F">
      <w:rPr>
        <w:rFonts w:asciiTheme="minorHAnsi" w:hAnsiTheme="minorHAnsi" w:cstheme="minorHAnsi"/>
        <w:sz w:val="22"/>
        <w:szCs w:val="22"/>
        <w:lang w:val="en-GB"/>
      </w:rPr>
      <w:t>P360:</w:t>
    </w:r>
    <w:r w:rsidRPr="0075090F">
      <w:rPr>
        <w:rFonts w:asciiTheme="minorHAnsi" w:hAnsiTheme="minorHAnsi" w:cstheme="minorHAnsi"/>
        <w:sz w:val="22"/>
        <w:szCs w:val="22"/>
        <w:highlight w:val="yellow"/>
        <w:lang w:val="en-GB"/>
      </w:rPr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8967" w14:textId="77777777" w:rsidR="00533D4D" w:rsidRDefault="00533D4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A93"/>
    <w:multiLevelType w:val="hybridMultilevel"/>
    <w:tmpl w:val="C180C77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132EE"/>
    <w:multiLevelType w:val="hybridMultilevel"/>
    <w:tmpl w:val="2904F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25F0B"/>
    <w:multiLevelType w:val="hybridMultilevel"/>
    <w:tmpl w:val="09881C70"/>
    <w:lvl w:ilvl="0" w:tplc="57E68DF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808080" w:themeColor="background1" w:themeShade="8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538DD"/>
    <w:multiLevelType w:val="hybridMultilevel"/>
    <w:tmpl w:val="80D83BD2"/>
    <w:lvl w:ilvl="0" w:tplc="84E611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51C8E"/>
    <w:multiLevelType w:val="hybridMultilevel"/>
    <w:tmpl w:val="60E6B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10006"/>
    <w:multiLevelType w:val="hybridMultilevel"/>
    <w:tmpl w:val="462089E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5B7EA9"/>
    <w:multiLevelType w:val="hybridMultilevel"/>
    <w:tmpl w:val="FDC6211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969AE"/>
    <w:multiLevelType w:val="hybridMultilevel"/>
    <w:tmpl w:val="E7E0F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0475E"/>
    <w:multiLevelType w:val="hybridMultilevel"/>
    <w:tmpl w:val="99FA7150"/>
    <w:lvl w:ilvl="0" w:tplc="6708021C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951E56"/>
    <w:multiLevelType w:val="hybridMultilevel"/>
    <w:tmpl w:val="DCB463E4"/>
    <w:lvl w:ilvl="0" w:tplc="D36C88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C0A78"/>
    <w:multiLevelType w:val="hybridMultilevel"/>
    <w:tmpl w:val="7DD4C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46C02"/>
    <w:multiLevelType w:val="hybridMultilevel"/>
    <w:tmpl w:val="A024F2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916FB"/>
    <w:multiLevelType w:val="hybridMultilevel"/>
    <w:tmpl w:val="648EF1F6"/>
    <w:lvl w:ilvl="0" w:tplc="56184862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2FF574F"/>
    <w:multiLevelType w:val="hybridMultilevel"/>
    <w:tmpl w:val="4F1C6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7720A3"/>
    <w:multiLevelType w:val="hybridMultilevel"/>
    <w:tmpl w:val="CD6C4E1A"/>
    <w:lvl w:ilvl="0" w:tplc="69C2BB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931E0"/>
    <w:multiLevelType w:val="hybridMultilevel"/>
    <w:tmpl w:val="54E2D96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733E02"/>
    <w:multiLevelType w:val="hybridMultilevel"/>
    <w:tmpl w:val="32ECDA8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BA65BD"/>
    <w:multiLevelType w:val="hybridMultilevel"/>
    <w:tmpl w:val="D0840DEE"/>
    <w:lvl w:ilvl="0" w:tplc="D8306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F04A4"/>
    <w:multiLevelType w:val="hybridMultilevel"/>
    <w:tmpl w:val="85080F5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D5528"/>
    <w:multiLevelType w:val="hybridMultilevel"/>
    <w:tmpl w:val="CD12B984"/>
    <w:lvl w:ilvl="0" w:tplc="A4CA6A50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DF6998"/>
    <w:multiLevelType w:val="hybridMultilevel"/>
    <w:tmpl w:val="6F244396"/>
    <w:lvl w:ilvl="0" w:tplc="41DCE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BAE6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2091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D85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097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FCF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6B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FE60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582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4EF681C"/>
    <w:multiLevelType w:val="hybridMultilevel"/>
    <w:tmpl w:val="EEFE503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D32E7A"/>
    <w:multiLevelType w:val="hybridMultilevel"/>
    <w:tmpl w:val="3A0AF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C3749"/>
    <w:multiLevelType w:val="hybridMultilevel"/>
    <w:tmpl w:val="AE2440CC"/>
    <w:lvl w:ilvl="0" w:tplc="1750B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960A5"/>
    <w:multiLevelType w:val="hybridMultilevel"/>
    <w:tmpl w:val="F246F4A4"/>
    <w:lvl w:ilvl="0" w:tplc="6DB89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909CD"/>
    <w:multiLevelType w:val="hybridMultilevel"/>
    <w:tmpl w:val="63FC42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F2439"/>
    <w:multiLevelType w:val="hybridMultilevel"/>
    <w:tmpl w:val="B2EE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91DEB"/>
    <w:multiLevelType w:val="hybridMultilevel"/>
    <w:tmpl w:val="FF949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013E1"/>
    <w:multiLevelType w:val="hybridMultilevel"/>
    <w:tmpl w:val="9C2E2B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B0D75"/>
    <w:multiLevelType w:val="hybridMultilevel"/>
    <w:tmpl w:val="25CE9DA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69426F"/>
    <w:multiLevelType w:val="hybridMultilevel"/>
    <w:tmpl w:val="F58EFA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700"/>
    <w:multiLevelType w:val="hybridMultilevel"/>
    <w:tmpl w:val="FD2413BA"/>
    <w:lvl w:ilvl="0" w:tplc="AA004BBC">
      <w:start w:val="1"/>
      <w:numFmt w:val="bullet"/>
      <w:lvlText w:val=""/>
      <w:lvlJc w:val="left"/>
      <w:pPr>
        <w:ind w:left="406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 w15:restartNumberingAfterBreak="0">
    <w:nsid w:val="51987D3C"/>
    <w:multiLevelType w:val="hybridMultilevel"/>
    <w:tmpl w:val="395E5E16"/>
    <w:lvl w:ilvl="0" w:tplc="1FA69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14D88"/>
    <w:multiLevelType w:val="hybridMultilevel"/>
    <w:tmpl w:val="5AEA4F7E"/>
    <w:lvl w:ilvl="0" w:tplc="08090019">
      <w:start w:val="1"/>
      <w:numFmt w:val="lowerLetter"/>
      <w:lvlText w:val="%1."/>
      <w:lvlJc w:val="left"/>
      <w:pPr>
        <w:ind w:left="5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2C16A08"/>
    <w:multiLevelType w:val="hybridMultilevel"/>
    <w:tmpl w:val="E87C5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59734D"/>
    <w:multiLevelType w:val="hybridMultilevel"/>
    <w:tmpl w:val="4148CF26"/>
    <w:lvl w:ilvl="0" w:tplc="984E6468"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  <w:color w:val="808080" w:themeColor="background1" w:themeShade="8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F1968"/>
    <w:multiLevelType w:val="hybridMultilevel"/>
    <w:tmpl w:val="7E7A8DE2"/>
    <w:lvl w:ilvl="0" w:tplc="5ACEFDB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DB583F"/>
    <w:multiLevelType w:val="hybridMultilevel"/>
    <w:tmpl w:val="09BCD9F2"/>
    <w:lvl w:ilvl="0" w:tplc="A0D464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8868B3"/>
    <w:multiLevelType w:val="hybridMultilevel"/>
    <w:tmpl w:val="CD469FDC"/>
    <w:lvl w:ilvl="0" w:tplc="984E6468">
      <w:numFmt w:val="bullet"/>
      <w:lvlText w:val="-"/>
      <w:lvlJc w:val="left"/>
      <w:pPr>
        <w:ind w:left="360" w:hanging="360"/>
      </w:pPr>
      <w:rPr>
        <w:rFonts w:ascii="Garamond" w:eastAsia="SimSun" w:hAnsi="Garamond" w:cs="Times New Roman" w:hint="default"/>
        <w:color w:val="808080" w:themeColor="background1" w:themeShade="8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064816"/>
    <w:multiLevelType w:val="hybridMultilevel"/>
    <w:tmpl w:val="A5DC7E42"/>
    <w:lvl w:ilvl="0" w:tplc="AA004BBC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0"/>
  </w:num>
  <w:num w:numId="4">
    <w:abstractNumId w:val="12"/>
  </w:num>
  <w:num w:numId="5">
    <w:abstractNumId w:val="17"/>
  </w:num>
  <w:num w:numId="6">
    <w:abstractNumId w:val="23"/>
  </w:num>
  <w:num w:numId="7">
    <w:abstractNumId w:val="27"/>
  </w:num>
  <w:num w:numId="8">
    <w:abstractNumId w:val="33"/>
  </w:num>
  <w:num w:numId="9">
    <w:abstractNumId w:val="9"/>
  </w:num>
  <w:num w:numId="10">
    <w:abstractNumId w:val="22"/>
  </w:num>
  <w:num w:numId="11">
    <w:abstractNumId w:val="24"/>
  </w:num>
  <w:num w:numId="12">
    <w:abstractNumId w:val="32"/>
  </w:num>
  <w:num w:numId="13">
    <w:abstractNumId w:val="0"/>
  </w:num>
  <w:num w:numId="14">
    <w:abstractNumId w:val="5"/>
  </w:num>
  <w:num w:numId="15">
    <w:abstractNumId w:val="8"/>
  </w:num>
  <w:num w:numId="16">
    <w:abstractNumId w:val="25"/>
  </w:num>
  <w:num w:numId="17">
    <w:abstractNumId w:val="3"/>
  </w:num>
  <w:num w:numId="18">
    <w:abstractNumId w:val="29"/>
  </w:num>
  <w:num w:numId="19">
    <w:abstractNumId w:val="19"/>
  </w:num>
  <w:num w:numId="20">
    <w:abstractNumId w:val="16"/>
  </w:num>
  <w:num w:numId="21">
    <w:abstractNumId w:val="15"/>
  </w:num>
  <w:num w:numId="22">
    <w:abstractNumId w:val="36"/>
  </w:num>
  <w:num w:numId="23">
    <w:abstractNumId w:val="21"/>
  </w:num>
  <w:num w:numId="24">
    <w:abstractNumId w:val="28"/>
  </w:num>
  <w:num w:numId="25">
    <w:abstractNumId w:val="6"/>
  </w:num>
  <w:num w:numId="26">
    <w:abstractNumId w:val="30"/>
  </w:num>
  <w:num w:numId="27">
    <w:abstractNumId w:val="11"/>
  </w:num>
  <w:num w:numId="28">
    <w:abstractNumId w:val="18"/>
  </w:num>
  <w:num w:numId="29">
    <w:abstractNumId w:val="34"/>
  </w:num>
  <w:num w:numId="30">
    <w:abstractNumId w:val="2"/>
  </w:num>
  <w:num w:numId="31">
    <w:abstractNumId w:val="1"/>
  </w:num>
  <w:num w:numId="32">
    <w:abstractNumId w:val="4"/>
  </w:num>
  <w:num w:numId="33">
    <w:abstractNumId w:val="37"/>
  </w:num>
  <w:num w:numId="34">
    <w:abstractNumId w:val="13"/>
  </w:num>
  <w:num w:numId="35">
    <w:abstractNumId w:val="10"/>
  </w:num>
  <w:num w:numId="36">
    <w:abstractNumId w:val="39"/>
  </w:num>
  <w:num w:numId="37">
    <w:abstractNumId w:val="31"/>
  </w:num>
  <w:num w:numId="38">
    <w:abstractNumId w:val="7"/>
  </w:num>
  <w:num w:numId="39">
    <w:abstractNumId w:val="38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58"/>
    <w:rsid w:val="00020C0A"/>
    <w:rsid w:val="001331E0"/>
    <w:rsid w:val="0016146D"/>
    <w:rsid w:val="00195933"/>
    <w:rsid w:val="00196262"/>
    <w:rsid w:val="001B7D4D"/>
    <w:rsid w:val="001D516F"/>
    <w:rsid w:val="00207C88"/>
    <w:rsid w:val="0021202F"/>
    <w:rsid w:val="0023082E"/>
    <w:rsid w:val="0027357E"/>
    <w:rsid w:val="002930D8"/>
    <w:rsid w:val="002C3E13"/>
    <w:rsid w:val="002D2610"/>
    <w:rsid w:val="002D3C4F"/>
    <w:rsid w:val="00311A0B"/>
    <w:rsid w:val="00320B91"/>
    <w:rsid w:val="00345657"/>
    <w:rsid w:val="003519F2"/>
    <w:rsid w:val="00355323"/>
    <w:rsid w:val="0039375E"/>
    <w:rsid w:val="003D5F78"/>
    <w:rsid w:val="00414879"/>
    <w:rsid w:val="004D42EB"/>
    <w:rsid w:val="00520E02"/>
    <w:rsid w:val="00533D4D"/>
    <w:rsid w:val="0057463C"/>
    <w:rsid w:val="005D0383"/>
    <w:rsid w:val="00602DA3"/>
    <w:rsid w:val="00621C0A"/>
    <w:rsid w:val="00650B79"/>
    <w:rsid w:val="006768C8"/>
    <w:rsid w:val="006851AC"/>
    <w:rsid w:val="006B300D"/>
    <w:rsid w:val="006D059E"/>
    <w:rsid w:val="006F05B7"/>
    <w:rsid w:val="0074511A"/>
    <w:rsid w:val="00766101"/>
    <w:rsid w:val="007672D2"/>
    <w:rsid w:val="007715BA"/>
    <w:rsid w:val="007A5160"/>
    <w:rsid w:val="007A71DC"/>
    <w:rsid w:val="007B1203"/>
    <w:rsid w:val="007D2987"/>
    <w:rsid w:val="00812B84"/>
    <w:rsid w:val="008220EE"/>
    <w:rsid w:val="00831CE5"/>
    <w:rsid w:val="00896A6E"/>
    <w:rsid w:val="008F71BA"/>
    <w:rsid w:val="009551F6"/>
    <w:rsid w:val="009758B5"/>
    <w:rsid w:val="00991C3E"/>
    <w:rsid w:val="00A01C3F"/>
    <w:rsid w:val="00A47D46"/>
    <w:rsid w:val="00A6362F"/>
    <w:rsid w:val="00AB0543"/>
    <w:rsid w:val="00AB09D5"/>
    <w:rsid w:val="00AE1C05"/>
    <w:rsid w:val="00B50EC6"/>
    <w:rsid w:val="00B5479E"/>
    <w:rsid w:val="00B91FB5"/>
    <w:rsid w:val="00BB115E"/>
    <w:rsid w:val="00BC0D6A"/>
    <w:rsid w:val="00BC0EDE"/>
    <w:rsid w:val="00BC3CEF"/>
    <w:rsid w:val="00BE0E8C"/>
    <w:rsid w:val="00C27B2A"/>
    <w:rsid w:val="00CF3BAA"/>
    <w:rsid w:val="00D34E4E"/>
    <w:rsid w:val="00D9475B"/>
    <w:rsid w:val="00DA07FD"/>
    <w:rsid w:val="00DD210D"/>
    <w:rsid w:val="00DD3B65"/>
    <w:rsid w:val="00E46A74"/>
    <w:rsid w:val="00E52D37"/>
    <w:rsid w:val="00E54181"/>
    <w:rsid w:val="00E56558"/>
    <w:rsid w:val="00E708FF"/>
    <w:rsid w:val="00E7492B"/>
    <w:rsid w:val="00E9392A"/>
    <w:rsid w:val="00E94003"/>
    <w:rsid w:val="00EA01D1"/>
    <w:rsid w:val="00ED21CE"/>
    <w:rsid w:val="00F07080"/>
    <w:rsid w:val="00FA677A"/>
    <w:rsid w:val="00FF7B0F"/>
    <w:rsid w:val="2A5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A68A8B"/>
  <w15:chartTrackingRefBased/>
  <w15:docId w15:val="{C95E130E-C5FE-4549-ACCD-BEA4530A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1"/>
    <w:qFormat/>
    <w:rsid w:val="00E56558"/>
    <w:pPr>
      <w:keepNext/>
      <w:keepLines/>
      <w:suppressAutoHyphens/>
      <w:spacing w:line="310" w:lineRule="atLeast"/>
      <w:contextualSpacing/>
      <w:outlineLvl w:val="0"/>
    </w:pPr>
    <w:rPr>
      <w:rFonts w:ascii="Calibri" w:eastAsiaTheme="majorEastAsia" w:hAnsi="Calibri" w:cs="Arial"/>
      <w:b/>
      <w:sz w:val="25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E56558"/>
    <w:rPr>
      <w:rFonts w:ascii="Calibri" w:eastAsiaTheme="majorEastAsia" w:hAnsi="Calibri" w:cs="Arial"/>
      <w:b/>
      <w:sz w:val="25"/>
      <w:szCs w:val="32"/>
    </w:rPr>
  </w:style>
  <w:style w:type="paragraph" w:styleId="Listeafsnit">
    <w:name w:val="List Paragraph"/>
    <w:basedOn w:val="Normal"/>
    <w:uiPriority w:val="99"/>
    <w:qFormat/>
    <w:rsid w:val="00E56558"/>
    <w:pPr>
      <w:spacing w:after="0" w:line="270" w:lineRule="atLeast"/>
      <w:ind w:left="720"/>
      <w:contextualSpacing/>
    </w:pPr>
    <w:rPr>
      <w:rFonts w:ascii="Calibri" w:hAnsi="Calibri"/>
      <w:sz w:val="23"/>
      <w:szCs w:val="23"/>
    </w:rPr>
  </w:style>
  <w:style w:type="table" w:styleId="Tabel-Gitter">
    <w:name w:val="Table Grid"/>
    <w:basedOn w:val="Tabel-Normal"/>
    <w:uiPriority w:val="59"/>
    <w:rsid w:val="00E5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C27B2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27B2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27B2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27B2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27B2A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BC0E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0EDE"/>
  </w:style>
  <w:style w:type="paragraph" w:styleId="Sidefod">
    <w:name w:val="footer"/>
    <w:basedOn w:val="Normal"/>
    <w:link w:val="SidefodTegn"/>
    <w:uiPriority w:val="99"/>
    <w:unhideWhenUsed/>
    <w:rsid w:val="00BC0E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895">
          <w:marLeft w:val="547"/>
          <w:marRight w:val="0"/>
          <w:marTop w:val="17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366">
          <w:marLeft w:val="547"/>
          <w:marRight w:val="0"/>
          <w:marTop w:val="1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319">
          <w:marLeft w:val="547"/>
          <w:marRight w:val="0"/>
          <w:marTop w:val="1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958">
          <w:marLeft w:val="547"/>
          <w:marRight w:val="0"/>
          <w:marTop w:val="1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250">
          <w:marLeft w:val="547"/>
          <w:marRight w:val="0"/>
          <w:marTop w:val="1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066">
          <w:marLeft w:val="547"/>
          <w:marRight w:val="0"/>
          <w:marTop w:val="1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0FB06F89B2E4286813DFE718D1436" ma:contentTypeVersion="2" ma:contentTypeDescription="Create a new document." ma:contentTypeScope="" ma:versionID="66b21daccbedd1dbe942763b5db34cd4">
  <xsd:schema xmlns:xsd="http://www.w3.org/2001/XMLSchema" xmlns:xs="http://www.w3.org/2001/XMLSchema" xmlns:p="http://schemas.microsoft.com/office/2006/metadata/properties" xmlns:ns1="http://schemas.microsoft.com/sharepoint/v3" xmlns:ns2="c7f17b22-ac64-4fc8-a5ef-b34c493c6093" targetNamespace="http://schemas.microsoft.com/office/2006/metadata/properties" ma:root="true" ma:fieldsID="1c1b5ad8674e13e349be4eb1545a1680" ns1:_="" ns2:_="">
    <xsd:import namespace="http://schemas.microsoft.com/sharepoint/v3"/>
    <xsd:import namespace="c7f17b22-ac64-4fc8-a5ef-b34c493c609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17b22-ac64-4fc8-a5ef-b34c493c6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FA28E98-B5CD-45A2-A199-1AA59068CC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DD2B203-77F9-40FA-8D09-74C89D968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f17b22-ac64-4fc8-a5ef-b34c493c6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6CE67-1709-428B-A2FC-09222B090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Refika Hayta</dc:creator>
  <cp:keywords/>
  <dc:description/>
  <cp:lastModifiedBy>Hanne Carus</cp:lastModifiedBy>
  <cp:revision>2</cp:revision>
  <cp:lastPrinted>2025-09-11T13:43:00Z</cp:lastPrinted>
  <dcterms:created xsi:type="dcterms:W3CDTF">2026-03-18T09:57:00Z</dcterms:created>
  <dcterms:modified xsi:type="dcterms:W3CDTF">2026-03-18T09:57:00Z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0x010100C460FB06F89B2E4286813DFE718D1436</vt:lpwstr>
  </property>
</Properties>
</file>