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D628" w14:textId="77777777" w:rsidR="00CD0F6D" w:rsidRDefault="000F052C">
      <w:pPr>
        <w:spacing w:after="80"/>
      </w:pPr>
      <w:r>
        <w:rPr>
          <w:b/>
          <w:bCs/>
          <w:sz w:val="28"/>
          <w:szCs w:val="28"/>
        </w:rPr>
        <w:t xml:space="preserve">Kommentar vedrørende Danida Business </w:t>
      </w:r>
      <w:proofErr w:type="spellStart"/>
      <w:r>
        <w:rPr>
          <w:b/>
          <w:bCs/>
          <w:sz w:val="28"/>
          <w:szCs w:val="28"/>
        </w:rPr>
        <w:t>Initiative</w:t>
      </w:r>
      <w:proofErr w:type="spellEnd"/>
      <w:r>
        <w:rPr>
          <w:b/>
          <w:bCs/>
          <w:sz w:val="28"/>
          <w:szCs w:val="28"/>
        </w:rPr>
        <w:t xml:space="preserve"> – Strategic Framework, E3 Impact Accelerator og E5 Impact Investor </w:t>
      </w:r>
      <w:proofErr w:type="spellStart"/>
      <w:r>
        <w:rPr>
          <w:b/>
          <w:bCs/>
          <w:sz w:val="28"/>
          <w:szCs w:val="28"/>
        </w:rPr>
        <w:t>Partnerships</w:t>
      </w:r>
      <w:proofErr w:type="spellEnd"/>
    </w:p>
    <w:p w14:paraId="065E77A7" w14:textId="5201737B" w:rsidR="00CD0F6D" w:rsidRDefault="000F052C">
      <w:pPr>
        <w:spacing w:after="160"/>
      </w:pPr>
      <w:r>
        <w:rPr>
          <w:i/>
          <w:iCs/>
        </w:rPr>
        <w:t xml:space="preserve">GO-PEN ApS – Ole </w:t>
      </w:r>
      <w:r w:rsidR="000775C1">
        <w:rPr>
          <w:i/>
          <w:iCs/>
        </w:rPr>
        <w:t>Kjerkegaard Nielsen,</w:t>
      </w:r>
      <w:r>
        <w:rPr>
          <w:i/>
          <w:iCs/>
        </w:rPr>
        <w:t xml:space="preserve"> CEO</w:t>
      </w:r>
    </w:p>
    <w:p w14:paraId="71210134" w14:textId="78974FB3" w:rsidR="00CD0F6D" w:rsidRDefault="000775C1">
      <w:pPr>
        <w:spacing w:after="160"/>
      </w:pPr>
      <w:r>
        <w:rPr>
          <w:i/>
          <w:iCs/>
        </w:rPr>
        <w:t>Lyngby, den 11. juni 2026</w:t>
      </w:r>
    </w:p>
    <w:p w14:paraId="1A38294B" w14:textId="77777777" w:rsidR="00CD0F6D" w:rsidRDefault="000F052C">
      <w:pPr>
        <w:pStyle w:val="Heading1"/>
      </w:pPr>
      <w:r>
        <w:t>Indledning</w:t>
      </w:r>
    </w:p>
    <w:p w14:paraId="7794F065" w14:textId="77777777" w:rsidR="00CD0F6D" w:rsidRDefault="000F052C">
      <w:pPr>
        <w:spacing w:after="160"/>
      </w:pPr>
      <w:r>
        <w:t xml:space="preserve">GO-PEN ApS takker for muligheden for at kommentere på de nye erhvervsinstrumenter under Danida Business </w:t>
      </w:r>
      <w:proofErr w:type="spellStart"/>
      <w:r>
        <w:t>Initiative</w:t>
      </w:r>
      <w:proofErr w:type="spellEnd"/>
      <w:r>
        <w:t xml:space="preserve">. GO-PEN er en dansk </w:t>
      </w:r>
      <w:proofErr w:type="spellStart"/>
      <w:r>
        <w:t>medtech</w:t>
      </w:r>
      <w:proofErr w:type="spellEnd"/>
      <w:r>
        <w:t xml:space="preserve">-SMV, der kommercialiserer en genanvendelig, genopfyldelig </w:t>
      </w:r>
      <w:proofErr w:type="spellStart"/>
      <w:r>
        <w:t>insulinpen</w:t>
      </w:r>
      <w:proofErr w:type="spellEnd"/>
      <w:r>
        <w:t xml:space="preserve"> med CE-mærkning og FDA-</w:t>
      </w:r>
      <w:proofErr w:type="spellStart"/>
      <w:r>
        <w:t>clearance</w:t>
      </w:r>
      <w:proofErr w:type="spellEnd"/>
      <w:r>
        <w:t>, og som arb</w:t>
      </w:r>
      <w:r>
        <w:t xml:space="preserve">ejder aktivt i netop de markeder, instrumenterne retter sig mod – herunder Latinamerika, Afrika og Asien. Kommentaren bygger derfor på konkret operationel erfaring med at bringe medicinsk udstyr til lav- og </w:t>
      </w:r>
      <w:proofErr w:type="spellStart"/>
      <w:r>
        <w:t>mellemindkomstlande</w:t>
      </w:r>
      <w:proofErr w:type="spellEnd"/>
      <w:r>
        <w:t>.</w:t>
      </w:r>
    </w:p>
    <w:p w14:paraId="27D73DD7" w14:textId="77777777" w:rsidR="00CD0F6D" w:rsidRDefault="000F052C">
      <w:pPr>
        <w:spacing w:after="160"/>
      </w:pPr>
      <w:r>
        <w:t>Vi støtter overordnet initia</w:t>
      </w:r>
      <w:r>
        <w:t xml:space="preserve">tivets ambition og deler Dansk Erhvervs positive vurdering af især E3. Nedenfor fire punkter, hvor instrumenterne efter vores vurdering bør skærpes for at virke i praksis – særligt for </w:t>
      </w:r>
      <w:proofErr w:type="spellStart"/>
      <w:r>
        <w:t>life</w:t>
      </w:r>
      <w:proofErr w:type="spellEnd"/>
      <w:r>
        <w:t xml:space="preserve"> science og medicinsk udstyr.</w:t>
      </w:r>
    </w:p>
    <w:p w14:paraId="076C3135" w14:textId="77777777" w:rsidR="00CD0F6D" w:rsidRDefault="000F052C">
      <w:pPr>
        <w:pStyle w:val="Heading1"/>
      </w:pPr>
      <w:r>
        <w:t>1. Løsninger til Syd er ikke de samme</w:t>
      </w:r>
      <w:r>
        <w:t xml:space="preserve"> som løsninger til Nord</w:t>
      </w:r>
    </w:p>
    <w:p w14:paraId="5CA87866" w14:textId="77777777" w:rsidR="00CD0F6D" w:rsidRDefault="000F052C">
      <w:pPr>
        <w:spacing w:after="160"/>
      </w:pPr>
      <w:r>
        <w:t>Den klassiske innovationsmodel er, at der udvikles dyre løsninger til de rige markeder, hvorefter de fattigste får adgang, når patentet udløber. Den model fungerer rimeligt for lægemidler, hvor generika sikrer adgang. Den fungerer i</w:t>
      </w:r>
      <w:r>
        <w:t xml:space="preserve">kke for medicinsk udstyr og kombinationer af lægemiddel og </w:t>
      </w:r>
      <w:proofErr w:type="spellStart"/>
      <w:r>
        <w:t>device</w:t>
      </w:r>
      <w:proofErr w:type="spellEnd"/>
      <w:r>
        <w:t>.</w:t>
      </w:r>
    </w:p>
    <w:p w14:paraId="461FB918" w14:textId="77777777" w:rsidR="00CD0F6D" w:rsidRDefault="000F052C">
      <w:pPr>
        <w:spacing w:after="160"/>
      </w:pPr>
      <w:r>
        <w:t xml:space="preserve">I praksis får de fattigste kun medicinen – ikke de tilhørende </w:t>
      </w:r>
      <w:proofErr w:type="spellStart"/>
      <w:r>
        <w:t>devices</w:t>
      </w:r>
      <w:proofErr w:type="spellEnd"/>
      <w:r>
        <w:t>, der gør behandlingen sikker og effektiv. Diabetes er et tydeligt eksempel: Når insulin gøres tilgængeligt i lavindkoms</w:t>
      </w:r>
      <w:r>
        <w:t xml:space="preserve">tlande, sker det typisk som hætteglas og sprøjter – ikke som penne – selvom pennen er den største innovation inden for insulin </w:t>
      </w:r>
      <w:proofErr w:type="spellStart"/>
      <w:r>
        <w:t>delivery</w:t>
      </w:r>
      <w:proofErr w:type="spellEnd"/>
      <w:r>
        <w:t xml:space="preserve"> i de seneste 50 år.</w:t>
      </w:r>
    </w:p>
    <w:p w14:paraId="4A0CB7F7" w14:textId="77777777" w:rsidR="00CD0F6D" w:rsidRDefault="000F052C">
      <w:pPr>
        <w:pStyle w:val="ListParagraph"/>
        <w:numPr>
          <w:ilvl w:val="0"/>
          <w:numId w:val="2"/>
        </w:numPr>
        <w:spacing w:after="100"/>
      </w:pPr>
      <w:r>
        <w:t>Anbefaling: Instrumenterne bør eksplicit anerkende, at udviklingseffekt inden for sundhed kræver løs</w:t>
      </w:r>
      <w:r>
        <w:t>ninger designet til Syd (fit-for-purpose/frugal innovation) – ikke blot overførsel af nordlige produkter eller afventning af patentudløb.</w:t>
      </w:r>
    </w:p>
    <w:p w14:paraId="64FA6E4C" w14:textId="77777777" w:rsidR="00CD0F6D" w:rsidRDefault="000F052C">
      <w:pPr>
        <w:pStyle w:val="ListParagraph"/>
        <w:numPr>
          <w:ilvl w:val="0"/>
          <w:numId w:val="2"/>
        </w:numPr>
        <w:spacing w:after="100"/>
      </w:pPr>
      <w:r>
        <w:t>Anbefaling: E3’s fokus på “teknologioverførsel” bør omfatte tilpasning og udvikling af produkter til lokale behov, pri</w:t>
      </w:r>
      <w:r>
        <w:t>sniveauer og sundhedssystemer – og resultatrammen bør kunne måle adgang (</w:t>
      </w:r>
      <w:proofErr w:type="spellStart"/>
      <w:r>
        <w:t>access</w:t>
      </w:r>
      <w:proofErr w:type="spellEnd"/>
      <w:r>
        <w:t>), ikke kun handel og jobskabelse.</w:t>
      </w:r>
    </w:p>
    <w:p w14:paraId="76664534" w14:textId="77777777" w:rsidR="00CD0F6D" w:rsidRDefault="000F052C">
      <w:pPr>
        <w:pStyle w:val="Heading1"/>
      </w:pPr>
      <w:r>
        <w:t>2. Acceleratorer står og falder med menneskene</w:t>
      </w:r>
    </w:p>
    <w:p w14:paraId="4C79D5CC" w14:textId="77777777" w:rsidR="00CD0F6D" w:rsidRDefault="000F052C">
      <w:pPr>
        <w:spacing w:after="160"/>
      </w:pPr>
      <w:r>
        <w:t>En accelerator skaber kun værdi, hvis den drives af virkeligt dygtige folk. Det skal være high-</w:t>
      </w:r>
      <w:proofErr w:type="spellStart"/>
      <w:r>
        <w:t>level</w:t>
      </w:r>
      <w:proofErr w:type="spellEnd"/>
      <w:r>
        <w:t xml:space="preserve"> personer med reel operativ erfaring fra de relevante markeder og sektorer – og afgørende: med tid og lyst til at sparre med virksomhederne. Administration og sagsbehandling er ikke acceleration.</w:t>
      </w:r>
    </w:p>
    <w:p w14:paraId="790BE153" w14:textId="77777777" w:rsidR="00CD0F6D" w:rsidRDefault="000F052C">
      <w:pPr>
        <w:pStyle w:val="ListParagraph"/>
        <w:numPr>
          <w:ilvl w:val="0"/>
          <w:numId w:val="2"/>
        </w:numPr>
        <w:spacing w:after="100"/>
      </w:pPr>
      <w:r>
        <w:t xml:space="preserve">Anbefaling: Der bør stilles eksplicitte krav til </w:t>
      </w:r>
      <w:proofErr w:type="spellStart"/>
      <w:r>
        <w:t>IFDK’s</w:t>
      </w:r>
      <w:proofErr w:type="spellEnd"/>
      <w:r>
        <w:t xml:space="preserve"> partnerskabs-</w:t>
      </w:r>
      <w:proofErr w:type="spellStart"/>
      <w:r>
        <w:t>workstream</w:t>
      </w:r>
      <w:proofErr w:type="spellEnd"/>
      <w:r>
        <w:t xml:space="preserve"> om seniorprofiler (f.eks. tidligere CEO’er, investorer og markedseksperter) med dedikeret sparringstid pr. porteføljevirksomhed.</w:t>
      </w:r>
    </w:p>
    <w:p w14:paraId="57D034C5" w14:textId="77777777" w:rsidR="00CD0F6D" w:rsidRDefault="000F052C">
      <w:pPr>
        <w:pStyle w:val="ListParagraph"/>
        <w:numPr>
          <w:ilvl w:val="0"/>
          <w:numId w:val="2"/>
        </w:numPr>
        <w:spacing w:after="100"/>
      </w:pPr>
      <w:r>
        <w:t xml:space="preserve">Anbefaling: </w:t>
      </w:r>
      <w:proofErr w:type="spellStart"/>
      <w:r>
        <w:t>Advisory</w:t>
      </w:r>
      <w:proofErr w:type="spellEnd"/>
      <w:r>
        <w:t xml:space="preserve"> Board bør – ud over erhvervsorganisationer, som Dansk Erhverv foreslår – inkluder</w:t>
      </w:r>
      <w:r>
        <w:t>e aktive virksomhedsledere med førstehåndserfaring fra EMDE-markeder.</w:t>
      </w:r>
    </w:p>
    <w:p w14:paraId="698560ED" w14:textId="77777777" w:rsidR="00CD0F6D" w:rsidRDefault="000F052C">
      <w:pPr>
        <w:pStyle w:val="Heading1"/>
      </w:pPr>
      <w:r>
        <w:t xml:space="preserve">3. Adgang til investorer og </w:t>
      </w:r>
      <w:proofErr w:type="spellStart"/>
      <w:r>
        <w:t>family</w:t>
      </w:r>
      <w:proofErr w:type="spellEnd"/>
      <w:r>
        <w:t xml:space="preserve"> </w:t>
      </w:r>
      <w:proofErr w:type="spellStart"/>
      <w:r>
        <w:t>offices</w:t>
      </w:r>
      <w:proofErr w:type="spellEnd"/>
      <w:r>
        <w:t xml:space="preserve"> skal gøres reel</w:t>
      </w:r>
    </w:p>
    <w:p w14:paraId="3CE44B80" w14:textId="77777777" w:rsidR="00CD0F6D" w:rsidRDefault="000F052C">
      <w:pPr>
        <w:spacing w:after="160"/>
      </w:pPr>
      <w:r>
        <w:lastRenderedPageBreak/>
        <w:t xml:space="preserve">For SMV’er er det i dag meget svært at få adgang til </w:t>
      </w:r>
      <w:proofErr w:type="spellStart"/>
      <w:r>
        <w:t>family</w:t>
      </w:r>
      <w:proofErr w:type="spellEnd"/>
      <w:r>
        <w:t xml:space="preserve"> </w:t>
      </w:r>
      <w:proofErr w:type="spellStart"/>
      <w:r>
        <w:t>offices</w:t>
      </w:r>
      <w:proofErr w:type="spellEnd"/>
      <w:r>
        <w:t xml:space="preserve">, fonde og </w:t>
      </w:r>
      <w:proofErr w:type="spellStart"/>
      <w:r>
        <w:t>impact</w:t>
      </w:r>
      <w:proofErr w:type="spellEnd"/>
      <w:r>
        <w:t>-investorer – de er svære at identificere o</w:t>
      </w:r>
      <w:r>
        <w:t>g endnu sværere at få i tale. E5 mobiliserer netop denne kapital, men der mangler en tydelig kanal, hvor virksomhederne får direkte adgang til investorerne.</w:t>
      </w:r>
    </w:p>
    <w:p w14:paraId="1D313A74" w14:textId="77777777" w:rsidR="00CD0F6D" w:rsidRDefault="000F052C">
      <w:pPr>
        <w:pStyle w:val="ListParagraph"/>
        <w:numPr>
          <w:ilvl w:val="0"/>
          <w:numId w:val="2"/>
        </w:numPr>
        <w:spacing w:after="100"/>
      </w:pPr>
      <w:r>
        <w:t xml:space="preserve">Anbefaling: E5 bør indeholde en struktureret </w:t>
      </w:r>
      <w:proofErr w:type="spellStart"/>
      <w:r>
        <w:t>matchmaking</w:t>
      </w:r>
      <w:proofErr w:type="spellEnd"/>
      <w:r>
        <w:t xml:space="preserve">-funktion, hvor kvalificerede virksomheder </w:t>
      </w:r>
      <w:r>
        <w:t xml:space="preserve">(herunder E3-porteføljen) får </w:t>
      </w:r>
      <w:proofErr w:type="spellStart"/>
      <w:r>
        <w:t>kuraterede</w:t>
      </w:r>
      <w:proofErr w:type="spellEnd"/>
      <w:r>
        <w:t xml:space="preserve"> møder med de deltagende kapitaler – ikke kun “økosystem-events” og netværksarrangementer.</w:t>
      </w:r>
    </w:p>
    <w:p w14:paraId="049C3C86" w14:textId="77777777" w:rsidR="00CD0F6D" w:rsidRDefault="000F052C">
      <w:pPr>
        <w:pStyle w:val="ListParagraph"/>
        <w:numPr>
          <w:ilvl w:val="0"/>
          <w:numId w:val="2"/>
        </w:numPr>
        <w:spacing w:after="100"/>
      </w:pPr>
      <w:r>
        <w:t xml:space="preserve">Anbefaling: Sammenhængen mellem E3 og E5 bør gøres operationel: E3-virksomheder med dokumenteret </w:t>
      </w:r>
      <w:proofErr w:type="spellStart"/>
      <w:r>
        <w:t>traction</w:t>
      </w:r>
      <w:proofErr w:type="spellEnd"/>
      <w:r>
        <w:t xml:space="preserve"> bør have en definer</w:t>
      </w:r>
      <w:r>
        <w:t>et vej til E5-investorerne.</w:t>
      </w:r>
    </w:p>
    <w:p w14:paraId="78CAA5FC" w14:textId="77777777" w:rsidR="00CD0F6D" w:rsidRDefault="000F052C">
      <w:pPr>
        <w:pStyle w:val="Heading1"/>
      </w:pPr>
      <w:r>
        <w:t>4. Lokale investeringer og produktion: sekvensen er afgørende</w:t>
      </w:r>
    </w:p>
    <w:p w14:paraId="114EB56D" w14:textId="77777777" w:rsidR="00CD0F6D" w:rsidRDefault="000F052C">
      <w:pPr>
        <w:spacing w:after="160"/>
      </w:pPr>
      <w:r>
        <w:t>Lokale investeringer er rigtige og vigtige – men for medicinsk udstyr er det ikke simpelt. Produktion kan ikke flyttes uden den tilhørende regulatoriske pakke: kvalit</w:t>
      </w:r>
      <w:r>
        <w:t>etsstyringssystem, site-registreringer, godkendelser og løbende audits følger med produktionsstedet. Lokal produktion fra dag ét er derfor urealistisk for små virksomheder.</w:t>
      </w:r>
    </w:p>
    <w:p w14:paraId="1392DA43" w14:textId="77777777" w:rsidR="00CD0F6D" w:rsidRDefault="000F052C">
      <w:pPr>
        <w:spacing w:after="160"/>
      </w:pPr>
      <w:r>
        <w:t xml:space="preserve">Den realistiske sekvens er: først handel og distribution, dernæst – når volumen og </w:t>
      </w:r>
      <w:r>
        <w:t>marked er dokumenteret – etablering af og investering i lokal produktion. Alle markeder ønsker produktion (jf. Kinas opstigning via netop denne vej), men byrden ved at løfte det må ikke lægges på SMV’erne for tidligt.</w:t>
      </w:r>
    </w:p>
    <w:p w14:paraId="03CBF0A5" w14:textId="77777777" w:rsidR="00CD0F6D" w:rsidRDefault="000F052C">
      <w:pPr>
        <w:pStyle w:val="ListParagraph"/>
        <w:numPr>
          <w:ilvl w:val="0"/>
          <w:numId w:val="2"/>
        </w:numPr>
        <w:spacing w:after="100"/>
      </w:pPr>
      <w:r>
        <w:t>Anbefaling: Instrumenterne bør ikke be</w:t>
      </w:r>
      <w:r>
        <w:t>tinge støtte af tidlig lokal produktion. Handelsbaserede partnerskaber bør anerkendes som første trin i en lokaliseringsrejse.</w:t>
      </w:r>
    </w:p>
    <w:p w14:paraId="41DB952D" w14:textId="77777777" w:rsidR="00CD0F6D" w:rsidRDefault="000F052C">
      <w:pPr>
        <w:pStyle w:val="ListParagraph"/>
        <w:numPr>
          <w:ilvl w:val="0"/>
          <w:numId w:val="2"/>
        </w:numPr>
        <w:spacing w:after="100"/>
      </w:pPr>
      <w:r>
        <w:t>Anbefaling: Når lokal produktion bliver relevant, bør facilitetens finansiering kunne dække den regulatoriske pakke (QMS, registr</w:t>
      </w:r>
      <w:r>
        <w:t>eringer, træning), som er en reel og ofte overset investeringsomkostning.</w:t>
      </w:r>
    </w:p>
    <w:p w14:paraId="1FF6B1C5" w14:textId="77777777" w:rsidR="00CD0F6D" w:rsidRDefault="000F052C">
      <w:pPr>
        <w:pStyle w:val="Heading1"/>
      </w:pPr>
      <w:r>
        <w:t>Konklusion</w:t>
      </w:r>
    </w:p>
    <w:p w14:paraId="560EA4E9" w14:textId="77777777" w:rsidR="00CD0F6D" w:rsidRDefault="000F052C">
      <w:pPr>
        <w:spacing w:after="160"/>
      </w:pPr>
      <w:r>
        <w:t xml:space="preserve">GO-PEN støtter Danida Business </w:t>
      </w:r>
      <w:proofErr w:type="spellStart"/>
      <w:r>
        <w:t>Initiative</w:t>
      </w:r>
      <w:proofErr w:type="spellEnd"/>
      <w:r>
        <w:t xml:space="preserve"> og ser især E3 som et potentielt vigtigt instrument for danske SMV’er i vækstmarkederne. For at instrumenterne får reel effekt in</w:t>
      </w:r>
      <w:r>
        <w:t>den for sundhed og medicinsk udstyr anbefaler vi sammenfattende:</w:t>
      </w:r>
    </w:p>
    <w:p w14:paraId="0AD97064" w14:textId="77777777" w:rsidR="00CD0F6D" w:rsidRDefault="000F052C">
      <w:pPr>
        <w:pStyle w:val="ListParagraph"/>
        <w:numPr>
          <w:ilvl w:val="0"/>
          <w:numId w:val="2"/>
        </w:numPr>
        <w:spacing w:after="100"/>
      </w:pPr>
      <w:r>
        <w:t xml:space="preserve">Anerkend, at adgang i Syd kræver løsninger designet til Syd – </w:t>
      </w:r>
      <w:proofErr w:type="spellStart"/>
      <w:r>
        <w:t>trickle-down</w:t>
      </w:r>
      <w:proofErr w:type="spellEnd"/>
      <w:r>
        <w:t xml:space="preserve"> via patentudløb virker for medicin, ikke for </w:t>
      </w:r>
      <w:proofErr w:type="spellStart"/>
      <w:r>
        <w:t>devices</w:t>
      </w:r>
      <w:proofErr w:type="spellEnd"/>
      <w:r>
        <w:t>.</w:t>
      </w:r>
    </w:p>
    <w:p w14:paraId="52B95577" w14:textId="77777777" w:rsidR="00CD0F6D" w:rsidRDefault="000F052C">
      <w:pPr>
        <w:pStyle w:val="ListParagraph"/>
        <w:numPr>
          <w:ilvl w:val="0"/>
          <w:numId w:val="2"/>
        </w:numPr>
        <w:spacing w:after="100"/>
      </w:pPr>
      <w:r>
        <w:t xml:space="preserve">Bemand acceleratoren med seniorprofiler, der har </w:t>
      </w:r>
      <w:r>
        <w:t>operativ erfaring samt tid og lyst til reel sparring.</w:t>
      </w:r>
    </w:p>
    <w:p w14:paraId="2B10855B" w14:textId="77777777" w:rsidR="00CD0F6D" w:rsidRDefault="000F052C">
      <w:pPr>
        <w:pStyle w:val="ListParagraph"/>
        <w:numPr>
          <w:ilvl w:val="0"/>
          <w:numId w:val="2"/>
        </w:numPr>
        <w:spacing w:after="100"/>
      </w:pPr>
      <w:r>
        <w:t xml:space="preserve">Skab struktureret, </w:t>
      </w:r>
      <w:proofErr w:type="spellStart"/>
      <w:r>
        <w:t>kurateret</w:t>
      </w:r>
      <w:proofErr w:type="spellEnd"/>
      <w:r>
        <w:t xml:space="preserve"> adgang for virksomheder til </w:t>
      </w:r>
      <w:proofErr w:type="spellStart"/>
      <w:r>
        <w:t>family</w:t>
      </w:r>
      <w:proofErr w:type="spellEnd"/>
      <w:r>
        <w:t xml:space="preserve"> </w:t>
      </w:r>
      <w:proofErr w:type="spellStart"/>
      <w:r>
        <w:t>offices</w:t>
      </w:r>
      <w:proofErr w:type="spellEnd"/>
      <w:r>
        <w:t xml:space="preserve"> og </w:t>
      </w:r>
      <w:proofErr w:type="spellStart"/>
      <w:r>
        <w:t>impact</w:t>
      </w:r>
      <w:proofErr w:type="spellEnd"/>
      <w:r>
        <w:t>-investorer under E5.</w:t>
      </w:r>
    </w:p>
    <w:p w14:paraId="33D8C6B5" w14:textId="77777777" w:rsidR="00CD0F6D" w:rsidRDefault="000F052C">
      <w:pPr>
        <w:pStyle w:val="ListParagraph"/>
        <w:numPr>
          <w:ilvl w:val="0"/>
          <w:numId w:val="2"/>
        </w:numPr>
        <w:spacing w:after="100"/>
      </w:pPr>
      <w:r>
        <w:t>Respektér sekvensen handel først, lokal produktion siden – og finansiér den regulatoriske pakke, nå</w:t>
      </w:r>
      <w:r>
        <w:t>r lokalisering bliver aktuel.</w:t>
      </w:r>
    </w:p>
    <w:p w14:paraId="1E4BCEA5" w14:textId="77777777" w:rsidR="00CD0F6D" w:rsidRDefault="000F052C">
      <w:pPr>
        <w:spacing w:after="160"/>
      </w:pPr>
      <w:r>
        <w:t>Vi står gerne til rådighed for uddybning, herunder med konkrete cases fra vores arbejde i Mexico, Indien og øvrige EMDE-markeder.</w:t>
      </w:r>
    </w:p>
    <w:sectPr w:rsidR="00CD0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BB4"/>
    <w:multiLevelType w:val="hybridMultilevel"/>
    <w:tmpl w:val="0F34BFAC"/>
    <w:lvl w:ilvl="0" w:tplc="9BCA073C">
      <w:start w:val="1"/>
      <w:numFmt w:val="bullet"/>
      <w:lvlText w:val="●"/>
      <w:lvlJc w:val="left"/>
      <w:pPr>
        <w:ind w:left="720" w:hanging="360"/>
      </w:pPr>
    </w:lvl>
    <w:lvl w:ilvl="1" w:tplc="ED069412">
      <w:start w:val="1"/>
      <w:numFmt w:val="bullet"/>
      <w:lvlText w:val="○"/>
      <w:lvlJc w:val="left"/>
      <w:pPr>
        <w:ind w:left="1440" w:hanging="360"/>
      </w:pPr>
    </w:lvl>
    <w:lvl w:ilvl="2" w:tplc="EC3EAA6A">
      <w:start w:val="1"/>
      <w:numFmt w:val="bullet"/>
      <w:lvlText w:val="■"/>
      <w:lvlJc w:val="left"/>
      <w:pPr>
        <w:ind w:left="2160" w:hanging="360"/>
      </w:pPr>
    </w:lvl>
    <w:lvl w:ilvl="3" w:tplc="2C54DAD2">
      <w:start w:val="1"/>
      <w:numFmt w:val="bullet"/>
      <w:lvlText w:val="●"/>
      <w:lvlJc w:val="left"/>
      <w:pPr>
        <w:ind w:left="2880" w:hanging="360"/>
      </w:pPr>
    </w:lvl>
    <w:lvl w:ilvl="4" w:tplc="43881026">
      <w:start w:val="1"/>
      <w:numFmt w:val="bullet"/>
      <w:lvlText w:val="○"/>
      <w:lvlJc w:val="left"/>
      <w:pPr>
        <w:ind w:left="3600" w:hanging="360"/>
      </w:pPr>
    </w:lvl>
    <w:lvl w:ilvl="5" w:tplc="EF94A7FC">
      <w:start w:val="1"/>
      <w:numFmt w:val="bullet"/>
      <w:lvlText w:val="■"/>
      <w:lvlJc w:val="left"/>
      <w:pPr>
        <w:ind w:left="4320" w:hanging="360"/>
      </w:pPr>
    </w:lvl>
    <w:lvl w:ilvl="6" w:tplc="17C40A2E">
      <w:start w:val="1"/>
      <w:numFmt w:val="bullet"/>
      <w:lvlText w:val="●"/>
      <w:lvlJc w:val="left"/>
      <w:pPr>
        <w:ind w:left="5040" w:hanging="360"/>
      </w:pPr>
    </w:lvl>
    <w:lvl w:ilvl="7" w:tplc="08BEC008">
      <w:start w:val="1"/>
      <w:numFmt w:val="bullet"/>
      <w:lvlText w:val="●"/>
      <w:lvlJc w:val="left"/>
      <w:pPr>
        <w:ind w:left="5760" w:hanging="360"/>
      </w:pPr>
    </w:lvl>
    <w:lvl w:ilvl="8" w:tplc="754657E0">
      <w:start w:val="1"/>
      <w:numFmt w:val="bullet"/>
      <w:lvlText w:val="●"/>
      <w:lvlJc w:val="left"/>
      <w:pPr>
        <w:ind w:left="6480" w:hanging="360"/>
      </w:pPr>
    </w:lvl>
  </w:abstractNum>
  <w:abstractNum w:abstractNumId="1" w15:restartNumberingAfterBreak="0">
    <w:nsid w:val="73DE657E"/>
    <w:multiLevelType w:val="hybridMultilevel"/>
    <w:tmpl w:val="D53E5E80"/>
    <w:lvl w:ilvl="0" w:tplc="BD6EAA7A">
      <w:start w:val="1"/>
      <w:numFmt w:val="bullet"/>
      <w:lvlText w:val="•"/>
      <w:lvlJc w:val="left"/>
      <w:pPr>
        <w:ind w:left="720" w:hanging="360"/>
      </w:pPr>
    </w:lvl>
    <w:lvl w:ilvl="1" w:tplc="B38ECA26">
      <w:numFmt w:val="decimal"/>
      <w:lvlText w:val=""/>
      <w:lvlJc w:val="left"/>
    </w:lvl>
    <w:lvl w:ilvl="2" w:tplc="87D68DF0">
      <w:numFmt w:val="decimal"/>
      <w:lvlText w:val=""/>
      <w:lvlJc w:val="left"/>
    </w:lvl>
    <w:lvl w:ilvl="3" w:tplc="A516B7E0">
      <w:numFmt w:val="decimal"/>
      <w:lvlText w:val=""/>
      <w:lvlJc w:val="left"/>
    </w:lvl>
    <w:lvl w:ilvl="4" w:tplc="7D2EAA82">
      <w:numFmt w:val="decimal"/>
      <w:lvlText w:val=""/>
      <w:lvlJc w:val="left"/>
    </w:lvl>
    <w:lvl w:ilvl="5" w:tplc="EF1A6930">
      <w:numFmt w:val="decimal"/>
      <w:lvlText w:val=""/>
      <w:lvlJc w:val="left"/>
    </w:lvl>
    <w:lvl w:ilvl="6" w:tplc="BF2ED7E2">
      <w:numFmt w:val="decimal"/>
      <w:lvlText w:val=""/>
      <w:lvlJc w:val="left"/>
    </w:lvl>
    <w:lvl w:ilvl="7" w:tplc="8A1CBF6C">
      <w:numFmt w:val="decimal"/>
      <w:lvlText w:val=""/>
      <w:lvlJc w:val="left"/>
    </w:lvl>
    <w:lvl w:ilvl="8" w:tplc="13FACAC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6D"/>
    <w:rsid w:val="00015117"/>
    <w:rsid w:val="000775C1"/>
    <w:rsid w:val="000F052C"/>
    <w:rsid w:val="00CB4549"/>
    <w:rsid w:val="00CD0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63FE"/>
  <w15:docId w15:val="{10556763-06BF-0E46-B022-99D29C82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sz w:val="30"/>
      <w:szCs w:val="30"/>
    </w:rPr>
  </w:style>
  <w:style w:type="paragraph" w:styleId="Heading2">
    <w:name w:val="heading 2"/>
    <w:uiPriority w:val="9"/>
    <w:semiHidden/>
    <w:unhideWhenUsed/>
    <w:qFormat/>
    <w:pPr>
      <w:spacing w:before="220" w:after="160"/>
      <w:outlineLvl w:val="1"/>
    </w:pPr>
    <w:rPr>
      <w:b/>
      <w:bCs/>
      <w:sz w:val="25"/>
      <w:szCs w:val="2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k1">
    <w:name w:val="Stærk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4657</Characters>
  <Application>Microsoft Office Word</Application>
  <DocSecurity>0</DocSecurity>
  <Lines>38</Lines>
  <Paragraphs>10</Paragraphs>
  <ScaleCrop>false</ScaleCrop>
  <Company>GO-Pen ApS</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Lotte Blom Salmonsen</cp:lastModifiedBy>
  <cp:revision>2</cp:revision>
  <dcterms:created xsi:type="dcterms:W3CDTF">2026-06-11T10:25:00Z</dcterms:created>
  <dcterms:modified xsi:type="dcterms:W3CDTF">2026-06-11T10:25:00Z</dcterms:modified>
</cp:coreProperties>
</file>