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BC19" w14:textId="32958532" w:rsidR="00D83EF6" w:rsidRPr="00D83EF6" w:rsidRDefault="00D83EF6" w:rsidP="00E5715F">
      <w:pPr>
        <w:pStyle w:val="Heading2"/>
      </w:pPr>
      <w:r w:rsidRPr="00D83EF6">
        <w:rPr>
          <w:rStyle w:val="Heading2Char"/>
          <w:b/>
          <w:bCs/>
        </w:rPr>
        <w:t>Model for cost categories for NGO grants</w:t>
      </w:r>
    </w:p>
    <w:tbl>
      <w:tblPr>
        <w:tblStyle w:val="TableGrid"/>
        <w:tblpPr w:leftFromText="141" w:rightFromText="141" w:vertAnchor="text" w:tblpX="-147" w:tblpY="1"/>
        <w:tblOverlap w:val="never"/>
        <w:tblW w:w="5000" w:type="pct"/>
        <w:tblLook w:val="04A0" w:firstRow="1" w:lastRow="0" w:firstColumn="1" w:lastColumn="0" w:noHBand="0" w:noVBand="1"/>
      </w:tblPr>
      <w:tblGrid>
        <w:gridCol w:w="1149"/>
        <w:gridCol w:w="1722"/>
        <w:gridCol w:w="2448"/>
        <w:gridCol w:w="9241"/>
      </w:tblGrid>
      <w:tr w:rsidR="00D83152" w:rsidRPr="004F359E" w14:paraId="06C3CB58" w14:textId="77777777" w:rsidTr="00D83EF6">
        <w:trPr>
          <w:cantSplit/>
          <w:tblHeader/>
        </w:trPr>
        <w:tc>
          <w:tcPr>
            <w:tcW w:w="399" w:type="pct"/>
            <w:shd w:val="clear" w:color="auto" w:fill="D9D9D9" w:themeFill="background1" w:themeFillShade="D9"/>
          </w:tcPr>
          <w:p w14:paraId="397D2B77" w14:textId="2A7227A3"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Cost category</w:t>
            </w:r>
          </w:p>
        </w:tc>
        <w:tc>
          <w:tcPr>
            <w:tcW w:w="578" w:type="pct"/>
            <w:shd w:val="clear" w:color="auto" w:fill="D9D9D9" w:themeFill="background1" w:themeFillShade="D9"/>
          </w:tcPr>
          <w:p w14:paraId="11F94B00" w14:textId="1FB11132"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Cost </w:t>
            </w:r>
            <w:r w:rsidR="00761621">
              <w:rPr>
                <w:rFonts w:ascii="Garamond" w:hAnsi="Garamond"/>
                <w:b/>
                <w:sz w:val="22"/>
                <w:szCs w:val="22"/>
                <w:lang w:val="en-GB"/>
              </w:rPr>
              <w:br/>
            </w:r>
            <w:r w:rsidRPr="005631E1">
              <w:rPr>
                <w:rFonts w:ascii="Garamond" w:hAnsi="Garamond"/>
                <w:b/>
                <w:sz w:val="22"/>
                <w:szCs w:val="22"/>
                <w:lang w:val="en-GB"/>
              </w:rPr>
              <w:t>sub-category</w:t>
            </w:r>
          </w:p>
        </w:tc>
        <w:tc>
          <w:tcPr>
            <w:tcW w:w="845" w:type="pct"/>
            <w:shd w:val="clear" w:color="auto" w:fill="D9D9D9" w:themeFill="background1" w:themeFillShade="D9"/>
          </w:tcPr>
          <w:p w14:paraId="23BEFF84"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Suggested budget specification</w:t>
            </w:r>
          </w:p>
        </w:tc>
        <w:tc>
          <w:tcPr>
            <w:tcW w:w="3178" w:type="pct"/>
            <w:shd w:val="clear" w:color="auto" w:fill="D9D9D9" w:themeFill="background1" w:themeFillShade="D9"/>
          </w:tcPr>
          <w:p w14:paraId="715D2D7D"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Ceilings and principles applied (including examples of typical cost areas/functions)</w:t>
            </w:r>
          </w:p>
          <w:p w14:paraId="1EA6F9A4" w14:textId="77777777" w:rsidR="00D83152" w:rsidRPr="005631E1" w:rsidRDefault="00D83152" w:rsidP="00A248AB">
            <w:pPr>
              <w:rPr>
                <w:rFonts w:ascii="Garamond" w:hAnsi="Garamond"/>
                <w:b/>
                <w:sz w:val="22"/>
                <w:szCs w:val="22"/>
                <w:lang w:val="en-GB"/>
              </w:rPr>
            </w:pPr>
          </w:p>
        </w:tc>
      </w:tr>
      <w:tr w:rsidR="00D83152" w:rsidRPr="004F359E" w14:paraId="71E0D262" w14:textId="77777777" w:rsidTr="00D83EF6">
        <w:trPr>
          <w:cantSplit/>
        </w:trPr>
        <w:tc>
          <w:tcPr>
            <w:tcW w:w="5000" w:type="pct"/>
            <w:gridSpan w:val="4"/>
            <w:shd w:val="clear" w:color="auto" w:fill="D6E3BC" w:themeFill="accent3" w:themeFillTint="66"/>
            <w:vAlign w:val="center"/>
          </w:tcPr>
          <w:p w14:paraId="205C9C61"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DIRECT COSTS</w:t>
            </w:r>
            <w:r w:rsidRPr="00761621">
              <w:rPr>
                <w:rFonts w:ascii="Garamond" w:hAnsi="Garamond"/>
                <w:sz w:val="22"/>
                <w:szCs w:val="22"/>
                <w:lang w:val="en-GB"/>
              </w:rPr>
              <w:t xml:space="preserve"> are the costs of all necessary and reasonable inputs associated with functions, which are directly necessary to deliver a programme or project.</w:t>
            </w:r>
          </w:p>
          <w:p w14:paraId="1BE7EB90" w14:textId="77777777" w:rsidR="00D83152" w:rsidRPr="00761621" w:rsidRDefault="00D83152" w:rsidP="00761621">
            <w:pPr>
              <w:rPr>
                <w:rFonts w:ascii="Garamond" w:hAnsi="Garamond"/>
                <w:sz w:val="22"/>
                <w:szCs w:val="22"/>
                <w:lang w:val="en-GB"/>
              </w:rPr>
            </w:pPr>
            <w:r w:rsidRPr="00761621">
              <w:rPr>
                <w:rFonts w:ascii="Garamond" w:hAnsi="Garamond"/>
                <w:sz w:val="22"/>
                <w:szCs w:val="22"/>
                <w:lang w:val="en-GB"/>
              </w:rPr>
              <w:t>DIRECT COSTS (as defined by the Money Where It Counts protocol) includes the following cost functions:</w:t>
            </w:r>
          </w:p>
          <w:p w14:paraId="2B44C13D" w14:textId="77777777" w:rsidR="00D83152" w:rsidRPr="005631E1" w:rsidRDefault="00D83152" w:rsidP="00D83152">
            <w:pPr>
              <w:pStyle w:val="ListParagraph"/>
              <w:numPr>
                <w:ilvl w:val="0"/>
                <w:numId w:val="23"/>
              </w:numPr>
              <w:rPr>
                <w:rFonts w:ascii="Garamond" w:hAnsi="Garamond"/>
                <w:sz w:val="22"/>
                <w:szCs w:val="22"/>
                <w:lang w:val="en-GB"/>
              </w:rPr>
            </w:pPr>
            <w:r w:rsidRPr="005631E1">
              <w:rPr>
                <w:rFonts w:ascii="Garamond" w:hAnsi="Garamond"/>
                <w:sz w:val="22"/>
                <w:szCs w:val="22"/>
                <w:lang w:val="en-GB"/>
              </w:rPr>
              <w:t>Programme/project and grant management, technical delivery, quality control functions.</w:t>
            </w:r>
          </w:p>
          <w:p w14:paraId="07B61768" w14:textId="77777777" w:rsidR="00D83152" w:rsidRPr="005631E1" w:rsidRDefault="00D83152" w:rsidP="00D83152">
            <w:pPr>
              <w:pStyle w:val="ListParagraph"/>
              <w:numPr>
                <w:ilvl w:val="0"/>
                <w:numId w:val="23"/>
              </w:numPr>
              <w:rPr>
                <w:rFonts w:ascii="Garamond" w:hAnsi="Garamond"/>
                <w:sz w:val="22"/>
                <w:szCs w:val="22"/>
                <w:lang w:val="en-GB"/>
              </w:rPr>
            </w:pPr>
            <w:r w:rsidRPr="005631E1">
              <w:rPr>
                <w:rFonts w:ascii="Garamond" w:hAnsi="Garamond"/>
                <w:sz w:val="22"/>
                <w:szCs w:val="22"/>
                <w:lang w:val="en-GB"/>
              </w:rPr>
              <w:t>Visibility and communications.</w:t>
            </w:r>
          </w:p>
          <w:p w14:paraId="6FACA6E0" w14:textId="77777777" w:rsidR="00D83152" w:rsidRPr="005631E1" w:rsidRDefault="00D83152" w:rsidP="00D83152">
            <w:pPr>
              <w:pStyle w:val="ListParagraph"/>
              <w:numPr>
                <w:ilvl w:val="0"/>
                <w:numId w:val="23"/>
              </w:numPr>
              <w:rPr>
                <w:rFonts w:ascii="Garamond" w:hAnsi="Garamond"/>
                <w:sz w:val="22"/>
                <w:szCs w:val="22"/>
                <w:lang w:val="en-GB"/>
              </w:rPr>
            </w:pPr>
            <w:r w:rsidRPr="005631E1">
              <w:rPr>
                <w:rFonts w:ascii="Garamond" w:hAnsi="Garamond"/>
                <w:sz w:val="22"/>
                <w:szCs w:val="22"/>
                <w:lang w:val="en-GB"/>
              </w:rPr>
              <w:t>Human Resources and security.</w:t>
            </w:r>
          </w:p>
          <w:p w14:paraId="4D8AE51F" w14:textId="77777777" w:rsidR="00D83152" w:rsidRPr="005631E1" w:rsidRDefault="00D83152" w:rsidP="00D83152">
            <w:pPr>
              <w:pStyle w:val="ListParagraph"/>
              <w:numPr>
                <w:ilvl w:val="0"/>
                <w:numId w:val="23"/>
              </w:numPr>
              <w:rPr>
                <w:rFonts w:ascii="Garamond" w:hAnsi="Garamond"/>
                <w:sz w:val="22"/>
                <w:szCs w:val="22"/>
                <w:lang w:val="en-GB"/>
              </w:rPr>
            </w:pPr>
            <w:r w:rsidRPr="005631E1">
              <w:rPr>
                <w:rFonts w:ascii="Garamond" w:hAnsi="Garamond"/>
                <w:sz w:val="22"/>
                <w:szCs w:val="22"/>
                <w:lang w:val="en-GB"/>
              </w:rPr>
              <w:t>Compliance.</w:t>
            </w:r>
          </w:p>
          <w:p w14:paraId="6484B8F1" w14:textId="77777777" w:rsidR="00D83152" w:rsidRPr="005631E1" w:rsidRDefault="00D83152" w:rsidP="00D83152">
            <w:pPr>
              <w:pStyle w:val="ListParagraph"/>
              <w:numPr>
                <w:ilvl w:val="0"/>
                <w:numId w:val="23"/>
              </w:numPr>
              <w:rPr>
                <w:rFonts w:ascii="Garamond" w:hAnsi="Garamond"/>
                <w:sz w:val="22"/>
                <w:szCs w:val="22"/>
                <w:lang w:val="en-GB"/>
              </w:rPr>
            </w:pPr>
            <w:r w:rsidRPr="005631E1">
              <w:rPr>
                <w:rFonts w:ascii="Garamond" w:hAnsi="Garamond"/>
                <w:sz w:val="22"/>
                <w:szCs w:val="22"/>
                <w:lang w:val="en-GB"/>
              </w:rPr>
              <w:t>Finance, procurement, payroll, information technology and administration.</w:t>
            </w:r>
          </w:p>
          <w:p w14:paraId="52B7D7DB" w14:textId="77777777" w:rsidR="00D83152" w:rsidRPr="005631E1" w:rsidRDefault="00D83152" w:rsidP="00A248AB">
            <w:pPr>
              <w:pStyle w:val="ListParagraph"/>
              <w:ind w:left="1440"/>
              <w:rPr>
                <w:rFonts w:ascii="Garamond" w:hAnsi="Garamond"/>
                <w:sz w:val="22"/>
                <w:szCs w:val="22"/>
                <w:lang w:val="en-GB"/>
              </w:rPr>
            </w:pPr>
          </w:p>
        </w:tc>
      </w:tr>
      <w:tr w:rsidR="00D83152" w:rsidRPr="004F359E" w14:paraId="686C8A0A" w14:textId="77777777" w:rsidTr="00D83EF6">
        <w:trPr>
          <w:cantSplit/>
        </w:trPr>
        <w:tc>
          <w:tcPr>
            <w:tcW w:w="399" w:type="pct"/>
            <w:vMerge w:val="restart"/>
            <w:shd w:val="clear" w:color="auto" w:fill="D6E3BC" w:themeFill="accent3" w:themeFillTint="66"/>
            <w:vAlign w:val="center"/>
          </w:tcPr>
          <w:p w14:paraId="21E5CF9E" w14:textId="08F7ED69" w:rsidR="00D83152" w:rsidRPr="005631E1" w:rsidRDefault="00D83152" w:rsidP="00761621">
            <w:pPr>
              <w:jc w:val="both"/>
              <w:rPr>
                <w:rFonts w:ascii="Garamond" w:hAnsi="Garamond"/>
                <w:b/>
                <w:sz w:val="22"/>
                <w:szCs w:val="22"/>
                <w:u w:val="single"/>
                <w:lang w:val="en-GB"/>
              </w:rPr>
            </w:pPr>
            <w:r w:rsidRPr="005631E1">
              <w:rPr>
                <w:rFonts w:ascii="Garamond" w:hAnsi="Garamond"/>
                <w:b/>
                <w:sz w:val="22"/>
                <w:szCs w:val="22"/>
                <w:u w:val="single"/>
                <w:lang w:val="en-GB"/>
              </w:rPr>
              <w:t>A,</w:t>
            </w:r>
          </w:p>
          <w:p w14:paraId="085AABC8" w14:textId="77DA4EA1" w:rsidR="00D83152" w:rsidRPr="005631E1" w:rsidRDefault="00D83152" w:rsidP="00A248AB">
            <w:pPr>
              <w:rPr>
                <w:rFonts w:ascii="Garamond" w:hAnsi="Garamond"/>
                <w:b/>
                <w:sz w:val="22"/>
                <w:szCs w:val="22"/>
                <w:u w:val="single"/>
                <w:lang w:val="en-GB"/>
              </w:rPr>
            </w:pPr>
            <w:r w:rsidRPr="005631E1">
              <w:rPr>
                <w:rFonts w:ascii="Garamond" w:hAnsi="Garamond"/>
                <w:b/>
                <w:sz w:val="22"/>
                <w:szCs w:val="22"/>
                <w:u w:val="single"/>
                <w:lang w:val="en-GB"/>
              </w:rPr>
              <w:t>Direct costs</w:t>
            </w:r>
          </w:p>
        </w:tc>
        <w:tc>
          <w:tcPr>
            <w:tcW w:w="578" w:type="pct"/>
            <w:shd w:val="clear" w:color="auto" w:fill="D6E3BC" w:themeFill="accent3" w:themeFillTint="66"/>
          </w:tcPr>
          <w:p w14:paraId="197CC0CB" w14:textId="77777777" w:rsidR="00D83152" w:rsidRPr="002D0C5B" w:rsidRDefault="00D83152" w:rsidP="00A248AB">
            <w:pPr>
              <w:rPr>
                <w:rFonts w:ascii="Garamond" w:hAnsi="Garamond"/>
                <w:b/>
                <w:sz w:val="22"/>
                <w:szCs w:val="22"/>
              </w:rPr>
            </w:pPr>
            <w:r w:rsidRPr="002D0C5B">
              <w:rPr>
                <w:rFonts w:ascii="Garamond" w:hAnsi="Garamond"/>
                <w:b/>
                <w:sz w:val="22"/>
                <w:szCs w:val="22"/>
              </w:rPr>
              <w:t>A.1.</w:t>
            </w:r>
          </w:p>
          <w:p w14:paraId="61FCFADE" w14:textId="77777777" w:rsidR="00D83152" w:rsidRPr="002D0C5B" w:rsidRDefault="00D83152" w:rsidP="00A248AB">
            <w:pPr>
              <w:rPr>
                <w:rFonts w:ascii="Garamond" w:hAnsi="Garamond"/>
                <w:b/>
                <w:sz w:val="22"/>
                <w:szCs w:val="22"/>
              </w:rPr>
            </w:pPr>
          </w:p>
          <w:p w14:paraId="41310FA8" w14:textId="77777777" w:rsidR="00D83152" w:rsidRPr="002D0C5B" w:rsidRDefault="00D83152" w:rsidP="00A248AB">
            <w:pPr>
              <w:rPr>
                <w:rFonts w:ascii="Garamond" w:hAnsi="Garamond"/>
                <w:b/>
                <w:sz w:val="22"/>
                <w:szCs w:val="22"/>
              </w:rPr>
            </w:pPr>
            <w:r w:rsidRPr="002D0C5B">
              <w:rPr>
                <w:rFonts w:ascii="Garamond" w:hAnsi="Garamond"/>
                <w:b/>
                <w:sz w:val="22"/>
                <w:szCs w:val="22"/>
              </w:rPr>
              <w:t xml:space="preserve">Direct </w:t>
            </w:r>
            <w:proofErr w:type="spellStart"/>
            <w:r w:rsidRPr="002D0C5B">
              <w:rPr>
                <w:rFonts w:ascii="Garamond" w:hAnsi="Garamond"/>
                <w:b/>
                <w:sz w:val="22"/>
                <w:szCs w:val="22"/>
              </w:rPr>
              <w:t>activity</w:t>
            </w:r>
            <w:proofErr w:type="spellEnd"/>
            <w:r w:rsidRPr="002D0C5B">
              <w:rPr>
                <w:rFonts w:ascii="Garamond" w:hAnsi="Garamond"/>
                <w:b/>
                <w:sz w:val="22"/>
                <w:szCs w:val="22"/>
              </w:rPr>
              <w:t xml:space="preserve"> </w:t>
            </w:r>
            <w:proofErr w:type="spellStart"/>
            <w:r w:rsidRPr="002D0C5B">
              <w:rPr>
                <w:rFonts w:ascii="Garamond" w:hAnsi="Garamond"/>
                <w:b/>
                <w:sz w:val="22"/>
                <w:szCs w:val="22"/>
              </w:rPr>
              <w:t>cost</w:t>
            </w:r>
            <w:proofErr w:type="spellEnd"/>
            <w:r w:rsidRPr="002D0C5B">
              <w:rPr>
                <w:rFonts w:ascii="Garamond" w:hAnsi="Garamond"/>
                <w:b/>
                <w:sz w:val="22"/>
                <w:szCs w:val="22"/>
              </w:rPr>
              <w:t>.</w:t>
            </w:r>
          </w:p>
          <w:p w14:paraId="12328749" w14:textId="77777777" w:rsidR="00D83152" w:rsidRPr="002D0C5B" w:rsidRDefault="00D83152" w:rsidP="00A248AB">
            <w:pPr>
              <w:rPr>
                <w:rFonts w:ascii="Garamond" w:hAnsi="Garamond"/>
                <w:b/>
                <w:sz w:val="22"/>
                <w:szCs w:val="22"/>
              </w:rPr>
            </w:pPr>
          </w:p>
          <w:p w14:paraId="377CBA89" w14:textId="77777777" w:rsidR="00D83152" w:rsidRPr="002D0C5B" w:rsidRDefault="00D83152" w:rsidP="00A248AB">
            <w:pPr>
              <w:rPr>
                <w:rFonts w:ascii="Garamond" w:hAnsi="Garamond"/>
                <w:b/>
                <w:sz w:val="22"/>
                <w:szCs w:val="22"/>
              </w:rPr>
            </w:pPr>
            <w:r w:rsidRPr="002D0C5B">
              <w:rPr>
                <w:rFonts w:ascii="Garamond" w:hAnsi="Garamond"/>
                <w:b/>
                <w:i/>
                <w:sz w:val="22"/>
                <w:szCs w:val="22"/>
              </w:rPr>
              <w:t>(Aktivitets-omkostninger)</w:t>
            </w:r>
          </w:p>
        </w:tc>
        <w:tc>
          <w:tcPr>
            <w:tcW w:w="845" w:type="pct"/>
            <w:shd w:val="clear" w:color="auto" w:fill="D6E3BC" w:themeFill="accent3" w:themeFillTint="66"/>
          </w:tcPr>
          <w:p w14:paraId="470CEA64"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Programme/project activities.</w:t>
            </w:r>
          </w:p>
          <w:p w14:paraId="5588E940"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Programme/project specific investments/ equipment.</w:t>
            </w:r>
          </w:p>
          <w:p w14:paraId="00691DD0"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Salaries (HQ and local, documented by time registration).</w:t>
            </w:r>
          </w:p>
          <w:p w14:paraId="5BA954B5"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Travel (activity specific only).</w:t>
            </w:r>
          </w:p>
          <w:p w14:paraId="0A237AAD"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Events, conferences related to outcomes/outputs.</w:t>
            </w:r>
          </w:p>
          <w:p w14:paraId="0E25F553" w14:textId="7758F58B"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Leverage for external funding (e.g.</w:t>
            </w:r>
            <w:r w:rsidR="004023AE" w:rsidRPr="005631E1">
              <w:rPr>
                <w:rFonts w:ascii="Garamond" w:hAnsi="Garamond"/>
                <w:sz w:val="22"/>
                <w:szCs w:val="22"/>
                <w:lang w:val="en-GB"/>
              </w:rPr>
              <w:t>,</w:t>
            </w:r>
            <w:r w:rsidRPr="005631E1">
              <w:rPr>
                <w:rFonts w:ascii="Garamond" w:hAnsi="Garamond"/>
                <w:sz w:val="22"/>
                <w:szCs w:val="22"/>
                <w:lang w:val="en-GB"/>
              </w:rPr>
              <w:t xml:space="preserve"> EU projects with an impact on the targeted outcomes/outputs).</w:t>
            </w:r>
          </w:p>
          <w:p w14:paraId="614126A6" w14:textId="77777777" w:rsidR="00D83152" w:rsidRPr="005631E1" w:rsidRDefault="00D83152" w:rsidP="00A248AB">
            <w:pPr>
              <w:pStyle w:val="ListParagraph"/>
              <w:rPr>
                <w:rFonts w:ascii="Garamond" w:hAnsi="Garamond"/>
                <w:sz w:val="22"/>
                <w:szCs w:val="22"/>
                <w:lang w:val="en-GB"/>
              </w:rPr>
            </w:pPr>
          </w:p>
        </w:tc>
        <w:tc>
          <w:tcPr>
            <w:tcW w:w="3178" w:type="pct"/>
            <w:shd w:val="clear" w:color="auto" w:fill="D6E3BC" w:themeFill="accent3" w:themeFillTint="66"/>
          </w:tcPr>
          <w:p w14:paraId="1B74A2AC"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64915754" w14:textId="05F63F1F"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time registration-key or similar).</w:t>
            </w:r>
          </w:p>
          <w:p w14:paraId="36D03038"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Personnel costs documented through time registration.</w:t>
            </w:r>
          </w:p>
          <w:p w14:paraId="6BD6B41A" w14:textId="24C07286"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Pooled direct activity costs allocation documented through fair, transparent and reasonable cost allocation mechanism (between outcomes/outputs and among projects/donors/funding arrangements</w:t>
            </w:r>
            <w:r w:rsidR="004023AE" w:rsidRPr="005631E1">
              <w:rPr>
                <w:rFonts w:ascii="Garamond" w:hAnsi="Garamond"/>
                <w:sz w:val="22"/>
                <w:szCs w:val="22"/>
                <w:lang w:val="en-GB"/>
              </w:rPr>
              <w:t>,</w:t>
            </w:r>
            <w:r w:rsidRPr="005631E1">
              <w:rPr>
                <w:rFonts w:ascii="Garamond" w:hAnsi="Garamond"/>
                <w:sz w:val="22"/>
                <w:szCs w:val="22"/>
                <w:lang w:val="en-GB"/>
              </w:rPr>
              <w:t xml:space="preserve">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26C82888" w14:textId="77777777" w:rsidR="00D83152" w:rsidRPr="005631E1" w:rsidRDefault="00D83152" w:rsidP="00A248AB">
            <w:pPr>
              <w:rPr>
                <w:rFonts w:ascii="Garamond" w:hAnsi="Garamond"/>
                <w:sz w:val="22"/>
                <w:szCs w:val="22"/>
                <w:lang w:val="en-GB"/>
              </w:rPr>
            </w:pPr>
          </w:p>
          <w:p w14:paraId="67C7B036"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Direct activity costs will typically cover the following areas:</w:t>
            </w:r>
          </w:p>
          <w:p w14:paraId="72BFFA68" w14:textId="52E043D4"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Programme/project management (i.e.</w:t>
            </w:r>
            <w:r w:rsidR="004023AE" w:rsidRPr="005631E1">
              <w:rPr>
                <w:rFonts w:ascii="Garamond" w:hAnsi="Garamond"/>
                <w:sz w:val="22"/>
                <w:szCs w:val="22"/>
                <w:lang w:val="en-GB"/>
              </w:rPr>
              <w:t>,</w:t>
            </w:r>
            <w:r w:rsidRPr="005631E1">
              <w:rPr>
                <w:rFonts w:ascii="Garamond" w:hAnsi="Garamond"/>
                <w:sz w:val="22"/>
                <w:szCs w:val="22"/>
                <w:lang w:val="en-GB"/>
              </w:rPr>
              <w:t xml:space="preserve"> management of an activity or package(s) of activities that contribute to the targeted outcomes/outputs).</w:t>
            </w:r>
          </w:p>
          <w:p w14:paraId="49F64C1C"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Technical assistance, monitoring and compliance.</w:t>
            </w:r>
          </w:p>
          <w:p w14:paraId="08D2B068"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Activity specific service delivery.</w:t>
            </w:r>
          </w:p>
          <w:p w14:paraId="15C63E48"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Activity specific pilot studies and appraisals.</w:t>
            </w:r>
          </w:p>
          <w:p w14:paraId="715001FB"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Development of partnerships in Global South through capacity development, advocacy/policy work, strategic service delivery etc.</w:t>
            </w:r>
          </w:p>
          <w:p w14:paraId="2568F25F" w14:textId="0097055E"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w:t>
            </w:r>
            <w:r w:rsidR="004023AE" w:rsidRPr="005631E1">
              <w:rPr>
                <w:rFonts w:ascii="Garamond" w:hAnsi="Garamond"/>
                <w:sz w:val="22"/>
                <w:szCs w:val="22"/>
                <w:lang w:val="en-GB"/>
              </w:rPr>
              <w:t>,</w:t>
            </w:r>
            <w:r w:rsidRPr="005631E1">
              <w:rPr>
                <w:rFonts w:ascii="Garamond" w:hAnsi="Garamond"/>
                <w:sz w:val="22"/>
                <w:szCs w:val="22"/>
                <w:lang w:val="en-GB"/>
              </w:rPr>
              <w:t xml:space="preserve"> supporting local operational capacity and localisation).</w:t>
            </w:r>
          </w:p>
          <w:p w14:paraId="4626E779"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Purchase of physical assets/items for programme/project-specific activity (incl. ITC).</w:t>
            </w:r>
          </w:p>
          <w:p w14:paraId="5D8AF94D"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color w:val="000000" w:themeColor="text1"/>
                <w:sz w:val="22"/>
                <w:szCs w:val="22"/>
                <w:lang w:val="en-GB"/>
              </w:rPr>
              <w:t>Costs related to leverage for external funding including TA-support (excluding fund raising cost).</w:t>
            </w:r>
          </w:p>
          <w:p w14:paraId="378AF1D7" w14:textId="77777777" w:rsidR="00D83152" w:rsidRPr="005631E1" w:rsidRDefault="00D83152" w:rsidP="00A248AB">
            <w:pPr>
              <w:pStyle w:val="ListParagraph"/>
              <w:ind w:left="360"/>
              <w:rPr>
                <w:rFonts w:ascii="Garamond" w:hAnsi="Garamond"/>
                <w:sz w:val="22"/>
                <w:szCs w:val="22"/>
                <w:lang w:val="en-GB"/>
              </w:rPr>
            </w:pPr>
          </w:p>
        </w:tc>
      </w:tr>
      <w:tr w:rsidR="00D83152" w:rsidRPr="004F359E" w14:paraId="34AD0044" w14:textId="77777777" w:rsidTr="00D83EF6">
        <w:trPr>
          <w:cantSplit/>
        </w:trPr>
        <w:tc>
          <w:tcPr>
            <w:tcW w:w="399" w:type="pct"/>
            <w:vMerge/>
            <w:shd w:val="clear" w:color="auto" w:fill="D6E3BC" w:themeFill="accent3" w:themeFillTint="66"/>
            <w:vAlign w:val="center"/>
          </w:tcPr>
          <w:p w14:paraId="26F87FAB"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26469B63"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A.2. </w:t>
            </w:r>
          </w:p>
          <w:p w14:paraId="7DC3FDC0" w14:textId="77777777" w:rsidR="00D83152" w:rsidRPr="005631E1" w:rsidRDefault="00D83152" w:rsidP="00A248AB">
            <w:pPr>
              <w:rPr>
                <w:rFonts w:ascii="Garamond" w:hAnsi="Garamond"/>
                <w:b/>
                <w:sz w:val="22"/>
                <w:szCs w:val="22"/>
                <w:lang w:val="en-GB"/>
              </w:rPr>
            </w:pPr>
          </w:p>
          <w:p w14:paraId="62EAB851"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Implementation through local independent partners.</w:t>
            </w:r>
          </w:p>
          <w:p w14:paraId="61ADE825" w14:textId="77777777" w:rsidR="00D83152" w:rsidRPr="005631E1" w:rsidRDefault="00D83152" w:rsidP="00A248AB">
            <w:pPr>
              <w:rPr>
                <w:rFonts w:ascii="Garamond" w:hAnsi="Garamond"/>
                <w:b/>
                <w:sz w:val="22"/>
                <w:szCs w:val="22"/>
                <w:lang w:val="en-GB"/>
              </w:rPr>
            </w:pPr>
          </w:p>
          <w:p w14:paraId="67AFC2C8" w14:textId="77777777" w:rsidR="00D83152" w:rsidRPr="005631E1" w:rsidRDefault="00D83152" w:rsidP="00A248AB">
            <w:pPr>
              <w:rPr>
                <w:rFonts w:ascii="Garamond" w:hAnsi="Garamond"/>
                <w:b/>
                <w:sz w:val="22"/>
                <w:szCs w:val="22"/>
                <w:lang w:val="en-GB"/>
              </w:rPr>
            </w:pPr>
            <w:r w:rsidRPr="005631E1">
              <w:rPr>
                <w:rFonts w:ascii="Garamond" w:hAnsi="Garamond"/>
                <w:b/>
                <w:i/>
                <w:sz w:val="22"/>
                <w:szCs w:val="22"/>
                <w:lang w:val="en-GB"/>
              </w:rPr>
              <w:t>(</w:t>
            </w:r>
            <w:proofErr w:type="spellStart"/>
            <w:r w:rsidRPr="005631E1">
              <w:rPr>
                <w:rFonts w:ascii="Garamond" w:hAnsi="Garamond"/>
                <w:b/>
                <w:i/>
                <w:sz w:val="22"/>
                <w:szCs w:val="22"/>
                <w:lang w:val="en-GB"/>
              </w:rPr>
              <w:t>Overførsler</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til</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uafhængige</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partnere</w:t>
            </w:r>
            <w:proofErr w:type="spellEnd"/>
            <w:r w:rsidRPr="005631E1">
              <w:rPr>
                <w:rFonts w:ascii="Garamond" w:hAnsi="Garamond"/>
                <w:b/>
                <w:i/>
                <w:sz w:val="22"/>
                <w:szCs w:val="22"/>
                <w:lang w:val="en-GB"/>
              </w:rPr>
              <w:t>)</w:t>
            </w:r>
          </w:p>
        </w:tc>
        <w:tc>
          <w:tcPr>
            <w:tcW w:w="845" w:type="pct"/>
            <w:shd w:val="clear" w:color="auto" w:fill="D6E3BC" w:themeFill="accent3" w:themeFillTint="66"/>
          </w:tcPr>
          <w:p w14:paraId="5CD06FB6"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Transfers to (or expenses by) local independent implementing partners.</w:t>
            </w:r>
          </w:p>
          <w:p w14:paraId="435A7907" w14:textId="77777777" w:rsidR="00D83152" w:rsidRPr="005631E1" w:rsidRDefault="00D83152" w:rsidP="00A248AB">
            <w:pPr>
              <w:pStyle w:val="ListParagraph"/>
              <w:ind w:left="360"/>
              <w:rPr>
                <w:rFonts w:ascii="Garamond" w:hAnsi="Garamond"/>
                <w:sz w:val="22"/>
                <w:szCs w:val="22"/>
                <w:lang w:val="en-GB"/>
              </w:rPr>
            </w:pPr>
          </w:p>
        </w:tc>
        <w:tc>
          <w:tcPr>
            <w:tcW w:w="3178" w:type="pct"/>
            <w:shd w:val="clear" w:color="auto" w:fill="D6E3BC" w:themeFill="accent3" w:themeFillTint="66"/>
          </w:tcPr>
          <w:p w14:paraId="00E1C834"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70CA3161" w14:textId="3CB5A976"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17D542D0"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Unspecified admin fee or overhead lump sum not eligible.</w:t>
            </w:r>
          </w:p>
          <w:p w14:paraId="6B70EC38" w14:textId="65828370" w:rsidR="00D83152" w:rsidRPr="005631E1" w:rsidRDefault="005631E1"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w:t>
            </w:r>
            <w:r w:rsidR="00D83152" w:rsidRPr="005631E1">
              <w:rPr>
                <w:rFonts w:ascii="Garamond" w:hAnsi="Garamond"/>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(e.g.</w:t>
            </w:r>
            <w:r w:rsidR="004023AE" w:rsidRPr="005631E1">
              <w:rPr>
                <w:rFonts w:ascii="Garamond" w:hAnsi="Garamond"/>
                <w:sz w:val="22"/>
                <w:szCs w:val="22"/>
                <w:lang w:val="en-GB"/>
              </w:rPr>
              <w:t>,</w:t>
            </w:r>
            <w:r w:rsidR="00D83152" w:rsidRPr="005631E1">
              <w:rPr>
                <w:rFonts w:ascii="Garamond" w:hAnsi="Garamond"/>
                <w:sz w:val="22"/>
                <w:szCs w:val="22"/>
                <w:lang w:val="en-GB"/>
              </w:rPr>
              <w:t xml:space="preserve"> through volunteers, membership base, local donation). </w:t>
            </w:r>
            <w:r w:rsidRPr="005631E1">
              <w:rPr>
                <w:rFonts w:ascii="Garamond" w:hAnsi="Garamond"/>
                <w:sz w:val="22"/>
                <w:szCs w:val="22"/>
                <w:lang w:val="en-GB"/>
              </w:rPr>
              <w:t xml:space="preserve">As such, the criteria </w:t>
            </w:r>
            <w:r w:rsidR="00DC2AE4" w:rsidRPr="005631E1">
              <w:rPr>
                <w:rFonts w:ascii="Garamond" w:hAnsi="Garamond"/>
                <w:sz w:val="22"/>
                <w:szCs w:val="22"/>
                <w:lang w:val="en-GB"/>
              </w:rPr>
              <w:t>exclude</w:t>
            </w:r>
            <w:r w:rsidR="00D83152" w:rsidRPr="005631E1">
              <w:rPr>
                <w:rFonts w:ascii="Garamond" w:hAnsi="Garamond"/>
                <w:sz w:val="22"/>
                <w:szCs w:val="22"/>
                <w:lang w:val="en-GB"/>
              </w:rPr>
              <w:t xml:space="preserve"> transfers to country and regional offices, functioning as extensions of the </w:t>
            </w:r>
            <w:r w:rsidRPr="005631E1">
              <w:rPr>
                <w:rFonts w:ascii="Garamond" w:hAnsi="Garamond"/>
                <w:sz w:val="22"/>
                <w:szCs w:val="22"/>
                <w:lang w:val="en-GB"/>
              </w:rPr>
              <w:t>MFA</w:t>
            </w:r>
            <w:r w:rsidR="00D83152" w:rsidRPr="005631E1">
              <w:rPr>
                <w:rFonts w:ascii="Garamond" w:hAnsi="Garamond"/>
                <w:sz w:val="22"/>
                <w:szCs w:val="22"/>
                <w:lang w:val="en-GB"/>
              </w:rPr>
              <w:t xml:space="preserve">-funded organisation or the international alliances to which the </w:t>
            </w:r>
            <w:r w:rsidRPr="005631E1">
              <w:rPr>
                <w:rFonts w:ascii="Garamond" w:hAnsi="Garamond"/>
                <w:sz w:val="22"/>
                <w:szCs w:val="22"/>
                <w:lang w:val="en-GB"/>
              </w:rPr>
              <w:t>MFA-</w:t>
            </w:r>
            <w:r w:rsidR="00D83152" w:rsidRPr="005631E1">
              <w:rPr>
                <w:rFonts w:ascii="Garamond" w:hAnsi="Garamond"/>
                <w:sz w:val="22"/>
                <w:szCs w:val="22"/>
                <w:lang w:val="en-GB"/>
              </w:rPr>
              <w:t>funded organisation is a member.</w:t>
            </w:r>
          </w:p>
          <w:p w14:paraId="66230532" w14:textId="77777777" w:rsidR="00D83152" w:rsidRPr="005631E1" w:rsidRDefault="00D83152" w:rsidP="00A248AB">
            <w:pPr>
              <w:rPr>
                <w:rFonts w:ascii="Garamond" w:hAnsi="Garamond"/>
                <w:sz w:val="22"/>
                <w:szCs w:val="22"/>
                <w:lang w:val="en-GB"/>
              </w:rPr>
            </w:pPr>
          </w:p>
          <w:p w14:paraId="688B3BE2"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Direct transfers will typically cover the following areas:</w:t>
            </w:r>
          </w:p>
          <w:p w14:paraId="40853C72"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Implementation/operational cost by local independent partners in Global South (direct costs).</w:t>
            </w:r>
          </w:p>
          <w:p w14:paraId="526CB81B"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Grants assigned/committed to implementing sub-partners through an application process / ‘call for applications’ (not necessarily disbursed in the same financial year/accounting period).</w:t>
            </w:r>
          </w:p>
          <w:p w14:paraId="2FDFC3B8"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Audit expenses borne by local implementing partners.</w:t>
            </w:r>
          </w:p>
          <w:p w14:paraId="36643081" w14:textId="67241515"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Indirect cost of local independent partner (i.e.</w:t>
            </w:r>
            <w:r w:rsidR="004023AE" w:rsidRPr="005631E1">
              <w:rPr>
                <w:rFonts w:ascii="Garamond" w:hAnsi="Garamond"/>
                <w:sz w:val="22"/>
                <w:szCs w:val="22"/>
                <w:lang w:val="en-GB"/>
              </w:rPr>
              <w:t>,</w:t>
            </w:r>
            <w:r w:rsidRPr="005631E1">
              <w:rPr>
                <w:rFonts w:ascii="Garamond" w:hAnsi="Garamond"/>
                <w:sz w:val="22"/>
                <w:szCs w:val="22"/>
                <w:lang w:val="en-GB"/>
              </w:rPr>
              <w:t xml:space="preserve"> inclusion of transparent and documented fair share of local partners’ indirect costs acceptable, documented through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3CA5835B" w14:textId="77777777" w:rsidR="00D83152" w:rsidRPr="005631E1" w:rsidRDefault="00D83152" w:rsidP="00D83152">
            <w:pPr>
              <w:pStyle w:val="ListParagraph"/>
              <w:numPr>
                <w:ilvl w:val="0"/>
                <w:numId w:val="22"/>
              </w:numPr>
              <w:rPr>
                <w:rFonts w:ascii="Garamond" w:hAnsi="Garamond"/>
                <w:sz w:val="22"/>
                <w:szCs w:val="22"/>
                <w:lang w:val="en-GB"/>
              </w:rPr>
            </w:pPr>
            <w:r w:rsidRPr="005631E1">
              <w:rPr>
                <w:rFonts w:ascii="Garamond" w:hAnsi="Garamond"/>
                <w:sz w:val="22"/>
                <w:szCs w:val="22"/>
                <w:lang w:val="en-GB"/>
              </w:rPr>
              <w:t>Potentially, indirect costs may be included as an unspecified administrative fee for the local implementing partners (shall be kept at a minimum, must be based on partner capacity assessment and justified, max 7% of the direct cost of the local partner).</w:t>
            </w:r>
          </w:p>
        </w:tc>
      </w:tr>
      <w:tr w:rsidR="00D83152" w:rsidRPr="004F359E" w14:paraId="1F15B16E" w14:textId="77777777" w:rsidTr="00D83EF6">
        <w:trPr>
          <w:cantSplit/>
        </w:trPr>
        <w:tc>
          <w:tcPr>
            <w:tcW w:w="399" w:type="pct"/>
            <w:vMerge/>
            <w:shd w:val="clear" w:color="auto" w:fill="D6E3BC" w:themeFill="accent3" w:themeFillTint="66"/>
            <w:vAlign w:val="center"/>
          </w:tcPr>
          <w:p w14:paraId="6BF0121C"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73F39B1A"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A.3.</w:t>
            </w:r>
          </w:p>
          <w:p w14:paraId="63923A0A" w14:textId="77777777" w:rsidR="00D83152" w:rsidRPr="005631E1" w:rsidRDefault="00D83152" w:rsidP="00A248AB">
            <w:pPr>
              <w:rPr>
                <w:rFonts w:ascii="Garamond" w:hAnsi="Garamond"/>
                <w:b/>
                <w:sz w:val="22"/>
                <w:szCs w:val="22"/>
                <w:lang w:val="en-GB"/>
              </w:rPr>
            </w:pPr>
          </w:p>
          <w:p w14:paraId="7BC98CBD"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Allocated programme-support cost.</w:t>
            </w:r>
          </w:p>
          <w:p w14:paraId="7E291934" w14:textId="77777777" w:rsidR="00D83152" w:rsidRPr="005631E1" w:rsidRDefault="00D83152" w:rsidP="00A248AB">
            <w:pPr>
              <w:rPr>
                <w:rFonts w:ascii="Garamond" w:hAnsi="Garamond"/>
                <w:b/>
                <w:sz w:val="22"/>
                <w:szCs w:val="22"/>
                <w:lang w:val="en-GB"/>
              </w:rPr>
            </w:pPr>
          </w:p>
          <w:p w14:paraId="09B8EB7C" w14:textId="77777777" w:rsidR="00D83152" w:rsidRPr="00761621" w:rsidRDefault="00D83152" w:rsidP="00A248AB">
            <w:pPr>
              <w:rPr>
                <w:rFonts w:ascii="Garamond" w:hAnsi="Garamond"/>
                <w:b/>
                <w:sz w:val="22"/>
                <w:szCs w:val="22"/>
              </w:rPr>
            </w:pPr>
            <w:r w:rsidRPr="00761621">
              <w:rPr>
                <w:rFonts w:ascii="Garamond" w:hAnsi="Garamond"/>
                <w:b/>
                <w:i/>
                <w:sz w:val="22"/>
                <w:szCs w:val="22"/>
              </w:rPr>
              <w:t>(Program-understøttende funktioner / fælles-omkostninger)</w:t>
            </w:r>
          </w:p>
        </w:tc>
        <w:tc>
          <w:tcPr>
            <w:tcW w:w="845" w:type="pct"/>
            <w:shd w:val="clear" w:color="auto" w:fill="D6E3BC" w:themeFill="accent3" w:themeFillTint="66"/>
          </w:tcPr>
          <w:p w14:paraId="162EB6D0"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Salaries related to programme supporting activities.</w:t>
            </w:r>
          </w:p>
          <w:p w14:paraId="1927F6F9"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Investment and equipment for programme support staff.</w:t>
            </w:r>
          </w:p>
          <w:p w14:paraId="2D3A64C8"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Travel related to programme supporting activities.</w:t>
            </w:r>
          </w:p>
          <w:p w14:paraId="34391A95" w14:textId="7777777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Other essential programme supporting services/ expenses/ functions.</w:t>
            </w:r>
          </w:p>
        </w:tc>
        <w:tc>
          <w:tcPr>
            <w:tcW w:w="3178" w:type="pct"/>
            <w:shd w:val="clear" w:color="auto" w:fill="D6E3BC" w:themeFill="accent3" w:themeFillTint="66"/>
          </w:tcPr>
          <w:p w14:paraId="0DBD9C60"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Justifiable/explained.</w:t>
            </w:r>
          </w:p>
          <w:p w14:paraId="3E24C4F9"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23A563D8" w14:textId="6E49C7A7" w:rsidR="00D83152" w:rsidRPr="005631E1" w:rsidRDefault="00D83152" w:rsidP="00D83152">
            <w:pPr>
              <w:pStyle w:val="ListParagraph"/>
              <w:numPr>
                <w:ilvl w:val="0"/>
                <w:numId w:val="21"/>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time registration-key or similar).</w:t>
            </w:r>
          </w:p>
          <w:p w14:paraId="1AF411B7" w14:textId="1F7D49A1"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Primarily pooled cost functions (i.e.</w:t>
            </w:r>
            <w:r w:rsidR="004023AE" w:rsidRPr="005631E1">
              <w:rPr>
                <w:rFonts w:ascii="Garamond" w:hAnsi="Garamond"/>
                <w:sz w:val="22"/>
                <w:szCs w:val="22"/>
                <w:lang w:val="en-GB"/>
              </w:rPr>
              <w:t>,</w:t>
            </w:r>
            <w:r w:rsidRPr="005631E1">
              <w:rPr>
                <w:rFonts w:ascii="Garamond" w:hAnsi="Garamond"/>
                <w:sz w:val="22"/>
                <w:szCs w:val="22"/>
                <w:lang w:val="en-GB"/>
              </w:rPr>
              <w:t xml:space="preserve"> programme supporting cost functions with benefit to several programmes/ donors/ grants/ funding arrangement).</w:t>
            </w:r>
          </w:p>
          <w:p w14:paraId="20584E75" w14:textId="387B5C9E"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 xml:space="preserve">Pooled programme </w:t>
            </w:r>
            <w:proofErr w:type="gramStart"/>
            <w:r w:rsidRPr="005631E1">
              <w:rPr>
                <w:rFonts w:ascii="Garamond" w:hAnsi="Garamond"/>
                <w:sz w:val="22"/>
                <w:szCs w:val="22"/>
                <w:lang w:val="en-GB"/>
              </w:rPr>
              <w:t>support</w:t>
            </w:r>
            <w:proofErr w:type="gramEnd"/>
            <w:r w:rsidRPr="005631E1">
              <w:rPr>
                <w:rFonts w:ascii="Garamond" w:hAnsi="Garamond"/>
                <w:sz w:val="22"/>
                <w:szCs w:val="22"/>
                <w:lang w:val="en-GB"/>
              </w:rPr>
              <w:t xml:space="preserve"> cost allocation documented through fair share, transparent and reasonable cost allocation mechanism (between outcomes/outputs and among donors e.g. through pro rata, time registration-key, full time equivalents, head count or similar).</w:t>
            </w:r>
          </w:p>
          <w:p w14:paraId="76C6A216" w14:textId="77777777" w:rsidR="00D83152" w:rsidRPr="005631E1" w:rsidRDefault="00D83152" w:rsidP="00A248AB">
            <w:pPr>
              <w:rPr>
                <w:rFonts w:ascii="Garamond" w:hAnsi="Garamond"/>
                <w:sz w:val="22"/>
                <w:szCs w:val="22"/>
                <w:lang w:val="en-GB"/>
              </w:rPr>
            </w:pPr>
          </w:p>
          <w:p w14:paraId="3D45200D"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Programme support costs will typically cover the following areas:</w:t>
            </w:r>
          </w:p>
          <w:p w14:paraId="1FEB6885"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Management of programme staff.</w:t>
            </w:r>
          </w:p>
          <w:p w14:paraId="251568F8"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Planning (such as a new phase of ongoing programmes/projects), coordination of activities and preparation of documentation.</w:t>
            </w:r>
          </w:p>
          <w:p w14:paraId="4168C3D7"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IT equipment (ICT) for programme supporting functions.</w:t>
            </w:r>
          </w:p>
          <w:p w14:paraId="6B2DEF76"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Recruitment of programme/project specific staff.</w:t>
            </w:r>
          </w:p>
          <w:p w14:paraId="5C487255"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Programme/project specific studies, reporting, finance and procurement tasks.</w:t>
            </w:r>
          </w:p>
          <w:p w14:paraId="62571971" w14:textId="247E77FD"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w:t>
            </w:r>
            <w:r w:rsidR="004023AE" w:rsidRPr="005631E1">
              <w:rPr>
                <w:rFonts w:ascii="Garamond" w:hAnsi="Garamond"/>
                <w:sz w:val="22"/>
                <w:szCs w:val="22"/>
                <w:lang w:val="en-GB"/>
              </w:rPr>
              <w:t>,</w:t>
            </w:r>
            <w:r w:rsidRPr="005631E1">
              <w:rPr>
                <w:rFonts w:ascii="Garamond" w:hAnsi="Garamond"/>
                <w:sz w:val="22"/>
                <w:szCs w:val="22"/>
                <w:lang w:val="en-GB"/>
              </w:rPr>
              <w:t xml:space="preserve"> supporting local operational capacity and localisation).</w:t>
            </w:r>
          </w:p>
          <w:p w14:paraId="4277F9D7"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Programme/project specific or cross cutting reviews and external evaluations.</w:t>
            </w:r>
          </w:p>
          <w:p w14:paraId="0FB87544"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lastRenderedPageBreak/>
              <w:t xml:space="preserve">Participation of resource persons in connection with evaluations. </w:t>
            </w:r>
          </w:p>
          <w:p w14:paraId="3277621C"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Expenses linked to HQAI/CHS verification/certification of partner itself.</w:t>
            </w:r>
          </w:p>
          <w:p w14:paraId="28FB8CB0"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Programme specific or cross cutting reviews and external evaluations.</w:t>
            </w:r>
          </w:p>
          <w:p w14:paraId="5550FE79" w14:textId="31660FE0"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Fair share of necessary personnel related costs (for essential program supporting staff and functions</w:t>
            </w:r>
            <w:r w:rsidR="005631E1" w:rsidRPr="005631E1">
              <w:rPr>
                <w:rFonts w:ascii="Garamond" w:hAnsi="Garamond"/>
                <w:sz w:val="22"/>
                <w:szCs w:val="22"/>
                <w:lang w:val="en-GB"/>
              </w:rPr>
              <w:t>,</w:t>
            </w:r>
            <w:r w:rsidRPr="005631E1">
              <w:rPr>
                <w:rFonts w:ascii="Garamond" w:hAnsi="Garamond"/>
                <w:sz w:val="22"/>
                <w:szCs w:val="22"/>
                <w:lang w:val="en-GB"/>
              </w:rPr>
              <w:t xml:space="preserve"> e.g.</w:t>
            </w:r>
            <w:r w:rsidR="004023AE" w:rsidRPr="005631E1">
              <w:rPr>
                <w:rFonts w:ascii="Garamond" w:hAnsi="Garamond"/>
                <w:sz w:val="22"/>
                <w:szCs w:val="22"/>
                <w:lang w:val="en-GB"/>
              </w:rPr>
              <w:t>,</w:t>
            </w:r>
            <w:r w:rsidRPr="005631E1">
              <w:rPr>
                <w:rFonts w:ascii="Garamond" w:hAnsi="Garamond"/>
                <w:sz w:val="22"/>
                <w:szCs w:val="22"/>
                <w:lang w:val="en-GB"/>
              </w:rPr>
              <w:t xml:space="preserve"> social security, HR, security/safety and finance incl. expat related costs) through time registration or fair/transparent reallocation keys/ cost allocation mechanism.</w:t>
            </w:r>
          </w:p>
          <w:p w14:paraId="1F3F4D30" w14:textId="4DDF008B"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Fair share of programme supporting cost functions at HQ as well as local or regional country office, through reallocation keys/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warehouse and office costs including rent, cleaning, utilities and supplies, telephone and internet costs, goods, materials, maintenance, payroll, procurement).</w:t>
            </w:r>
          </w:p>
          <w:p w14:paraId="5A80ED1F" w14:textId="77777777" w:rsidR="00D83152" w:rsidRPr="005631E1" w:rsidRDefault="00D83152" w:rsidP="00A248AB">
            <w:pPr>
              <w:pStyle w:val="ListParagraph"/>
              <w:rPr>
                <w:rFonts w:ascii="Garamond" w:hAnsi="Garamond"/>
                <w:sz w:val="22"/>
                <w:szCs w:val="22"/>
                <w:lang w:val="en-GB"/>
              </w:rPr>
            </w:pPr>
          </w:p>
        </w:tc>
      </w:tr>
      <w:tr w:rsidR="00D83152" w:rsidRPr="005631E1" w14:paraId="12BD3374" w14:textId="77777777" w:rsidTr="00D83EF6">
        <w:trPr>
          <w:cantSplit/>
        </w:trPr>
        <w:tc>
          <w:tcPr>
            <w:tcW w:w="399" w:type="pct"/>
            <w:vMerge/>
            <w:shd w:val="clear" w:color="auto" w:fill="D6E3BC" w:themeFill="accent3" w:themeFillTint="66"/>
            <w:vAlign w:val="center"/>
          </w:tcPr>
          <w:p w14:paraId="1E448368"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4571FA55" w14:textId="337BDBE4"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A.4, A.5, A.6 (</w:t>
            </w:r>
            <w:proofErr w:type="spellStart"/>
            <w:r w:rsidRPr="005631E1">
              <w:rPr>
                <w:rFonts w:ascii="Garamond" w:hAnsi="Garamond"/>
                <w:b/>
                <w:sz w:val="22"/>
                <w:szCs w:val="22"/>
                <w:lang w:val="en-GB"/>
              </w:rPr>
              <w:t>n.a.</w:t>
            </w:r>
            <w:proofErr w:type="spellEnd"/>
            <w:r w:rsidRPr="005631E1">
              <w:rPr>
                <w:rFonts w:ascii="Garamond" w:hAnsi="Garamond"/>
                <w:b/>
                <w:sz w:val="22"/>
                <w:szCs w:val="22"/>
                <w:lang w:val="en-GB"/>
              </w:rPr>
              <w:t>)</w:t>
            </w:r>
          </w:p>
        </w:tc>
        <w:tc>
          <w:tcPr>
            <w:tcW w:w="845" w:type="pct"/>
            <w:shd w:val="clear" w:color="auto" w:fill="D6E3BC" w:themeFill="accent3" w:themeFillTint="66"/>
          </w:tcPr>
          <w:p w14:paraId="409D68A5"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c>
          <w:tcPr>
            <w:tcW w:w="3178" w:type="pct"/>
            <w:shd w:val="clear" w:color="auto" w:fill="D6E3BC" w:themeFill="accent3" w:themeFillTint="66"/>
          </w:tcPr>
          <w:p w14:paraId="71C44CA4"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r>
      <w:tr w:rsidR="00D83152" w:rsidRPr="004F359E" w14:paraId="1C7878A8" w14:textId="77777777" w:rsidTr="00D83EF6">
        <w:trPr>
          <w:cantSplit/>
        </w:trPr>
        <w:tc>
          <w:tcPr>
            <w:tcW w:w="399" w:type="pct"/>
            <w:vMerge/>
            <w:shd w:val="clear" w:color="auto" w:fill="D6E3BC" w:themeFill="accent3" w:themeFillTint="66"/>
            <w:vAlign w:val="center"/>
          </w:tcPr>
          <w:p w14:paraId="7F6BB6FD"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6257FD8C"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A.7.</w:t>
            </w:r>
          </w:p>
          <w:p w14:paraId="64A6C497"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Audit</w:t>
            </w:r>
          </w:p>
        </w:tc>
        <w:tc>
          <w:tcPr>
            <w:tcW w:w="845" w:type="pct"/>
            <w:shd w:val="clear" w:color="auto" w:fill="D6E3BC" w:themeFill="accent3" w:themeFillTint="66"/>
          </w:tcPr>
          <w:p w14:paraId="6CD0C1CC"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Auditor’s fee</w:t>
            </w:r>
          </w:p>
        </w:tc>
        <w:tc>
          <w:tcPr>
            <w:tcW w:w="3178" w:type="pct"/>
            <w:shd w:val="clear" w:color="auto" w:fill="D6E3BC" w:themeFill="accent3" w:themeFillTint="66"/>
          </w:tcPr>
          <w:p w14:paraId="1FA7B35C"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Auditor’s fee related to programme financial audit exclusively.</w:t>
            </w:r>
          </w:p>
          <w:p w14:paraId="7F989AD2" w14:textId="77777777" w:rsidR="00D83152" w:rsidRPr="005631E1" w:rsidRDefault="00D83152" w:rsidP="00A248AB">
            <w:pPr>
              <w:pStyle w:val="ListParagraph"/>
              <w:rPr>
                <w:rFonts w:ascii="Garamond" w:hAnsi="Garamond"/>
                <w:sz w:val="22"/>
                <w:szCs w:val="22"/>
                <w:lang w:val="en-GB"/>
              </w:rPr>
            </w:pPr>
          </w:p>
        </w:tc>
      </w:tr>
      <w:tr w:rsidR="00D83152" w:rsidRPr="004F359E" w14:paraId="6AFD5D23" w14:textId="77777777" w:rsidTr="00D83EF6">
        <w:trPr>
          <w:cantSplit/>
        </w:trPr>
        <w:tc>
          <w:tcPr>
            <w:tcW w:w="5000" w:type="pct"/>
            <w:gridSpan w:val="4"/>
            <w:shd w:val="clear" w:color="auto" w:fill="DBE5F1" w:themeFill="accent1" w:themeFillTint="33"/>
            <w:vAlign w:val="center"/>
          </w:tcPr>
          <w:p w14:paraId="54B97D00"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INDIRECT COSTS</w:t>
            </w:r>
            <w:r w:rsidRPr="0076162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D83152" w:rsidRPr="004F359E" w14:paraId="7F154CAC" w14:textId="77777777" w:rsidTr="00D83EF6">
        <w:trPr>
          <w:cantSplit/>
          <w:trHeight w:val="70"/>
        </w:trPr>
        <w:tc>
          <w:tcPr>
            <w:tcW w:w="399" w:type="pct"/>
            <w:shd w:val="clear" w:color="auto" w:fill="DBE5F1" w:themeFill="accent1" w:themeFillTint="33"/>
            <w:vAlign w:val="center"/>
          </w:tcPr>
          <w:p w14:paraId="14FAF262" w14:textId="01616CCA" w:rsidR="00D83152" w:rsidRPr="00761621" w:rsidRDefault="00D83152" w:rsidP="00761621">
            <w:pPr>
              <w:rPr>
                <w:rFonts w:ascii="Garamond" w:hAnsi="Garamond"/>
                <w:b/>
                <w:sz w:val="22"/>
                <w:szCs w:val="22"/>
                <w:u w:val="single"/>
                <w:lang w:val="en-GB"/>
              </w:rPr>
            </w:pPr>
            <w:r w:rsidRPr="00761621">
              <w:rPr>
                <w:rFonts w:ascii="Garamond" w:hAnsi="Garamond"/>
                <w:b/>
                <w:sz w:val="22"/>
                <w:szCs w:val="22"/>
                <w:u w:val="single"/>
                <w:lang w:val="en-GB"/>
              </w:rPr>
              <w:t>B.</w:t>
            </w:r>
          </w:p>
          <w:p w14:paraId="7A3158D6" w14:textId="77777777" w:rsidR="00D83152" w:rsidRPr="00761621" w:rsidRDefault="00D83152" w:rsidP="00761621">
            <w:pPr>
              <w:rPr>
                <w:rFonts w:ascii="Garamond" w:hAnsi="Garamond"/>
                <w:b/>
                <w:sz w:val="22"/>
                <w:szCs w:val="22"/>
                <w:u w:val="single"/>
                <w:lang w:val="en-GB"/>
              </w:rPr>
            </w:pPr>
            <w:r w:rsidRPr="00761621">
              <w:rPr>
                <w:rFonts w:ascii="Garamond" w:hAnsi="Garamond"/>
                <w:b/>
                <w:sz w:val="22"/>
                <w:szCs w:val="22"/>
                <w:u w:val="single"/>
                <w:lang w:val="en-GB"/>
              </w:rPr>
              <w:t>Indirect costs.</w:t>
            </w:r>
          </w:p>
        </w:tc>
        <w:tc>
          <w:tcPr>
            <w:tcW w:w="578" w:type="pct"/>
            <w:shd w:val="clear" w:color="auto" w:fill="DBE5F1" w:themeFill="accent1" w:themeFillTint="33"/>
          </w:tcPr>
          <w:p w14:paraId="522A15A2"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B.1. </w:t>
            </w:r>
          </w:p>
          <w:p w14:paraId="338CC67D" w14:textId="77777777" w:rsidR="00D83152" w:rsidRPr="005631E1" w:rsidRDefault="00D83152" w:rsidP="00A248AB">
            <w:pPr>
              <w:rPr>
                <w:rFonts w:ascii="Garamond" w:hAnsi="Garamond"/>
                <w:b/>
                <w:sz w:val="22"/>
                <w:szCs w:val="22"/>
                <w:lang w:val="en-GB"/>
              </w:rPr>
            </w:pPr>
          </w:p>
          <w:p w14:paraId="3AA76CB2"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Administration fee.</w:t>
            </w:r>
          </w:p>
        </w:tc>
        <w:tc>
          <w:tcPr>
            <w:tcW w:w="845" w:type="pct"/>
            <w:shd w:val="clear" w:color="auto" w:fill="DBE5F1" w:themeFill="accent1" w:themeFillTint="33"/>
          </w:tcPr>
          <w:p w14:paraId="4401C6D9"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No specification needed.</w:t>
            </w:r>
          </w:p>
        </w:tc>
        <w:tc>
          <w:tcPr>
            <w:tcW w:w="3178" w:type="pct"/>
            <w:shd w:val="clear" w:color="auto" w:fill="DBE5F1" w:themeFill="accent1" w:themeFillTint="33"/>
          </w:tcPr>
          <w:p w14:paraId="1336590A"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No specification needed.</w:t>
            </w:r>
          </w:p>
          <w:p w14:paraId="27027ED2"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Max 7 % of direct cost.</w:t>
            </w:r>
          </w:p>
          <w:p w14:paraId="25C7FBE2" w14:textId="31AF99AA"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Non-activity specific costs, i.e.</w:t>
            </w:r>
            <w:r w:rsidR="005631E1" w:rsidRPr="005631E1">
              <w:rPr>
                <w:rFonts w:ascii="Garamond" w:hAnsi="Garamond"/>
                <w:sz w:val="22"/>
                <w:szCs w:val="22"/>
                <w:lang w:val="en-GB"/>
              </w:rPr>
              <w:t>,</w:t>
            </w:r>
            <w:r w:rsidRPr="005631E1">
              <w:rPr>
                <w:rFonts w:ascii="Garamond" w:hAnsi="Garamond"/>
                <w:sz w:val="22"/>
                <w:szCs w:val="22"/>
                <w:lang w:val="en-GB"/>
              </w:rPr>
              <w:t xml:space="preserve"> costs, which are not a result of or linked to an individual development programme/project.</w:t>
            </w:r>
          </w:p>
          <w:p w14:paraId="0416CC6C" w14:textId="77777777" w:rsidR="00D83152" w:rsidRPr="005631E1" w:rsidRDefault="00D83152" w:rsidP="00A248AB">
            <w:pPr>
              <w:rPr>
                <w:rFonts w:ascii="Garamond" w:hAnsi="Garamond"/>
                <w:sz w:val="22"/>
                <w:szCs w:val="22"/>
                <w:lang w:val="en-GB"/>
              </w:rPr>
            </w:pPr>
          </w:p>
          <w:p w14:paraId="79ACEB00"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The following costs for administration are typically considered to be covered by the administrative costs:</w:t>
            </w:r>
          </w:p>
          <w:p w14:paraId="79C05FCC" w14:textId="38A6CE73"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Administration and accounting of the organisation itself (i.e.</w:t>
            </w:r>
            <w:r w:rsidR="005631E1" w:rsidRPr="005631E1">
              <w:rPr>
                <w:rFonts w:ascii="Garamond" w:hAnsi="Garamond"/>
                <w:sz w:val="22"/>
                <w:szCs w:val="22"/>
                <w:lang w:val="en-GB"/>
              </w:rPr>
              <w:t>,</w:t>
            </w:r>
            <w:r w:rsidRPr="005631E1">
              <w:rPr>
                <w:rFonts w:ascii="Garamond" w:hAnsi="Garamond"/>
                <w:sz w:val="22"/>
                <w:szCs w:val="22"/>
                <w:lang w:val="en-GB"/>
              </w:rPr>
              <w:t xml:space="preserve"> not related to program activities).</w:t>
            </w:r>
          </w:p>
          <w:p w14:paraId="64281E9A" w14:textId="724AD463"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Visits and monitoring visits not part of activity-specific monitoring (i.e.</w:t>
            </w:r>
            <w:r w:rsidR="005631E1" w:rsidRPr="005631E1">
              <w:rPr>
                <w:rFonts w:ascii="Garamond" w:hAnsi="Garamond"/>
                <w:sz w:val="22"/>
                <w:szCs w:val="22"/>
                <w:lang w:val="en-GB"/>
              </w:rPr>
              <w:t>,</w:t>
            </w:r>
            <w:r w:rsidRPr="005631E1">
              <w:rPr>
                <w:rFonts w:ascii="Garamond" w:hAnsi="Garamond"/>
                <w:sz w:val="22"/>
                <w:szCs w:val="22"/>
                <w:lang w:val="en-GB"/>
              </w:rPr>
              <w:t xml:space="preserve"> activity-specific monitoring is included in A.1 or A.3.).</w:t>
            </w:r>
          </w:p>
          <w:p w14:paraId="722ADFC5" w14:textId="3BC2C629"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Recruitment of non-activity-specific personnel (i.e.</w:t>
            </w:r>
            <w:r w:rsidR="005631E1" w:rsidRPr="005631E1">
              <w:rPr>
                <w:rFonts w:ascii="Garamond" w:hAnsi="Garamond"/>
                <w:sz w:val="22"/>
                <w:szCs w:val="22"/>
                <w:lang w:val="en-GB"/>
              </w:rPr>
              <w:t>,</w:t>
            </w:r>
            <w:r w:rsidRPr="005631E1">
              <w:rPr>
                <w:rFonts w:ascii="Garamond" w:hAnsi="Garamond"/>
                <w:sz w:val="22"/>
                <w:szCs w:val="22"/>
                <w:lang w:val="en-GB"/>
              </w:rPr>
              <w:t xml:space="preserve"> recruitment of activity-specific personnel and essential support staff is included in A.1 or A.3.).</w:t>
            </w:r>
          </w:p>
          <w:p w14:paraId="71D782FF"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Contact/dialogue with the MFA (other than participation in coordination of activities financed under the MFA grant).</w:t>
            </w:r>
          </w:p>
          <w:p w14:paraId="73C96958"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Fund raising.</w:t>
            </w:r>
          </w:p>
          <w:p w14:paraId="10DB46CA"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Planning of applications and negotiating proposals.</w:t>
            </w:r>
          </w:p>
          <w:p w14:paraId="47376390" w14:textId="368826D4"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General compliance and administrative and legislative reporting tasks in relation to the organisation (e.g.</w:t>
            </w:r>
            <w:r w:rsidR="005631E1" w:rsidRPr="005631E1">
              <w:rPr>
                <w:rFonts w:ascii="Garamond" w:hAnsi="Garamond"/>
                <w:sz w:val="22"/>
                <w:szCs w:val="22"/>
                <w:lang w:val="en-GB"/>
              </w:rPr>
              <w:t>,</w:t>
            </w:r>
            <w:r w:rsidRPr="005631E1">
              <w:rPr>
                <w:rFonts w:ascii="Garamond" w:hAnsi="Garamond"/>
                <w:sz w:val="22"/>
                <w:szCs w:val="22"/>
                <w:lang w:val="en-GB"/>
              </w:rPr>
              <w:t xml:space="preserve"> VAT, audit).</w:t>
            </w:r>
          </w:p>
          <w:p w14:paraId="32F35D49" w14:textId="3A38F7D3"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General budget and accounts tasks (i.e.</w:t>
            </w:r>
            <w:r w:rsidR="005631E1" w:rsidRPr="005631E1">
              <w:rPr>
                <w:rFonts w:ascii="Garamond" w:hAnsi="Garamond"/>
                <w:sz w:val="22"/>
                <w:szCs w:val="22"/>
                <w:lang w:val="en-GB"/>
              </w:rPr>
              <w:t>,</w:t>
            </w:r>
            <w:r w:rsidRPr="005631E1">
              <w:rPr>
                <w:rFonts w:ascii="Garamond" w:hAnsi="Garamond"/>
                <w:sz w:val="22"/>
                <w:szCs w:val="22"/>
                <w:lang w:val="en-GB"/>
              </w:rPr>
              <w:t xml:space="preserve"> program specific budget and accounting tasks are included in A.1 / A.3. according to actual time registration).</w:t>
            </w:r>
          </w:p>
          <w:p w14:paraId="3D4E886B" w14:textId="7143FB9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w:t>
            </w:r>
            <w:r w:rsidR="005631E1" w:rsidRPr="005631E1">
              <w:rPr>
                <w:rFonts w:ascii="Garamond" w:hAnsi="Garamond"/>
                <w:sz w:val="22"/>
                <w:szCs w:val="22"/>
                <w:lang w:val="en-GB"/>
              </w:rPr>
              <w:t>; i</w:t>
            </w:r>
            <w:r w:rsidRPr="005631E1">
              <w:rPr>
                <w:rFonts w:ascii="Garamond" w:hAnsi="Garamond"/>
                <w:sz w:val="22"/>
                <w:szCs w:val="22"/>
                <w:lang w:val="en-GB"/>
              </w:rPr>
              <w:t>.e.</w:t>
            </w:r>
            <w:r w:rsidR="005631E1" w:rsidRPr="005631E1">
              <w:rPr>
                <w:rFonts w:ascii="Garamond" w:hAnsi="Garamond"/>
                <w:sz w:val="22"/>
                <w:szCs w:val="22"/>
                <w:lang w:val="en-GB"/>
              </w:rPr>
              <w:t>,</w:t>
            </w:r>
            <w:r w:rsidRPr="005631E1">
              <w:rPr>
                <w:rFonts w:ascii="Garamond" w:hAnsi="Garamond"/>
                <w:sz w:val="22"/>
                <w:szCs w:val="22"/>
                <w:lang w:val="en-GB"/>
              </w:rPr>
              <w:t xml:space="preserve"> activity specific involvement documented by time registration may be included in A.1. or A.3.).</w:t>
            </w:r>
          </w:p>
          <w:p w14:paraId="08D454FB" w14:textId="77777777" w:rsidR="00D83152" w:rsidRPr="005631E1" w:rsidRDefault="00D83152" w:rsidP="00A248AB">
            <w:pPr>
              <w:rPr>
                <w:rFonts w:ascii="Garamond" w:hAnsi="Garamond"/>
                <w:sz w:val="22"/>
                <w:szCs w:val="22"/>
                <w:lang w:val="en-GB"/>
              </w:rPr>
            </w:pPr>
          </w:p>
          <w:p w14:paraId="54CCC812"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Indirect cost functions enable the organisation to deliver effectively and operate professionally. Enabling functions include:</w:t>
            </w:r>
          </w:p>
          <w:p w14:paraId="4F243ECB"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Maintaining the organisation legally in the jurisdiction in which it is constituted.</w:t>
            </w:r>
          </w:p>
          <w:p w14:paraId="3C89CCEF"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Governing and managing the organisation and ensuring that it is appropriately directed and well controlled.</w:t>
            </w:r>
          </w:p>
          <w:p w14:paraId="0D87C8D7"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Ensuring the organisation’s overall compliance with applicable, laws, regulations and other requirements in its home country or countries.</w:t>
            </w:r>
          </w:p>
          <w:p w14:paraId="2D3095AE"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3BEB092E" w14:textId="1733F485"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Developing and maintaining the global systems required to ensure the effective and efficient delivery of the organisation’s functions</w:t>
            </w:r>
            <w:r w:rsidR="005631E1" w:rsidRPr="005631E1">
              <w:rPr>
                <w:rFonts w:ascii="Garamond" w:hAnsi="Garamond"/>
                <w:sz w:val="22"/>
                <w:szCs w:val="22"/>
                <w:lang w:val="en-GB"/>
              </w:rPr>
              <w:t>,</w:t>
            </w:r>
            <w:r w:rsidRPr="005631E1">
              <w:rPr>
                <w:rFonts w:ascii="Garamond" w:hAnsi="Garamond"/>
                <w:sz w:val="22"/>
                <w:szCs w:val="22"/>
                <w:lang w:val="en-GB"/>
              </w:rPr>
              <w:t xml:space="preserve"> e.g.</w:t>
            </w:r>
            <w:r w:rsidR="005631E1" w:rsidRPr="005631E1">
              <w:rPr>
                <w:rFonts w:ascii="Garamond" w:hAnsi="Garamond"/>
                <w:sz w:val="22"/>
                <w:szCs w:val="22"/>
                <w:lang w:val="en-GB"/>
              </w:rPr>
              <w:t>,</w:t>
            </w:r>
            <w:r w:rsidRPr="005631E1">
              <w:rPr>
                <w:rFonts w:ascii="Garamond" w:hAnsi="Garamond"/>
                <w:sz w:val="22"/>
                <w:szCs w:val="22"/>
                <w:lang w:val="en-GB"/>
              </w:rPr>
              <w:t xml:space="preserve"> the underlying global communications network, security and communications platforms.</w:t>
            </w:r>
          </w:p>
          <w:p w14:paraId="42CC02CD"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Preparing, reviewing and acting upon financial and operational performance reports for the organisation as a whole.</w:t>
            </w:r>
          </w:p>
          <w:p w14:paraId="27944B31" w14:textId="77777777" w:rsidR="00D83152" w:rsidRPr="005631E1" w:rsidRDefault="00D83152" w:rsidP="00A248AB">
            <w:pPr>
              <w:rPr>
                <w:rFonts w:ascii="Garamond" w:hAnsi="Garamond"/>
                <w:sz w:val="22"/>
                <w:szCs w:val="22"/>
                <w:lang w:val="en-GB"/>
              </w:rPr>
            </w:pPr>
          </w:p>
        </w:tc>
      </w:tr>
      <w:tr w:rsidR="00D83152" w:rsidRPr="004F359E" w14:paraId="69B3ED4A" w14:textId="77777777" w:rsidTr="00D83EF6">
        <w:trPr>
          <w:cantSplit/>
          <w:trHeight w:val="70"/>
        </w:trPr>
        <w:tc>
          <w:tcPr>
            <w:tcW w:w="5000" w:type="pct"/>
            <w:gridSpan w:val="4"/>
            <w:shd w:val="clear" w:color="auto" w:fill="F2DBDB" w:themeFill="accent2" w:themeFillTint="33"/>
            <w:vAlign w:val="center"/>
          </w:tcPr>
          <w:p w14:paraId="6F2B5353"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INELIGIBLE COSTS</w:t>
            </w:r>
            <w:r w:rsidRPr="00761621">
              <w:rPr>
                <w:rFonts w:ascii="Garamond" w:hAnsi="Garamond"/>
                <w:sz w:val="22"/>
                <w:szCs w:val="22"/>
                <w:lang w:val="en-GB"/>
              </w:rPr>
              <w:t xml:space="preserve"> (as defined by the Money Where It Counts protocol) are the costs, which are not accepted for funding under the funding arrangement.</w:t>
            </w:r>
          </w:p>
          <w:p w14:paraId="6C288645" w14:textId="77777777" w:rsidR="00D83152" w:rsidRPr="005631E1" w:rsidRDefault="00D83152" w:rsidP="00A248AB">
            <w:pPr>
              <w:rPr>
                <w:rFonts w:ascii="Garamond" w:hAnsi="Garamond"/>
                <w:sz w:val="22"/>
                <w:szCs w:val="22"/>
                <w:lang w:val="en-GB"/>
              </w:rPr>
            </w:pPr>
          </w:p>
        </w:tc>
      </w:tr>
      <w:tr w:rsidR="00D83152" w:rsidRPr="005631E1" w14:paraId="51BE5264" w14:textId="77777777" w:rsidTr="00D83EF6">
        <w:trPr>
          <w:cantSplit/>
          <w:trHeight w:val="70"/>
        </w:trPr>
        <w:tc>
          <w:tcPr>
            <w:tcW w:w="399" w:type="pct"/>
            <w:shd w:val="clear" w:color="auto" w:fill="F2DBDB" w:themeFill="accent2" w:themeFillTint="33"/>
            <w:vAlign w:val="center"/>
          </w:tcPr>
          <w:p w14:paraId="2B8A23E9" w14:textId="3B81E600" w:rsidR="00D83152" w:rsidRPr="005631E1" w:rsidRDefault="00D83152" w:rsidP="00761621">
            <w:pPr>
              <w:pStyle w:val="ListParagraph"/>
              <w:ind w:left="25"/>
              <w:rPr>
                <w:rFonts w:ascii="Garamond" w:hAnsi="Garamond"/>
                <w:b/>
                <w:sz w:val="22"/>
                <w:szCs w:val="22"/>
                <w:u w:val="single"/>
                <w:lang w:val="en-GB"/>
              </w:rPr>
            </w:pPr>
            <w:r w:rsidRPr="005631E1">
              <w:rPr>
                <w:rFonts w:ascii="Garamond" w:hAnsi="Garamond"/>
                <w:b/>
                <w:sz w:val="22"/>
                <w:szCs w:val="22"/>
                <w:u w:val="single"/>
                <w:lang w:val="en-GB"/>
              </w:rPr>
              <w:t>C.</w:t>
            </w:r>
          </w:p>
          <w:p w14:paraId="6D9066F3" w14:textId="6343184B" w:rsidR="00D83152" w:rsidRPr="005631E1" w:rsidRDefault="00D83152" w:rsidP="00761621">
            <w:pPr>
              <w:pStyle w:val="ListParagraph"/>
              <w:ind w:left="25"/>
              <w:rPr>
                <w:rFonts w:ascii="Garamond" w:hAnsi="Garamond"/>
                <w:b/>
                <w:sz w:val="22"/>
                <w:szCs w:val="22"/>
                <w:u w:val="single"/>
                <w:lang w:val="en-GB"/>
              </w:rPr>
            </w:pPr>
            <w:r w:rsidRPr="005631E1">
              <w:rPr>
                <w:rFonts w:ascii="Garamond" w:hAnsi="Garamond"/>
                <w:b/>
                <w:sz w:val="22"/>
                <w:szCs w:val="22"/>
                <w:u w:val="single"/>
                <w:lang w:val="en-GB"/>
              </w:rPr>
              <w:t>Ineligible costs</w:t>
            </w:r>
          </w:p>
        </w:tc>
        <w:tc>
          <w:tcPr>
            <w:tcW w:w="578" w:type="pct"/>
            <w:shd w:val="clear" w:color="auto" w:fill="F2DBDB" w:themeFill="accent2" w:themeFillTint="33"/>
          </w:tcPr>
          <w:p w14:paraId="57CA7927" w14:textId="77777777" w:rsidR="00D83152" w:rsidRPr="005631E1" w:rsidRDefault="00D83152" w:rsidP="00A248AB">
            <w:pPr>
              <w:rPr>
                <w:rFonts w:ascii="Garamond" w:hAnsi="Garamond"/>
                <w:b/>
                <w:sz w:val="22"/>
                <w:szCs w:val="22"/>
                <w:lang w:val="en-GB"/>
              </w:rPr>
            </w:pPr>
          </w:p>
        </w:tc>
        <w:tc>
          <w:tcPr>
            <w:tcW w:w="845" w:type="pct"/>
            <w:shd w:val="clear" w:color="auto" w:fill="F2DBDB" w:themeFill="accent2" w:themeFillTint="33"/>
          </w:tcPr>
          <w:p w14:paraId="0D96B732" w14:textId="77777777" w:rsidR="00D83152" w:rsidRPr="005631E1" w:rsidRDefault="00D83152" w:rsidP="00A248AB">
            <w:pPr>
              <w:rPr>
                <w:rFonts w:ascii="Garamond" w:hAnsi="Garamond"/>
                <w:sz w:val="22"/>
                <w:szCs w:val="22"/>
                <w:lang w:val="en-GB"/>
              </w:rPr>
            </w:pPr>
          </w:p>
        </w:tc>
        <w:tc>
          <w:tcPr>
            <w:tcW w:w="3178" w:type="pct"/>
            <w:shd w:val="clear" w:color="auto" w:fill="F2DBDB" w:themeFill="accent2" w:themeFillTint="33"/>
          </w:tcPr>
          <w:p w14:paraId="69FEAD76"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Guidance and thresholds:</w:t>
            </w:r>
          </w:p>
          <w:p w14:paraId="6A517FD3"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Not to be included in budgets or reporting.</w:t>
            </w:r>
          </w:p>
          <w:p w14:paraId="53A1BA70" w14:textId="5817C74A"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Shall be covered by other (i.e.</w:t>
            </w:r>
            <w:r w:rsidR="005631E1" w:rsidRPr="005631E1">
              <w:rPr>
                <w:rFonts w:ascii="Garamond" w:hAnsi="Garamond"/>
                <w:sz w:val="22"/>
                <w:szCs w:val="22"/>
                <w:lang w:val="en-GB"/>
              </w:rPr>
              <w:t>,</w:t>
            </w:r>
            <w:r w:rsidRPr="005631E1">
              <w:rPr>
                <w:rFonts w:ascii="Garamond" w:hAnsi="Garamond"/>
                <w:sz w:val="22"/>
                <w:szCs w:val="22"/>
                <w:lang w:val="en-GB"/>
              </w:rPr>
              <w:t xml:space="preserve"> non-MFA) sources of funding.</w:t>
            </w:r>
          </w:p>
          <w:p w14:paraId="7E7A2D08" w14:textId="77777777" w:rsidR="00D83152" w:rsidRPr="005631E1" w:rsidRDefault="00D83152" w:rsidP="00A248AB">
            <w:pPr>
              <w:rPr>
                <w:rFonts w:ascii="Garamond" w:hAnsi="Garamond"/>
                <w:sz w:val="22"/>
                <w:szCs w:val="22"/>
                <w:lang w:val="en-GB"/>
              </w:rPr>
            </w:pPr>
          </w:p>
          <w:p w14:paraId="301E7DA6"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The following costs are considered ineligible (unless explicitly agreed):</w:t>
            </w:r>
          </w:p>
          <w:p w14:paraId="1CC718F5"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Losses due to fraud and corruption.</w:t>
            </w:r>
          </w:p>
          <w:p w14:paraId="1D1525B4"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Purchase of land and buildings.</w:t>
            </w:r>
          </w:p>
          <w:p w14:paraId="4F5434CB"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Disallowed costs (disallowed costs of local partners or costs irrelevant for the agreed purpose of the funding arrangement or outside project period).</w:t>
            </w:r>
          </w:p>
          <w:p w14:paraId="6C7A37BF" w14:textId="2345506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Costs of general fundraising for un-earmarked funding (i.e.</w:t>
            </w:r>
            <w:r w:rsidR="005631E1" w:rsidRPr="005631E1">
              <w:rPr>
                <w:rFonts w:ascii="Garamond" w:hAnsi="Garamond"/>
                <w:sz w:val="22"/>
                <w:szCs w:val="22"/>
                <w:lang w:val="en-GB"/>
              </w:rPr>
              <w:t>,</w:t>
            </w:r>
            <w:r w:rsidRPr="005631E1">
              <w:rPr>
                <w:rFonts w:ascii="Garamond" w:hAnsi="Garamond"/>
                <w:sz w:val="22"/>
                <w:szCs w:val="22"/>
                <w:lang w:val="en-GB"/>
              </w:rPr>
              <w:t xml:space="preserve"> unrelated to the specific project/programme).</w:t>
            </w:r>
          </w:p>
          <w:p w14:paraId="27B978B9"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Costs of gifts and donations.</w:t>
            </w:r>
          </w:p>
          <w:p w14:paraId="11591F10"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Alcohol and tobacco.</w:t>
            </w:r>
          </w:p>
          <w:p w14:paraId="230951BA" w14:textId="77777777" w:rsidR="00D83152" w:rsidRPr="005631E1" w:rsidRDefault="00D83152" w:rsidP="00D83152">
            <w:pPr>
              <w:pStyle w:val="ListParagraph"/>
              <w:numPr>
                <w:ilvl w:val="0"/>
                <w:numId w:val="20"/>
              </w:numPr>
              <w:rPr>
                <w:rFonts w:ascii="Garamond" w:hAnsi="Garamond"/>
                <w:sz w:val="22"/>
                <w:szCs w:val="22"/>
                <w:lang w:val="en-GB"/>
              </w:rPr>
            </w:pPr>
            <w:r w:rsidRPr="005631E1">
              <w:rPr>
                <w:rFonts w:ascii="Garamond" w:hAnsi="Garamond"/>
                <w:sz w:val="22"/>
                <w:szCs w:val="22"/>
                <w:lang w:val="en-GB"/>
              </w:rPr>
              <w:t>Excessive or reckless expenditure.</w:t>
            </w:r>
          </w:p>
          <w:p w14:paraId="379106CA" w14:textId="77777777" w:rsidR="00D83152" w:rsidRPr="005631E1" w:rsidRDefault="00D83152" w:rsidP="00A248AB">
            <w:pPr>
              <w:pStyle w:val="ListParagraph"/>
              <w:ind w:left="360"/>
              <w:rPr>
                <w:rFonts w:ascii="Garamond" w:hAnsi="Garamond"/>
                <w:sz w:val="22"/>
                <w:szCs w:val="22"/>
                <w:lang w:val="en-GB"/>
              </w:rPr>
            </w:pPr>
          </w:p>
        </w:tc>
      </w:tr>
    </w:tbl>
    <w:p w14:paraId="3700B87E" w14:textId="77766AAE" w:rsidR="007E2B22" w:rsidRPr="00121CE3" w:rsidRDefault="007E2B22" w:rsidP="00AC4601">
      <w:pPr>
        <w:rPr>
          <w:rFonts w:ascii="Garamond" w:hAnsi="Garamond" w:cstheme="minorHAnsi"/>
          <w:sz w:val="24"/>
          <w:szCs w:val="24"/>
          <w:lang w:val="en-GB"/>
        </w:rPr>
      </w:pPr>
    </w:p>
    <w:sectPr w:rsidR="007E2B22" w:rsidRPr="00121CE3" w:rsidSect="004F359E">
      <w:headerReference w:type="default" r:id="rId8"/>
      <w:footerReference w:type="default" r:id="rId9"/>
      <w:pgSz w:w="16838" w:h="23811" w:code="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Footer"/>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44AB37D4" w:rsidR="00387B54" w:rsidRPr="009A12DA" w:rsidRDefault="00387B54" w:rsidP="004F359E">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44787"/>
    <w:rsid w:val="000A4923"/>
    <w:rsid w:val="000E4B78"/>
    <w:rsid w:val="000E6112"/>
    <w:rsid w:val="001044C1"/>
    <w:rsid w:val="00121CE3"/>
    <w:rsid w:val="001B200E"/>
    <w:rsid w:val="001D5197"/>
    <w:rsid w:val="001F4F79"/>
    <w:rsid w:val="00202E98"/>
    <w:rsid w:val="00214323"/>
    <w:rsid w:val="00222518"/>
    <w:rsid w:val="00223917"/>
    <w:rsid w:val="00245BDD"/>
    <w:rsid w:val="002476E7"/>
    <w:rsid w:val="00260448"/>
    <w:rsid w:val="00283B31"/>
    <w:rsid w:val="002A62CE"/>
    <w:rsid w:val="002D0C5B"/>
    <w:rsid w:val="002E4C06"/>
    <w:rsid w:val="002F1B0A"/>
    <w:rsid w:val="002F5E39"/>
    <w:rsid w:val="003500E9"/>
    <w:rsid w:val="00387B54"/>
    <w:rsid w:val="00393686"/>
    <w:rsid w:val="00394064"/>
    <w:rsid w:val="003D7CF9"/>
    <w:rsid w:val="003E5FAA"/>
    <w:rsid w:val="003E6B76"/>
    <w:rsid w:val="004023AE"/>
    <w:rsid w:val="0040705B"/>
    <w:rsid w:val="00446B0B"/>
    <w:rsid w:val="00460F93"/>
    <w:rsid w:val="0047337D"/>
    <w:rsid w:val="00481CBE"/>
    <w:rsid w:val="004862DF"/>
    <w:rsid w:val="004B7B3D"/>
    <w:rsid w:val="004D56FF"/>
    <w:rsid w:val="004E049E"/>
    <w:rsid w:val="004F359E"/>
    <w:rsid w:val="00516E9E"/>
    <w:rsid w:val="00547F70"/>
    <w:rsid w:val="005631E1"/>
    <w:rsid w:val="005C048B"/>
    <w:rsid w:val="005D280A"/>
    <w:rsid w:val="00611D99"/>
    <w:rsid w:val="006254F7"/>
    <w:rsid w:val="00667843"/>
    <w:rsid w:val="00670028"/>
    <w:rsid w:val="006F3FC4"/>
    <w:rsid w:val="007000AD"/>
    <w:rsid w:val="00706BA0"/>
    <w:rsid w:val="00736937"/>
    <w:rsid w:val="00737AAA"/>
    <w:rsid w:val="00740DA0"/>
    <w:rsid w:val="00742629"/>
    <w:rsid w:val="00760A23"/>
    <w:rsid w:val="00761621"/>
    <w:rsid w:val="0077599A"/>
    <w:rsid w:val="0078516F"/>
    <w:rsid w:val="00785648"/>
    <w:rsid w:val="007C46DA"/>
    <w:rsid w:val="007D2987"/>
    <w:rsid w:val="007D6D48"/>
    <w:rsid w:val="007E2B22"/>
    <w:rsid w:val="00804871"/>
    <w:rsid w:val="00844467"/>
    <w:rsid w:val="00852D6D"/>
    <w:rsid w:val="00865C3C"/>
    <w:rsid w:val="008B66C7"/>
    <w:rsid w:val="008C6536"/>
    <w:rsid w:val="00922ECD"/>
    <w:rsid w:val="009609B7"/>
    <w:rsid w:val="009854F8"/>
    <w:rsid w:val="0098596C"/>
    <w:rsid w:val="009A2F43"/>
    <w:rsid w:val="009B0360"/>
    <w:rsid w:val="009B1A1F"/>
    <w:rsid w:val="009B36AF"/>
    <w:rsid w:val="009C11B4"/>
    <w:rsid w:val="009D713C"/>
    <w:rsid w:val="009D74F8"/>
    <w:rsid w:val="009D77A1"/>
    <w:rsid w:val="009F0CED"/>
    <w:rsid w:val="00A01166"/>
    <w:rsid w:val="00A0214B"/>
    <w:rsid w:val="00A15B64"/>
    <w:rsid w:val="00A248AB"/>
    <w:rsid w:val="00A429DD"/>
    <w:rsid w:val="00A46CFF"/>
    <w:rsid w:val="00A6724C"/>
    <w:rsid w:val="00A67D6E"/>
    <w:rsid w:val="00A90A44"/>
    <w:rsid w:val="00AC4601"/>
    <w:rsid w:val="00AE023A"/>
    <w:rsid w:val="00B17D22"/>
    <w:rsid w:val="00B270E4"/>
    <w:rsid w:val="00B47910"/>
    <w:rsid w:val="00BA1035"/>
    <w:rsid w:val="00BB1B78"/>
    <w:rsid w:val="00BB69CD"/>
    <w:rsid w:val="00C02F66"/>
    <w:rsid w:val="00C17BFF"/>
    <w:rsid w:val="00C2494F"/>
    <w:rsid w:val="00C25601"/>
    <w:rsid w:val="00C30F76"/>
    <w:rsid w:val="00C91316"/>
    <w:rsid w:val="00CB48C1"/>
    <w:rsid w:val="00CB7217"/>
    <w:rsid w:val="00CD18F8"/>
    <w:rsid w:val="00CD6E5C"/>
    <w:rsid w:val="00D048D5"/>
    <w:rsid w:val="00D359FE"/>
    <w:rsid w:val="00D5111E"/>
    <w:rsid w:val="00D56003"/>
    <w:rsid w:val="00D61A50"/>
    <w:rsid w:val="00D75293"/>
    <w:rsid w:val="00D83152"/>
    <w:rsid w:val="00D83EF6"/>
    <w:rsid w:val="00DC2AE4"/>
    <w:rsid w:val="00DD1A7D"/>
    <w:rsid w:val="00DD3D19"/>
    <w:rsid w:val="00DE5F0E"/>
    <w:rsid w:val="00E10791"/>
    <w:rsid w:val="00E2614F"/>
    <w:rsid w:val="00E47143"/>
    <w:rsid w:val="00E5715F"/>
    <w:rsid w:val="00E710B8"/>
    <w:rsid w:val="00E72535"/>
    <w:rsid w:val="00EA0D84"/>
    <w:rsid w:val="00EE05BE"/>
    <w:rsid w:val="00EE5DCA"/>
    <w:rsid w:val="00EF2375"/>
    <w:rsid w:val="00F5380D"/>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15F"/>
    <w:pPr>
      <w:spacing w:after="10"/>
      <w:jc w:val="center"/>
      <w:outlineLvl w:val="1"/>
    </w:pPr>
    <w:rPr>
      <w:rFonts w:ascii="Garamond" w:hAnsi="Garamond"/>
      <w:b/>
      <w:sz w:val="32"/>
      <w:szCs w:val="32"/>
      <w:lang w:val="en-GB"/>
    </w:rPr>
  </w:style>
  <w:style w:type="paragraph" w:styleId="Heading3">
    <w:name w:val="heading 3"/>
    <w:basedOn w:val="Normal"/>
    <w:next w:val="Normal"/>
    <w:link w:val="Heading3Char"/>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0E4B78"/>
    <w:pPr>
      <w:keepNext/>
      <w:spacing w:after="0" w:line="240" w:lineRule="auto"/>
      <w:outlineLvl w:val="8"/>
    </w:pPr>
    <w:rPr>
      <w:rFonts w:ascii="Arial" w:eastAsia="Times New Roman" w:hAnsi="Arial" w:cs="Arial"/>
      <w:b/>
      <w:bCs/>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7E2B22"/>
    <w:pPr>
      <w:ind w:left="720"/>
      <w:contextualSpacing/>
    </w:pPr>
  </w:style>
  <w:style w:type="table" w:styleId="TableGrid">
    <w:name w:val="Table Grid"/>
    <w:basedOn w:val="Table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4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54F7"/>
  </w:style>
  <w:style w:type="paragraph" w:styleId="Footer">
    <w:name w:val="footer"/>
    <w:basedOn w:val="Normal"/>
    <w:link w:val="FooterChar"/>
    <w:uiPriority w:val="99"/>
    <w:unhideWhenUsed/>
    <w:rsid w:val="00625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54F7"/>
  </w:style>
  <w:style w:type="paragraph" w:styleId="FootnoteText">
    <w:name w:val="footnote text"/>
    <w:basedOn w:val="Normal"/>
    <w:link w:val="FootnoteTextChar"/>
    <w:semiHidden/>
    <w:unhideWhenUsed/>
    <w:rsid w:val="000E4B78"/>
    <w:pPr>
      <w:spacing w:after="0" w:line="240" w:lineRule="auto"/>
    </w:pPr>
  </w:style>
  <w:style w:type="character" w:customStyle="1" w:styleId="FootnoteTextChar">
    <w:name w:val="Footnote Text Char"/>
    <w:basedOn w:val="DefaultParagraphFont"/>
    <w:link w:val="FootnoteText"/>
    <w:semiHidden/>
    <w:rsid w:val="000E4B78"/>
  </w:style>
  <w:style w:type="character" w:styleId="FootnoteReference">
    <w:name w:val="footnote reference"/>
    <w:basedOn w:val="DefaultParagraphFont"/>
    <w:uiPriority w:val="99"/>
    <w:semiHidden/>
    <w:unhideWhenUsed/>
    <w:rsid w:val="000E4B78"/>
    <w:rPr>
      <w:vertAlign w:val="superscript"/>
    </w:rPr>
  </w:style>
  <w:style w:type="character" w:customStyle="1" w:styleId="Heading9Char">
    <w:name w:val="Heading 9 Char"/>
    <w:basedOn w:val="DefaultParagraphFont"/>
    <w:link w:val="Heading9"/>
    <w:rsid w:val="000E4B78"/>
    <w:rPr>
      <w:rFonts w:ascii="Arial" w:eastAsia="Times New Roman" w:hAnsi="Arial" w:cs="Arial"/>
      <w:b/>
      <w:bCs/>
      <w:lang w:eastAsia="da-DK"/>
    </w:r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0E4B78"/>
  </w:style>
  <w:style w:type="paragraph" w:styleId="BodyText2">
    <w:name w:val="Body Text 2"/>
    <w:basedOn w:val="Normal"/>
    <w:link w:val="BodyText2Char"/>
    <w:semiHidden/>
    <w:rsid w:val="000E4B78"/>
    <w:pPr>
      <w:spacing w:after="0" w:line="240" w:lineRule="auto"/>
    </w:pPr>
    <w:rPr>
      <w:rFonts w:ascii="Arial" w:eastAsia="Times New Roman" w:hAnsi="Arial" w:cs="Arial"/>
      <w:lang w:eastAsia="da-DK"/>
    </w:rPr>
  </w:style>
  <w:style w:type="character" w:customStyle="1" w:styleId="BodyText2Char">
    <w:name w:val="Body Text 2 Char"/>
    <w:basedOn w:val="DefaultParagraphFont"/>
    <w:link w:val="BodyText2"/>
    <w:semiHidden/>
    <w:rsid w:val="000E4B78"/>
    <w:rPr>
      <w:rFonts w:ascii="Arial" w:eastAsia="Times New Roman" w:hAnsi="Arial" w:cs="Arial"/>
      <w:lang w:eastAsia="da-DK"/>
    </w:rPr>
  </w:style>
  <w:style w:type="table" w:customStyle="1" w:styleId="Tabel-Gitter2">
    <w:name w:val="Tabel - Gitter2"/>
    <w:basedOn w:val="Table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B78"/>
    <w:rPr>
      <w:color w:val="0000FF" w:themeColor="hyperlink"/>
      <w:u w:val="single"/>
    </w:rPr>
  </w:style>
  <w:style w:type="paragraph" w:styleId="NoSpacing">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CommentReference">
    <w:name w:val="annotation reference"/>
    <w:basedOn w:val="DefaultParagraphFont"/>
    <w:uiPriority w:val="99"/>
    <w:semiHidden/>
    <w:unhideWhenUsed/>
    <w:rsid w:val="00706BA0"/>
    <w:rPr>
      <w:sz w:val="16"/>
      <w:szCs w:val="16"/>
    </w:rPr>
  </w:style>
  <w:style w:type="paragraph" w:styleId="CommentText">
    <w:name w:val="annotation text"/>
    <w:basedOn w:val="Normal"/>
    <w:link w:val="CommentTextChar"/>
    <w:uiPriority w:val="99"/>
    <w:semiHidden/>
    <w:unhideWhenUsed/>
    <w:rsid w:val="00706BA0"/>
    <w:pPr>
      <w:spacing w:line="240" w:lineRule="auto"/>
    </w:pPr>
  </w:style>
  <w:style w:type="character" w:customStyle="1" w:styleId="CommentTextChar">
    <w:name w:val="Comment Text Char"/>
    <w:basedOn w:val="DefaultParagraphFont"/>
    <w:link w:val="CommentText"/>
    <w:uiPriority w:val="99"/>
    <w:semiHidden/>
    <w:rsid w:val="00706BA0"/>
  </w:style>
  <w:style w:type="paragraph" w:styleId="CommentSubject">
    <w:name w:val="annotation subject"/>
    <w:basedOn w:val="CommentText"/>
    <w:next w:val="CommentText"/>
    <w:link w:val="CommentSubjectChar"/>
    <w:uiPriority w:val="99"/>
    <w:semiHidden/>
    <w:unhideWhenUsed/>
    <w:rsid w:val="00706BA0"/>
    <w:rPr>
      <w:b/>
      <w:bCs/>
    </w:rPr>
  </w:style>
  <w:style w:type="character" w:customStyle="1" w:styleId="CommentSubjectChar">
    <w:name w:val="Comment Subject Char"/>
    <w:basedOn w:val="CommentTextChar"/>
    <w:link w:val="CommentSubject"/>
    <w:uiPriority w:val="99"/>
    <w:semiHidden/>
    <w:rsid w:val="00706BA0"/>
    <w:rPr>
      <w:b/>
      <w:bCs/>
    </w:rPr>
  </w:style>
  <w:style w:type="character" w:customStyle="1" w:styleId="Heading1Char">
    <w:name w:val="Heading 1 Char"/>
    <w:basedOn w:val="DefaultParagraphFont"/>
    <w:link w:val="Heading1"/>
    <w:uiPriority w:val="9"/>
    <w:rsid w:val="00C02F6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47143"/>
    <w:rPr>
      <w:color w:val="605E5C"/>
      <w:shd w:val="clear" w:color="auto" w:fill="E1DFDD"/>
    </w:rPr>
  </w:style>
  <w:style w:type="character" w:customStyle="1" w:styleId="Heading2Char">
    <w:name w:val="Heading 2 Char"/>
    <w:basedOn w:val="DefaultParagraphFont"/>
    <w:link w:val="Heading2"/>
    <w:uiPriority w:val="9"/>
    <w:rsid w:val="00E5715F"/>
    <w:rPr>
      <w:rFonts w:ascii="Garamond" w:hAnsi="Garamond"/>
      <w:b/>
      <w:sz w:val="32"/>
      <w:szCs w:val="32"/>
      <w:lang w:val="en-GB"/>
    </w:rPr>
  </w:style>
  <w:style w:type="character" w:customStyle="1" w:styleId="Heading3Char">
    <w:name w:val="Heading 3 Char"/>
    <w:basedOn w:val="DefaultParagraphFont"/>
    <w:link w:val="Heading3"/>
    <w:uiPriority w:val="9"/>
    <w:rsid w:val="00D83E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2" ma:contentTypeDescription="Create a new document." ma:contentTypeScope="" ma:versionID="d66efce7554ee2adb7406d68c863f4e4">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1c1b5ad8674e13e349be4eb1545a1680"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2.xml><?xml version="1.0" encoding="utf-8"?>
<ds:datastoreItem xmlns:ds="http://schemas.openxmlformats.org/officeDocument/2006/customXml" ds:itemID="{7E7475F3-8CF5-49A4-A37A-2FFF0CFC82E6}"/>
</file>

<file path=customXml/itemProps3.xml><?xml version="1.0" encoding="utf-8"?>
<ds:datastoreItem xmlns:ds="http://schemas.openxmlformats.org/officeDocument/2006/customXml" ds:itemID="{2F30D951-4AB2-4A33-AE7F-D1F403575128}"/>
</file>

<file path=customXml/itemProps4.xml><?xml version="1.0" encoding="utf-8"?>
<ds:datastoreItem xmlns:ds="http://schemas.openxmlformats.org/officeDocument/2006/customXml" ds:itemID="{BB06153A-0A8D-4A1A-A86D-22AFBFE0BD5A}"/>
</file>

<file path=docProps/app.xml><?xml version="1.0" encoding="utf-8"?>
<Properties xmlns="http://schemas.openxmlformats.org/officeDocument/2006/extended-properties" xmlns:vt="http://schemas.openxmlformats.org/officeDocument/2006/docPropsVTypes">
  <Template>Normal</Template>
  <TotalTime>2</TotalTime>
  <Pages>3</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Allan Adriansen</cp:lastModifiedBy>
  <cp:revision>4</cp:revision>
  <dcterms:created xsi:type="dcterms:W3CDTF">2025-09-16T09:01:00Z</dcterms:created>
  <dcterms:modified xsi:type="dcterms:W3CDTF">2025-09-16T09:15:00Z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