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1B58" w14:textId="77471B17" w:rsidR="00ED2BD8" w:rsidRPr="009B3BD8" w:rsidRDefault="002B1C52" w:rsidP="004E3458">
      <w:pPr>
        <w:jc w:val="right"/>
        <w:rPr>
          <w:rFonts w:eastAsiaTheme="minorEastAsia"/>
          <w:lang w:eastAsia="da-DK"/>
        </w:rPr>
      </w:pPr>
      <w:bookmarkStart w:id="0" w:name="_GoBack"/>
      <w:bookmarkEnd w:id="0"/>
      <w:r>
        <w:rPr>
          <w:rFonts w:eastAsiaTheme="minorEastAsia"/>
          <w:lang w:eastAsia="da-DK"/>
        </w:rPr>
        <w:t>November</w:t>
      </w:r>
      <w:r w:rsidR="00DE2255" w:rsidRPr="009B3BD8">
        <w:rPr>
          <w:rFonts w:eastAsiaTheme="minorEastAsia"/>
          <w:lang w:eastAsia="da-DK"/>
        </w:rPr>
        <w:t xml:space="preserve"> </w:t>
      </w:r>
      <w:r w:rsidR="00AF2926" w:rsidRPr="009B3BD8">
        <w:rPr>
          <w:rFonts w:eastAsiaTheme="minorEastAsia"/>
          <w:lang w:eastAsia="da-DK"/>
        </w:rPr>
        <w:t>2022</w:t>
      </w:r>
    </w:p>
    <w:p w14:paraId="5F1654E4" w14:textId="77777777" w:rsidR="00A950DF" w:rsidRDefault="00A950DF" w:rsidP="004E3458">
      <w:pPr>
        <w:jc w:val="both"/>
        <w:rPr>
          <w:rFonts w:ascii="Cambria" w:hAnsi="Cambria"/>
          <w:b/>
          <w:sz w:val="26"/>
          <w:szCs w:val="26"/>
        </w:rPr>
      </w:pPr>
    </w:p>
    <w:p w14:paraId="4713F1A5" w14:textId="77777777" w:rsidR="00A950DF" w:rsidRDefault="00A950DF" w:rsidP="004E3458">
      <w:pPr>
        <w:jc w:val="both"/>
        <w:rPr>
          <w:rFonts w:ascii="Cambria" w:hAnsi="Cambria"/>
          <w:b/>
          <w:sz w:val="26"/>
          <w:szCs w:val="26"/>
        </w:rPr>
      </w:pPr>
    </w:p>
    <w:p w14:paraId="40BE53B5" w14:textId="6F42BABB" w:rsidR="000C5ED1" w:rsidRPr="00513776" w:rsidRDefault="00A950DF" w:rsidP="004E3458">
      <w:pPr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Template</w:t>
      </w:r>
      <w:r w:rsidR="000C5ED1" w:rsidRPr="00513776">
        <w:rPr>
          <w:rFonts w:ascii="Cambria" w:hAnsi="Cambria"/>
          <w:b/>
          <w:sz w:val="26"/>
          <w:szCs w:val="26"/>
        </w:rPr>
        <w:t xml:space="preserve"> for p</w:t>
      </w:r>
      <w:r w:rsidR="00D853C8" w:rsidRPr="00513776">
        <w:rPr>
          <w:rFonts w:ascii="Cambria" w:hAnsi="Cambria"/>
          <w:b/>
          <w:sz w:val="26"/>
          <w:szCs w:val="26"/>
        </w:rPr>
        <w:t>resentation to the Programme Committee</w:t>
      </w:r>
      <w:r w:rsidR="001A40C1" w:rsidRPr="00513776">
        <w:rPr>
          <w:rFonts w:ascii="Cambria" w:hAnsi="Cambria"/>
          <w:b/>
          <w:sz w:val="26"/>
          <w:szCs w:val="26"/>
        </w:rPr>
        <w:t xml:space="preserve"> of bilateral programmes and projects a</w:t>
      </w:r>
      <w:r w:rsidR="00BE51EC">
        <w:rPr>
          <w:rFonts w:ascii="Cambria" w:hAnsi="Cambria"/>
          <w:b/>
          <w:sz w:val="26"/>
          <w:szCs w:val="26"/>
        </w:rPr>
        <w:t>s well as</w:t>
      </w:r>
      <w:r w:rsidR="001A40C1" w:rsidRPr="00513776">
        <w:rPr>
          <w:rFonts w:ascii="Cambria" w:hAnsi="Cambria"/>
          <w:b/>
          <w:sz w:val="26"/>
          <w:szCs w:val="26"/>
        </w:rPr>
        <w:t xml:space="preserve"> earmarked multilateral contributions</w:t>
      </w:r>
    </w:p>
    <w:p w14:paraId="1BDFEC3C" w14:textId="2664A6A0" w:rsidR="00A558FA" w:rsidRPr="00684C22" w:rsidRDefault="00684C22" w:rsidP="004E3458">
      <w:pPr>
        <w:jc w:val="both"/>
        <w:rPr>
          <w:rFonts w:eastAsiaTheme="minorEastAsia"/>
          <w:i/>
          <w:lang w:eastAsia="da-DK"/>
        </w:rPr>
      </w:pPr>
      <w:r>
        <w:rPr>
          <w:rFonts w:eastAsiaTheme="minorEastAsia"/>
          <w:i/>
          <w:highlight w:val="yellow"/>
          <w:lang w:eastAsia="da-DK"/>
        </w:rPr>
        <w:t>[</w:t>
      </w:r>
      <w:r w:rsidRPr="00684C22">
        <w:rPr>
          <w:rFonts w:eastAsiaTheme="minorEastAsia"/>
          <w:i/>
          <w:highlight w:val="yellow"/>
          <w:lang w:eastAsia="da-DK"/>
        </w:rPr>
        <w:t xml:space="preserve">Note: </w:t>
      </w:r>
      <w:r w:rsidR="001A40C1" w:rsidRPr="00684C22">
        <w:rPr>
          <w:rFonts w:eastAsiaTheme="minorEastAsia"/>
          <w:i/>
          <w:highlight w:val="yellow"/>
          <w:lang w:eastAsia="da-DK"/>
        </w:rPr>
        <w:t>Th</w:t>
      </w:r>
      <w:r>
        <w:rPr>
          <w:rFonts w:eastAsiaTheme="minorEastAsia"/>
          <w:i/>
          <w:highlight w:val="yellow"/>
          <w:lang w:eastAsia="da-DK"/>
        </w:rPr>
        <w:t xml:space="preserve">is template </w:t>
      </w:r>
      <w:r w:rsidR="00C36E27">
        <w:rPr>
          <w:rFonts w:eastAsiaTheme="minorEastAsia"/>
          <w:i/>
          <w:highlight w:val="yellow"/>
          <w:lang w:eastAsia="da-DK"/>
        </w:rPr>
        <w:t>is</w:t>
      </w:r>
      <w:r w:rsidR="001A40C1" w:rsidRPr="00684C22">
        <w:rPr>
          <w:rFonts w:eastAsiaTheme="minorEastAsia"/>
          <w:i/>
          <w:highlight w:val="yellow"/>
          <w:lang w:eastAsia="da-DK"/>
        </w:rPr>
        <w:t xml:space="preserve"> used for presentation of </w:t>
      </w:r>
      <w:r w:rsidR="00040213" w:rsidRPr="00684C22">
        <w:rPr>
          <w:rFonts w:eastAsiaTheme="minorEastAsia"/>
          <w:i/>
          <w:highlight w:val="yellow"/>
          <w:lang w:eastAsia="da-DK"/>
        </w:rPr>
        <w:t>programmes and projects</w:t>
      </w:r>
      <w:r w:rsidR="001A40C1" w:rsidRPr="00684C22">
        <w:rPr>
          <w:rFonts w:eastAsiaTheme="minorEastAsia"/>
          <w:i/>
          <w:highlight w:val="yellow"/>
          <w:lang w:eastAsia="da-DK"/>
        </w:rPr>
        <w:t xml:space="preserve"> as well as earmarked multilateral contributions to the Programme Committee</w:t>
      </w:r>
      <w:r>
        <w:rPr>
          <w:rFonts w:eastAsiaTheme="minorEastAsia"/>
          <w:i/>
          <w:highlight w:val="yellow"/>
          <w:lang w:eastAsia="da-DK"/>
        </w:rPr>
        <w:t>.</w:t>
      </w:r>
      <w:r w:rsidR="007172CD">
        <w:rPr>
          <w:rFonts w:eastAsiaTheme="minorEastAsia"/>
          <w:i/>
          <w:highlight w:val="yellow"/>
          <w:lang w:eastAsia="da-DK"/>
        </w:rPr>
        <w:t xml:space="preserve"> The template aligns to the template</w:t>
      </w:r>
      <w:r w:rsidR="007172CD" w:rsidRPr="00684C22">
        <w:rPr>
          <w:rFonts w:eastAsiaTheme="minorEastAsia"/>
          <w:i/>
          <w:highlight w:val="yellow"/>
          <w:lang w:eastAsia="da-DK"/>
        </w:rPr>
        <w:t xml:space="preserve"> for “Standard Project/Programme Document (for programmes and projects </w:t>
      </w:r>
      <w:r w:rsidR="00E01C81">
        <w:rPr>
          <w:rFonts w:eastAsiaTheme="minorEastAsia"/>
          <w:i/>
          <w:highlight w:val="yellow"/>
          <w:lang w:eastAsia="da-DK"/>
        </w:rPr>
        <w:t>above</w:t>
      </w:r>
      <w:r w:rsidR="007172CD" w:rsidRPr="00684C22">
        <w:rPr>
          <w:rFonts w:eastAsiaTheme="minorEastAsia"/>
          <w:i/>
          <w:highlight w:val="yellow"/>
          <w:lang w:eastAsia="da-DK"/>
        </w:rPr>
        <w:t xml:space="preserve"> DKK 10 million)”</w:t>
      </w:r>
      <w:r w:rsidR="00317538">
        <w:rPr>
          <w:rFonts w:eastAsiaTheme="minorEastAsia"/>
          <w:i/>
          <w:highlight w:val="yellow"/>
          <w:lang w:eastAsia="da-DK"/>
        </w:rPr>
        <w:t>.</w:t>
      </w:r>
      <w:r w:rsidR="007172CD">
        <w:rPr>
          <w:rFonts w:eastAsiaTheme="minorEastAsia"/>
          <w:i/>
          <w:highlight w:val="yellow"/>
          <w:lang w:eastAsia="da-DK"/>
        </w:rPr>
        <w:t xml:space="preserve"> </w:t>
      </w:r>
      <w:r w:rsidR="00317538">
        <w:rPr>
          <w:rFonts w:eastAsiaTheme="minorEastAsia"/>
          <w:i/>
          <w:highlight w:val="yellow"/>
          <w:lang w:eastAsia="da-DK"/>
        </w:rPr>
        <w:t xml:space="preserve">It </w:t>
      </w:r>
      <w:r w:rsidR="007172CD">
        <w:rPr>
          <w:rFonts w:eastAsiaTheme="minorEastAsia"/>
          <w:i/>
          <w:highlight w:val="yellow"/>
          <w:lang w:eastAsia="da-DK"/>
        </w:rPr>
        <w:t xml:space="preserve">aims to present the programme/project </w:t>
      </w:r>
      <w:r w:rsidR="00DD4FBD" w:rsidRPr="00684C22">
        <w:rPr>
          <w:rFonts w:eastAsiaTheme="minorEastAsia"/>
          <w:i/>
          <w:highlight w:val="yellow"/>
          <w:lang w:eastAsia="da-DK"/>
        </w:rPr>
        <w:t>a</w:t>
      </w:r>
      <w:r w:rsidR="00D853C8" w:rsidRPr="00684C22">
        <w:rPr>
          <w:rFonts w:eastAsiaTheme="minorEastAsia"/>
          <w:i/>
          <w:highlight w:val="yellow"/>
          <w:lang w:eastAsia="da-DK"/>
        </w:rPr>
        <w:t>t an early stage</w:t>
      </w:r>
      <w:r w:rsidR="00EB4B57" w:rsidRPr="00684C22">
        <w:rPr>
          <w:rFonts w:eastAsiaTheme="minorEastAsia"/>
          <w:i/>
          <w:highlight w:val="yellow"/>
          <w:lang w:eastAsia="da-DK"/>
        </w:rPr>
        <w:t xml:space="preserve"> </w:t>
      </w:r>
      <w:r w:rsidR="00DD4FBD" w:rsidRPr="00684C22">
        <w:rPr>
          <w:rFonts w:eastAsiaTheme="minorEastAsia"/>
          <w:i/>
          <w:highlight w:val="yellow"/>
          <w:lang w:eastAsia="da-DK"/>
        </w:rPr>
        <w:t xml:space="preserve">of the formulation process </w:t>
      </w:r>
      <w:r w:rsidR="00EB4B57" w:rsidRPr="00684C22">
        <w:rPr>
          <w:rFonts w:eastAsiaTheme="minorEastAsia"/>
          <w:i/>
          <w:highlight w:val="yellow"/>
          <w:lang w:eastAsia="da-DK"/>
        </w:rPr>
        <w:t xml:space="preserve">to allow for </w:t>
      </w:r>
      <w:r w:rsidR="00EB4B57" w:rsidRPr="00C36E27">
        <w:rPr>
          <w:rFonts w:eastAsiaTheme="minorEastAsia"/>
          <w:b/>
          <w:i/>
          <w:highlight w:val="yellow"/>
          <w:lang w:eastAsia="da-DK"/>
        </w:rPr>
        <w:t>strategic deliberations in the Programme Committee</w:t>
      </w:r>
      <w:r w:rsidR="0053461A" w:rsidRPr="00684C22">
        <w:rPr>
          <w:rFonts w:eastAsiaTheme="minorEastAsia"/>
          <w:i/>
          <w:highlight w:val="yellow"/>
          <w:lang w:eastAsia="da-DK"/>
        </w:rPr>
        <w:t xml:space="preserve">. </w:t>
      </w:r>
      <w:r w:rsidR="00A558FA" w:rsidRPr="00684C22">
        <w:rPr>
          <w:rFonts w:eastAsiaTheme="minorEastAsia"/>
          <w:i/>
          <w:highlight w:val="yellow"/>
          <w:lang w:eastAsia="da-DK"/>
        </w:rPr>
        <w:t xml:space="preserve">The </w:t>
      </w:r>
      <w:r w:rsidR="00A558FA" w:rsidRPr="00C36E27">
        <w:rPr>
          <w:rFonts w:eastAsiaTheme="minorEastAsia"/>
          <w:b/>
          <w:i/>
          <w:highlight w:val="yellow"/>
          <w:lang w:eastAsia="da-DK"/>
        </w:rPr>
        <w:t xml:space="preserve">early version of the programme/project </w:t>
      </w:r>
      <w:r w:rsidR="00452F5C" w:rsidRPr="00C36E27">
        <w:rPr>
          <w:rFonts w:eastAsiaTheme="minorEastAsia"/>
          <w:b/>
          <w:i/>
          <w:highlight w:val="yellow"/>
          <w:lang w:eastAsia="da-DK"/>
        </w:rPr>
        <w:t>document</w:t>
      </w:r>
      <w:r w:rsidR="00A558FA" w:rsidRPr="00684C22">
        <w:rPr>
          <w:rFonts w:eastAsiaTheme="minorEastAsia"/>
          <w:i/>
          <w:highlight w:val="yellow"/>
          <w:lang w:eastAsia="da-DK"/>
        </w:rPr>
        <w:t xml:space="preserve"> should co</w:t>
      </w:r>
      <w:r w:rsidR="00F57FC5" w:rsidRPr="00684C22">
        <w:rPr>
          <w:rFonts w:eastAsiaTheme="minorEastAsia"/>
          <w:i/>
          <w:highlight w:val="yellow"/>
          <w:lang w:eastAsia="da-DK"/>
        </w:rPr>
        <w:t>ver</w:t>
      </w:r>
      <w:r w:rsidR="00A558FA" w:rsidRPr="00684C22">
        <w:rPr>
          <w:rFonts w:eastAsiaTheme="minorEastAsia"/>
          <w:i/>
          <w:highlight w:val="yellow"/>
          <w:lang w:eastAsia="da-DK"/>
        </w:rPr>
        <w:t xml:space="preserve"> the points</w:t>
      </w:r>
      <w:r w:rsidR="00572E90" w:rsidRPr="00684C22">
        <w:rPr>
          <w:rFonts w:eastAsiaTheme="minorEastAsia"/>
          <w:i/>
          <w:highlight w:val="yellow"/>
          <w:lang w:eastAsia="da-DK"/>
        </w:rPr>
        <w:t xml:space="preserve"> outlined </w:t>
      </w:r>
      <w:r w:rsidR="00E01C81">
        <w:rPr>
          <w:rFonts w:eastAsiaTheme="minorEastAsia"/>
          <w:i/>
          <w:highlight w:val="yellow"/>
          <w:lang w:eastAsia="da-DK"/>
        </w:rPr>
        <w:t xml:space="preserve">below </w:t>
      </w:r>
      <w:r w:rsidR="00A558FA" w:rsidRPr="00684C22">
        <w:rPr>
          <w:rFonts w:eastAsiaTheme="minorEastAsia"/>
          <w:i/>
          <w:highlight w:val="yellow"/>
          <w:lang w:eastAsia="da-DK"/>
        </w:rPr>
        <w:t>and should be</w:t>
      </w:r>
      <w:r w:rsidR="00BA4763">
        <w:rPr>
          <w:rFonts w:eastAsiaTheme="minorEastAsia"/>
          <w:i/>
          <w:highlight w:val="yellow"/>
          <w:lang w:eastAsia="da-DK"/>
        </w:rPr>
        <w:t xml:space="preserve"> no more than</w:t>
      </w:r>
      <w:r w:rsidR="00A558FA" w:rsidRPr="00C36E27">
        <w:rPr>
          <w:rFonts w:eastAsiaTheme="minorEastAsia"/>
          <w:b/>
          <w:i/>
          <w:highlight w:val="yellow"/>
          <w:lang w:eastAsia="da-DK"/>
        </w:rPr>
        <w:t xml:space="preserve"> 1</w:t>
      </w:r>
      <w:r w:rsidR="000F2319">
        <w:rPr>
          <w:rFonts w:eastAsiaTheme="minorEastAsia"/>
          <w:b/>
          <w:i/>
          <w:highlight w:val="yellow"/>
          <w:lang w:eastAsia="da-DK"/>
        </w:rPr>
        <w:t>5-20</w:t>
      </w:r>
      <w:r w:rsidR="00A558FA" w:rsidRPr="00C36E27">
        <w:rPr>
          <w:rFonts w:eastAsiaTheme="minorEastAsia"/>
          <w:b/>
          <w:i/>
          <w:highlight w:val="yellow"/>
          <w:lang w:eastAsia="da-DK"/>
        </w:rPr>
        <w:t xml:space="preserve"> pages long</w:t>
      </w:r>
      <w:r w:rsidR="00A558FA" w:rsidRPr="00684C22">
        <w:rPr>
          <w:rFonts w:eastAsiaTheme="minorEastAsia"/>
          <w:i/>
          <w:highlight w:val="yellow"/>
          <w:lang w:eastAsia="da-DK"/>
        </w:rPr>
        <w:t xml:space="preserve">. </w:t>
      </w:r>
      <w:r w:rsidR="00E01C81">
        <w:rPr>
          <w:rFonts w:eastAsiaTheme="minorEastAsia"/>
          <w:i/>
          <w:highlight w:val="yellow"/>
          <w:lang w:eastAsia="da-DK"/>
        </w:rPr>
        <w:t>The document constitutes an interim product in</w:t>
      </w:r>
      <w:r w:rsidR="00A558FA" w:rsidRPr="00684C22">
        <w:rPr>
          <w:rFonts w:eastAsiaTheme="minorEastAsia"/>
          <w:i/>
          <w:highlight w:val="yellow"/>
          <w:lang w:eastAsia="da-DK"/>
        </w:rPr>
        <w:t xml:space="preserve"> the continued drafting process of the programme/project document i.e. it is a work-in-progress product, not a product in itself</w:t>
      </w:r>
      <w:r w:rsidR="000847F5">
        <w:rPr>
          <w:rFonts w:eastAsiaTheme="minorEastAsia"/>
          <w:i/>
          <w:highlight w:val="yellow"/>
          <w:lang w:eastAsia="da-DK"/>
        </w:rPr>
        <w:t>. T</w:t>
      </w:r>
      <w:r w:rsidR="007A6801">
        <w:rPr>
          <w:rFonts w:eastAsiaTheme="minorEastAsia"/>
          <w:i/>
          <w:highlight w:val="yellow"/>
          <w:lang w:eastAsia="da-DK"/>
        </w:rPr>
        <w:t xml:space="preserve">he </w:t>
      </w:r>
      <w:r w:rsidR="00E01C81">
        <w:rPr>
          <w:rFonts w:eastAsiaTheme="minorEastAsia"/>
          <w:i/>
          <w:highlight w:val="yellow"/>
          <w:lang w:eastAsia="da-DK"/>
        </w:rPr>
        <w:t>template</w:t>
      </w:r>
      <w:r w:rsidR="00763808" w:rsidRPr="00684C22">
        <w:rPr>
          <w:rFonts w:eastAsiaTheme="minorEastAsia"/>
          <w:i/>
          <w:highlight w:val="yellow"/>
          <w:lang w:eastAsia="da-DK"/>
        </w:rPr>
        <w:t xml:space="preserve"> should be applied in a flexible manner depending on the nature </w:t>
      </w:r>
      <w:r w:rsidR="007A6801">
        <w:rPr>
          <w:rFonts w:eastAsiaTheme="minorEastAsia"/>
          <w:i/>
          <w:highlight w:val="yellow"/>
          <w:lang w:eastAsia="da-DK"/>
        </w:rPr>
        <w:t xml:space="preserve">and complexity </w:t>
      </w:r>
      <w:r w:rsidR="00763808" w:rsidRPr="00684C22">
        <w:rPr>
          <w:rFonts w:eastAsiaTheme="minorEastAsia"/>
          <w:i/>
          <w:highlight w:val="yellow"/>
          <w:lang w:eastAsia="da-DK"/>
        </w:rPr>
        <w:t>of the programme or project</w:t>
      </w:r>
      <w:r w:rsidR="00A558FA" w:rsidRPr="00684C22">
        <w:rPr>
          <w:rFonts w:eastAsiaTheme="minorEastAsia"/>
          <w:i/>
          <w:highlight w:val="yellow"/>
          <w:lang w:eastAsia="da-DK"/>
        </w:rPr>
        <w:t>.</w:t>
      </w:r>
      <w:r w:rsidR="007A6801">
        <w:rPr>
          <w:rFonts w:eastAsiaTheme="minorEastAsia"/>
          <w:i/>
          <w:highlight w:val="yellow"/>
          <w:lang w:eastAsia="da-DK"/>
        </w:rPr>
        <w:t xml:space="preserve"> Further guidance on presentations to the Programme Committee</w:t>
      </w:r>
      <w:r w:rsidR="00A950DF">
        <w:rPr>
          <w:rFonts w:eastAsiaTheme="minorEastAsia"/>
          <w:i/>
          <w:highlight w:val="yellow"/>
          <w:lang w:eastAsia="da-DK"/>
        </w:rPr>
        <w:t xml:space="preserve"> can</w:t>
      </w:r>
      <w:r w:rsidR="007A6801">
        <w:rPr>
          <w:rFonts w:eastAsiaTheme="minorEastAsia"/>
          <w:i/>
          <w:highlight w:val="yellow"/>
          <w:lang w:eastAsia="da-DK"/>
        </w:rPr>
        <w:t xml:space="preserve"> be found in the “</w:t>
      </w:r>
      <w:r w:rsidR="007A6801" w:rsidRPr="000847F5">
        <w:rPr>
          <w:rFonts w:eastAsiaTheme="minorEastAsia"/>
          <w:i/>
          <w:highlight w:val="yellow"/>
          <w:lang w:eastAsia="da-DK"/>
        </w:rPr>
        <w:t xml:space="preserve">Guidelines for </w:t>
      </w:r>
      <w:r w:rsidR="000847F5" w:rsidRPr="000847F5">
        <w:rPr>
          <w:rFonts w:eastAsiaTheme="minorEastAsia"/>
          <w:i/>
          <w:highlight w:val="yellow"/>
          <w:lang w:eastAsia="da-DK"/>
        </w:rPr>
        <w:t>Approval of Projects, Programmes, Multilateral Organisation Strategies, and Strategic Frameworks</w:t>
      </w:r>
      <w:r w:rsidR="007A6801" w:rsidRPr="000847F5">
        <w:rPr>
          <w:rFonts w:eastAsiaTheme="minorEastAsia"/>
          <w:i/>
          <w:highlight w:val="yellow"/>
          <w:lang w:eastAsia="da-DK"/>
        </w:rPr>
        <w:t>”.</w:t>
      </w:r>
      <w:r w:rsidRPr="000847F5">
        <w:rPr>
          <w:rFonts w:eastAsiaTheme="minorEastAsia"/>
          <w:i/>
          <w:highlight w:val="yellow"/>
          <w:lang w:eastAsia="da-DK"/>
        </w:rPr>
        <w:t>]</w:t>
      </w:r>
      <w:r w:rsidR="00763808" w:rsidRPr="00684C22">
        <w:rPr>
          <w:rFonts w:eastAsiaTheme="minorEastAsia"/>
          <w:i/>
          <w:lang w:eastAsia="da-DK"/>
        </w:rPr>
        <w:t xml:space="preserve"> </w:t>
      </w:r>
    </w:p>
    <w:p w14:paraId="299E1FD8" w14:textId="629A20BB" w:rsidR="00513776" w:rsidRPr="00ED5E4F" w:rsidRDefault="00DE2255" w:rsidP="004E3458">
      <w:pPr>
        <w:spacing w:after="0"/>
        <w:jc w:val="both"/>
        <w:rPr>
          <w:b/>
        </w:rPr>
      </w:pPr>
      <w:r>
        <w:rPr>
          <w:b/>
        </w:rPr>
        <w:t>Appropriation c</w:t>
      </w:r>
      <w:r w:rsidR="00513776" w:rsidRPr="00ED5E4F">
        <w:rPr>
          <w:b/>
        </w:rPr>
        <w:t xml:space="preserve">over </w:t>
      </w:r>
      <w:r>
        <w:rPr>
          <w:b/>
        </w:rPr>
        <w:t>note</w:t>
      </w:r>
    </w:p>
    <w:p w14:paraId="323857A5" w14:textId="5963E076" w:rsidR="00513776" w:rsidRDefault="00B961B9" w:rsidP="004E3458">
      <w:pPr>
        <w:spacing w:line="240" w:lineRule="auto"/>
        <w:jc w:val="both"/>
      </w:pPr>
      <w:r>
        <w:t>Use</w:t>
      </w:r>
      <w:r w:rsidR="00BA4763">
        <w:t xml:space="preserve"> an early version of the</w:t>
      </w:r>
      <w:r>
        <w:t xml:space="preserve"> </w:t>
      </w:r>
      <w:r w:rsidR="00513776">
        <w:t xml:space="preserve">Appropriation Cover Note </w:t>
      </w:r>
      <w:r>
        <w:t>for either programmes or projects, as relevant</w:t>
      </w:r>
      <w:r w:rsidR="00513776">
        <w:t>.</w:t>
      </w:r>
      <w:r>
        <w:t xml:space="preserve"> </w:t>
      </w:r>
      <w:r w:rsidR="00A950DF">
        <w:t xml:space="preserve">Break down of budgets for individual projects may be left out. </w:t>
      </w:r>
    </w:p>
    <w:p w14:paraId="773ACCF1" w14:textId="3402B5A4" w:rsidR="00513776" w:rsidRDefault="00513776" w:rsidP="004E3458">
      <w:pPr>
        <w:pStyle w:val="Listeafsnit"/>
        <w:numPr>
          <w:ilvl w:val="0"/>
          <w:numId w:val="5"/>
        </w:numPr>
        <w:spacing w:after="200" w:line="240" w:lineRule="auto"/>
        <w:jc w:val="both"/>
        <w:rPr>
          <w:b/>
        </w:rPr>
      </w:pPr>
      <w:r>
        <w:rPr>
          <w:b/>
        </w:rPr>
        <w:t>Context, s</w:t>
      </w:r>
      <w:r w:rsidRPr="00AC1017">
        <w:rPr>
          <w:b/>
        </w:rPr>
        <w:t>trategic considerations</w:t>
      </w:r>
      <w:r>
        <w:rPr>
          <w:b/>
        </w:rPr>
        <w:t>, rationale</w:t>
      </w:r>
      <w:r w:rsidRPr="00AC1017">
        <w:rPr>
          <w:b/>
        </w:rPr>
        <w:t xml:space="preserve"> and justification</w:t>
      </w:r>
    </w:p>
    <w:p w14:paraId="701A06DA" w14:textId="614A08C8" w:rsidR="00B961B9" w:rsidRPr="00B961B9" w:rsidRDefault="00B961B9" w:rsidP="004E3458">
      <w:pPr>
        <w:pStyle w:val="Listeafsnit"/>
        <w:numPr>
          <w:ilvl w:val="0"/>
          <w:numId w:val="7"/>
        </w:numPr>
        <w:spacing w:line="240" w:lineRule="auto"/>
        <w:jc w:val="both"/>
      </w:pPr>
      <w:r w:rsidRPr="00B961B9">
        <w:t>Rationale and justification, including lessons learned from previous support</w:t>
      </w:r>
      <w:r w:rsidR="000847F5">
        <w:t>.</w:t>
      </w:r>
    </w:p>
    <w:p w14:paraId="3185C05F" w14:textId="703FBF5D" w:rsidR="00B961B9" w:rsidRPr="00B961B9" w:rsidRDefault="00B961B9" w:rsidP="004E3458">
      <w:pPr>
        <w:pStyle w:val="Listeafsnit"/>
        <w:numPr>
          <w:ilvl w:val="0"/>
          <w:numId w:val="7"/>
        </w:numPr>
        <w:spacing w:line="240" w:lineRule="auto"/>
        <w:jc w:val="both"/>
      </w:pPr>
      <w:r w:rsidRPr="00B961B9">
        <w:t>Choice of implementing partner(s) and aid modalities</w:t>
      </w:r>
      <w:r w:rsidR="00DE2255">
        <w:t>, including the comparative advantage, the partner’s capacity</w:t>
      </w:r>
      <w:r w:rsidR="000847F5">
        <w:t>,</w:t>
      </w:r>
      <w:r w:rsidR="00DE2255">
        <w:t xml:space="preserve"> and how they are situated in the wider context</w:t>
      </w:r>
      <w:r w:rsidR="000847F5">
        <w:t>.</w:t>
      </w:r>
    </w:p>
    <w:p w14:paraId="7A440378" w14:textId="585054CE" w:rsidR="007F2E11" w:rsidRPr="0074697F" w:rsidRDefault="00B961B9" w:rsidP="004E3458">
      <w:pPr>
        <w:pStyle w:val="Listeafsnit"/>
        <w:numPr>
          <w:ilvl w:val="0"/>
          <w:numId w:val="7"/>
        </w:numPr>
        <w:spacing w:after="120" w:line="240" w:lineRule="auto"/>
        <w:ind w:left="714" w:hanging="357"/>
        <w:jc w:val="both"/>
        <w:rPr>
          <w:b/>
        </w:rPr>
      </w:pPr>
      <w:r w:rsidRPr="0074697F">
        <w:t>Poverty orientation and target group considerations</w:t>
      </w:r>
      <w:r w:rsidR="000847F5">
        <w:t xml:space="preserve">, including Gender Age and Disability (GAD), </w:t>
      </w:r>
      <w:r w:rsidRPr="0074697F">
        <w:t>LNOB</w:t>
      </w:r>
      <w:r w:rsidR="000847F5">
        <w:t>,</w:t>
      </w:r>
      <w:r w:rsidRPr="0074697F">
        <w:t xml:space="preserve"> HRBA</w:t>
      </w:r>
      <w:r w:rsidR="000847F5">
        <w:t>,</w:t>
      </w:r>
      <w:r w:rsidRPr="0074697F">
        <w:t xml:space="preserve"> climate change and environmental considerations</w:t>
      </w:r>
      <w:r w:rsidR="008E4F61" w:rsidRPr="0074697F">
        <w:t xml:space="preserve"> </w:t>
      </w:r>
      <w:r w:rsidR="008D23A4">
        <w:t>(</w:t>
      </w:r>
      <w:r w:rsidR="00DD2B7B">
        <w:t xml:space="preserve">targeting or </w:t>
      </w:r>
      <w:r w:rsidRPr="0074697F">
        <w:t>mainstreaming</w:t>
      </w:r>
      <w:r w:rsidR="008D23A4">
        <w:t>)</w:t>
      </w:r>
      <w:r w:rsidR="00DD2B7B">
        <w:t xml:space="preserve"> based on a preliminary screening</w:t>
      </w:r>
      <w:r w:rsidR="000847F5">
        <w:t>.</w:t>
      </w:r>
    </w:p>
    <w:p w14:paraId="262C255A" w14:textId="1CD2370F" w:rsidR="008E4F61" w:rsidRPr="0074697F" w:rsidRDefault="008D23A4" w:rsidP="004E3458">
      <w:pPr>
        <w:pStyle w:val="Listeafsnit"/>
        <w:numPr>
          <w:ilvl w:val="0"/>
          <w:numId w:val="7"/>
        </w:numPr>
        <w:spacing w:after="120" w:line="240" w:lineRule="auto"/>
        <w:ind w:left="714" w:hanging="357"/>
        <w:jc w:val="both"/>
      </w:pPr>
      <w:r>
        <w:t xml:space="preserve">For </w:t>
      </w:r>
      <w:r w:rsidR="0074697F" w:rsidRPr="0074697F">
        <w:t>programme</w:t>
      </w:r>
      <w:r>
        <w:t>s</w:t>
      </w:r>
      <w:r w:rsidR="0074697F" w:rsidRPr="0074697F">
        <w:t xml:space="preserve"> </w:t>
      </w:r>
      <w:r>
        <w:t>and</w:t>
      </w:r>
      <w:r w:rsidR="0074697F" w:rsidRPr="0074697F">
        <w:t xml:space="preserve"> project</w:t>
      </w:r>
      <w:r>
        <w:t>s that</w:t>
      </w:r>
      <w:r w:rsidR="0074697F" w:rsidRPr="0074697F">
        <w:t xml:space="preserve"> </w:t>
      </w:r>
      <w:r w:rsidR="0074697F">
        <w:t xml:space="preserve">target </w:t>
      </w:r>
      <w:r w:rsidR="0074697F" w:rsidRPr="0074697F">
        <w:t xml:space="preserve">climate and/or </w:t>
      </w:r>
      <w:r w:rsidR="0074697F">
        <w:t>environment as principal or significant objective, further explanation/justification is provided</w:t>
      </w:r>
      <w:r w:rsidR="000847F5">
        <w:t>.</w:t>
      </w:r>
      <w:r w:rsidR="0074697F">
        <w:t xml:space="preserve">    </w:t>
      </w:r>
      <w:r w:rsidR="0074697F" w:rsidRPr="0074697F">
        <w:t xml:space="preserve"> </w:t>
      </w:r>
    </w:p>
    <w:p w14:paraId="03E6B4F6" w14:textId="77777777" w:rsidR="009B3BD8" w:rsidRPr="007F2E11" w:rsidRDefault="009B3BD8" w:rsidP="004E3458">
      <w:pPr>
        <w:pStyle w:val="Listeafsnit"/>
        <w:spacing w:after="120" w:line="240" w:lineRule="auto"/>
        <w:ind w:left="714"/>
        <w:jc w:val="both"/>
        <w:rPr>
          <w:b/>
        </w:rPr>
      </w:pPr>
    </w:p>
    <w:p w14:paraId="1250BDC2" w14:textId="6936A75E" w:rsidR="00631A61" w:rsidRDefault="00513776" w:rsidP="004E3458">
      <w:pPr>
        <w:pStyle w:val="Listeafsnit"/>
        <w:numPr>
          <w:ilvl w:val="0"/>
          <w:numId w:val="5"/>
        </w:numPr>
        <w:spacing w:after="120" w:line="240" w:lineRule="auto"/>
        <w:jc w:val="both"/>
        <w:rPr>
          <w:b/>
        </w:rPr>
      </w:pPr>
      <w:r w:rsidRPr="00462ADC">
        <w:rPr>
          <w:b/>
        </w:rPr>
        <w:t xml:space="preserve">Programme or </w:t>
      </w:r>
      <w:r w:rsidR="007A6801">
        <w:rPr>
          <w:b/>
        </w:rPr>
        <w:t>project o</w:t>
      </w:r>
      <w:r w:rsidRPr="00462ADC">
        <w:rPr>
          <w:b/>
        </w:rPr>
        <w:t xml:space="preserve">bjective </w:t>
      </w:r>
    </w:p>
    <w:p w14:paraId="77223238" w14:textId="47A8FC47" w:rsidR="004F73C0" w:rsidRPr="002B1C52" w:rsidRDefault="000847F5" w:rsidP="002B1C52">
      <w:pPr>
        <w:pStyle w:val="Listeafsnit"/>
        <w:numPr>
          <w:ilvl w:val="0"/>
          <w:numId w:val="8"/>
        </w:numPr>
        <w:spacing w:line="240" w:lineRule="auto"/>
        <w:ind w:left="709"/>
        <w:jc w:val="both"/>
        <w:rPr>
          <w:b/>
        </w:rPr>
      </w:pPr>
      <w:r>
        <w:t>Including</w:t>
      </w:r>
      <w:r w:rsidR="007F2E11" w:rsidRPr="007F2E11">
        <w:t xml:space="preserve"> short summary of project/programme content</w:t>
      </w:r>
      <w:r>
        <w:t>.</w:t>
      </w:r>
    </w:p>
    <w:p w14:paraId="0494DB6F" w14:textId="77777777" w:rsidR="00DE2255" w:rsidRPr="007F2E11" w:rsidRDefault="00DE2255" w:rsidP="00DE2255">
      <w:pPr>
        <w:pStyle w:val="Listeafsnit"/>
        <w:spacing w:after="120" w:line="240" w:lineRule="auto"/>
        <w:ind w:left="714"/>
        <w:jc w:val="both"/>
        <w:rPr>
          <w:b/>
        </w:rPr>
      </w:pPr>
    </w:p>
    <w:p w14:paraId="5DB2D883" w14:textId="6DA33405" w:rsidR="00DE2255" w:rsidRDefault="00DE2255" w:rsidP="00DE2255">
      <w:pPr>
        <w:pStyle w:val="Listeafsnit"/>
        <w:numPr>
          <w:ilvl w:val="0"/>
          <w:numId w:val="5"/>
        </w:numPr>
        <w:spacing w:after="120" w:line="240" w:lineRule="auto"/>
        <w:jc w:val="both"/>
        <w:rPr>
          <w:b/>
        </w:rPr>
      </w:pPr>
      <w:r>
        <w:rPr>
          <w:b/>
        </w:rPr>
        <w:t>Theory of change and key assumptions</w:t>
      </w:r>
    </w:p>
    <w:p w14:paraId="3128F35B" w14:textId="763338D5" w:rsidR="00DE2255" w:rsidRPr="002B1C52" w:rsidRDefault="000847F5" w:rsidP="00DE2255">
      <w:pPr>
        <w:pStyle w:val="Listeafsnit"/>
        <w:numPr>
          <w:ilvl w:val="0"/>
          <w:numId w:val="8"/>
        </w:numPr>
        <w:spacing w:line="240" w:lineRule="auto"/>
        <w:ind w:left="709"/>
        <w:jc w:val="both"/>
        <w:rPr>
          <w:b/>
        </w:rPr>
      </w:pPr>
      <w:r>
        <w:t>Including</w:t>
      </w:r>
      <w:r w:rsidR="00DE2255">
        <w:t xml:space="preserve"> drivers of change and a narrative that explains the change process</w:t>
      </w:r>
      <w:r>
        <w:t>.</w:t>
      </w:r>
    </w:p>
    <w:p w14:paraId="11B0160A" w14:textId="77777777" w:rsidR="00915C39" w:rsidRPr="004F73C0" w:rsidRDefault="00915C39" w:rsidP="002B1C52">
      <w:pPr>
        <w:pStyle w:val="Listeafsnit"/>
        <w:spacing w:line="240" w:lineRule="auto"/>
        <w:ind w:left="709"/>
        <w:jc w:val="both"/>
        <w:rPr>
          <w:b/>
        </w:rPr>
      </w:pPr>
    </w:p>
    <w:p w14:paraId="17705B26" w14:textId="3F7C7A88" w:rsidR="004F73C0" w:rsidRPr="004F73C0" w:rsidRDefault="004F73C0" w:rsidP="004F73C0">
      <w:pPr>
        <w:pStyle w:val="Listeafsnit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 xml:space="preserve">Draft </w:t>
      </w:r>
      <w:r w:rsidRPr="00571CB5">
        <w:rPr>
          <w:b/>
        </w:rPr>
        <w:t>results frame</w:t>
      </w:r>
      <w:r>
        <w:rPr>
          <w:b/>
        </w:rPr>
        <w:t>work</w:t>
      </w:r>
      <w:r w:rsidRPr="00571CB5">
        <w:rPr>
          <w:b/>
        </w:rPr>
        <w:t xml:space="preserve"> </w:t>
      </w:r>
    </w:p>
    <w:p w14:paraId="161AA047" w14:textId="26182EFA" w:rsidR="007F2E11" w:rsidRPr="004F73C0" w:rsidRDefault="004F73C0" w:rsidP="004F73C0">
      <w:pPr>
        <w:pStyle w:val="Listeafsnit"/>
        <w:numPr>
          <w:ilvl w:val="0"/>
          <w:numId w:val="8"/>
        </w:numPr>
        <w:spacing w:line="240" w:lineRule="auto"/>
        <w:ind w:left="709"/>
        <w:jc w:val="both"/>
        <w:rPr>
          <w:b/>
        </w:rPr>
      </w:pPr>
      <w:r>
        <w:t>Short summary of expected major outcomes (results)</w:t>
      </w:r>
      <w:r w:rsidR="000847F5">
        <w:t>.</w:t>
      </w:r>
    </w:p>
    <w:p w14:paraId="3A649FBD" w14:textId="77777777" w:rsidR="004F73C0" w:rsidRPr="004F73C0" w:rsidRDefault="004F73C0" w:rsidP="004F73C0">
      <w:pPr>
        <w:pStyle w:val="Listeafsnit"/>
        <w:spacing w:line="240" w:lineRule="auto"/>
        <w:ind w:left="709"/>
        <w:jc w:val="both"/>
        <w:rPr>
          <w:b/>
        </w:rPr>
      </w:pPr>
    </w:p>
    <w:p w14:paraId="0DBCB905" w14:textId="0E139F16" w:rsidR="00631A61" w:rsidRDefault="00631A61" w:rsidP="004E3458">
      <w:pPr>
        <w:pStyle w:val="Listeafsni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F8079F">
        <w:rPr>
          <w:b/>
        </w:rPr>
        <w:t>Inputs/budget</w:t>
      </w:r>
    </w:p>
    <w:p w14:paraId="5197C2CA" w14:textId="2E47CDC0" w:rsidR="007F2E11" w:rsidRPr="007F2E11" w:rsidRDefault="007F2E11" w:rsidP="004E3458">
      <w:pPr>
        <w:pStyle w:val="Listeafsnit"/>
        <w:numPr>
          <w:ilvl w:val="0"/>
          <w:numId w:val="8"/>
        </w:numPr>
        <w:spacing w:after="0" w:line="240" w:lineRule="auto"/>
        <w:ind w:left="709"/>
        <w:jc w:val="both"/>
        <w:rPr>
          <w:b/>
        </w:rPr>
      </w:pPr>
      <w:r>
        <w:t>T</w:t>
      </w:r>
      <w:r w:rsidR="000847F5">
        <w:t>entative budget allocation.</w:t>
      </w:r>
    </w:p>
    <w:p w14:paraId="21CAC0AC" w14:textId="77777777" w:rsidR="00B961B9" w:rsidRDefault="00B961B9" w:rsidP="004E3458">
      <w:pPr>
        <w:pStyle w:val="Listeafsnit"/>
        <w:spacing w:after="0" w:line="240" w:lineRule="auto"/>
        <w:ind w:left="360"/>
        <w:jc w:val="both"/>
        <w:rPr>
          <w:b/>
        </w:rPr>
      </w:pPr>
    </w:p>
    <w:p w14:paraId="3626907B" w14:textId="6A6E9848" w:rsidR="00631A61" w:rsidRDefault="00631A61" w:rsidP="004E3458">
      <w:pPr>
        <w:pStyle w:val="Listeafsni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F8079F">
        <w:rPr>
          <w:b/>
        </w:rPr>
        <w:t>Institutional and Management arrangement</w:t>
      </w:r>
    </w:p>
    <w:p w14:paraId="2FD4E07E" w14:textId="13AD13DF" w:rsidR="009B3BD8" w:rsidRPr="00A4223F" w:rsidRDefault="009B3BD8" w:rsidP="004E3458">
      <w:pPr>
        <w:pStyle w:val="Listeafsnit"/>
        <w:numPr>
          <w:ilvl w:val="0"/>
          <w:numId w:val="8"/>
        </w:numPr>
        <w:spacing w:after="0" w:line="240" w:lineRule="auto"/>
        <w:ind w:left="709"/>
        <w:jc w:val="both"/>
        <w:rPr>
          <w:b/>
        </w:rPr>
      </w:pPr>
      <w:r w:rsidRPr="00C36E27">
        <w:t>Overall</w:t>
      </w:r>
      <w:r w:rsidR="00317538">
        <w:t>, preliminary</w:t>
      </w:r>
      <w:r w:rsidRPr="00C36E27">
        <w:t xml:space="preserve"> considerations pertaining to the organisational set-up</w:t>
      </w:r>
      <w:r w:rsidR="000847F5">
        <w:t>.</w:t>
      </w:r>
    </w:p>
    <w:p w14:paraId="68338E1D" w14:textId="77777777" w:rsidR="009B3BD8" w:rsidRDefault="009B3BD8" w:rsidP="004E3458">
      <w:pPr>
        <w:pStyle w:val="Listeafsnit"/>
        <w:spacing w:after="0" w:line="240" w:lineRule="auto"/>
        <w:ind w:left="709"/>
        <w:jc w:val="both"/>
        <w:rPr>
          <w:b/>
        </w:rPr>
      </w:pPr>
    </w:p>
    <w:p w14:paraId="28BD1728" w14:textId="792E2924" w:rsidR="00631A61" w:rsidRPr="00462ADC" w:rsidRDefault="00631A61" w:rsidP="004E3458">
      <w:pPr>
        <w:pStyle w:val="Listeafsni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F8079F">
        <w:rPr>
          <w:b/>
        </w:rPr>
        <w:t>Risk Management</w:t>
      </w:r>
    </w:p>
    <w:p w14:paraId="765741E1" w14:textId="7C71F1EC" w:rsidR="00B84AD7" w:rsidRDefault="00631A61" w:rsidP="002B1C52">
      <w:pPr>
        <w:pStyle w:val="Listeafsnit"/>
        <w:numPr>
          <w:ilvl w:val="0"/>
          <w:numId w:val="8"/>
        </w:numPr>
        <w:spacing w:line="240" w:lineRule="auto"/>
        <w:ind w:left="709"/>
        <w:jc w:val="both"/>
        <w:rPr>
          <w:lang w:eastAsia="da-DK"/>
        </w:rPr>
      </w:pPr>
      <w:r w:rsidRPr="00C36E27">
        <w:t>Major risks and risk response</w:t>
      </w:r>
      <w:r w:rsidR="000847F5">
        <w:t>.</w:t>
      </w:r>
    </w:p>
    <w:p w14:paraId="6F6734F8" w14:textId="77777777" w:rsidR="00DE2255" w:rsidRDefault="00DE2255" w:rsidP="004E3458">
      <w:pPr>
        <w:spacing w:line="240" w:lineRule="auto"/>
        <w:jc w:val="both"/>
        <w:rPr>
          <w:rFonts w:eastAsiaTheme="minorEastAsia"/>
          <w:b/>
          <w:lang w:eastAsia="da-DK"/>
        </w:rPr>
      </w:pPr>
    </w:p>
    <w:p w14:paraId="60531576" w14:textId="77777777" w:rsidR="00DE2255" w:rsidRDefault="00DE2255" w:rsidP="004E3458">
      <w:pPr>
        <w:spacing w:line="240" w:lineRule="auto"/>
        <w:jc w:val="both"/>
        <w:rPr>
          <w:rFonts w:eastAsiaTheme="minorEastAsia"/>
          <w:b/>
          <w:lang w:eastAsia="da-DK"/>
        </w:rPr>
      </w:pPr>
    </w:p>
    <w:p w14:paraId="42A9F542" w14:textId="391FE699" w:rsidR="00DE2255" w:rsidRDefault="00915C39" w:rsidP="004E3458">
      <w:pPr>
        <w:spacing w:line="240" w:lineRule="auto"/>
        <w:jc w:val="both"/>
        <w:rPr>
          <w:rFonts w:eastAsiaTheme="minorEastAsia"/>
          <w:lang w:eastAsia="da-DK"/>
        </w:rPr>
      </w:pPr>
      <w:r>
        <w:rPr>
          <w:rFonts w:eastAsiaTheme="minorEastAsia"/>
          <w:b/>
          <w:lang w:eastAsia="da-DK"/>
        </w:rPr>
        <w:t>A</w:t>
      </w:r>
      <w:r w:rsidR="00A836CA" w:rsidRPr="00C36E27">
        <w:rPr>
          <w:rFonts w:eastAsiaTheme="minorEastAsia"/>
          <w:b/>
          <w:lang w:eastAsia="da-DK"/>
        </w:rPr>
        <w:t>nnex</w:t>
      </w:r>
      <w:r w:rsidR="00DE2255">
        <w:rPr>
          <w:rFonts w:eastAsiaTheme="minorEastAsia"/>
          <w:b/>
          <w:lang w:eastAsia="da-DK"/>
        </w:rPr>
        <w:t xml:space="preserve"> 2: Partner Assessment </w:t>
      </w:r>
      <w:r w:rsidR="00DE2255">
        <w:rPr>
          <w:rFonts w:eastAsiaTheme="minorEastAsia"/>
          <w:lang w:eastAsia="da-DK"/>
        </w:rPr>
        <w:t>(draft)</w:t>
      </w:r>
    </w:p>
    <w:p w14:paraId="33C4A89B" w14:textId="073E7253" w:rsidR="00393D31" w:rsidRDefault="00DE2255" w:rsidP="004E3458">
      <w:pPr>
        <w:spacing w:line="240" w:lineRule="auto"/>
        <w:jc w:val="both"/>
        <w:rPr>
          <w:rFonts w:eastAsiaTheme="minorEastAsia"/>
          <w:lang w:eastAsia="da-DK"/>
        </w:rPr>
      </w:pPr>
      <w:r>
        <w:rPr>
          <w:rFonts w:eastAsiaTheme="minorEastAsia"/>
          <w:b/>
          <w:lang w:eastAsia="da-DK"/>
        </w:rPr>
        <w:t>Annex 8</w:t>
      </w:r>
      <w:r w:rsidR="00A836CA" w:rsidRPr="00C36E27">
        <w:rPr>
          <w:rFonts w:eastAsiaTheme="minorEastAsia"/>
          <w:b/>
          <w:lang w:eastAsia="da-DK"/>
        </w:rPr>
        <w:t>:</w:t>
      </w:r>
      <w:r w:rsidR="00452F5C" w:rsidRPr="00C36E27">
        <w:rPr>
          <w:rFonts w:eastAsiaTheme="minorEastAsia"/>
          <w:b/>
          <w:lang w:eastAsia="da-DK"/>
        </w:rPr>
        <w:t xml:space="preserve"> Process Action Plan</w:t>
      </w:r>
      <w:r w:rsidR="00393D31">
        <w:rPr>
          <w:rFonts w:eastAsiaTheme="minorEastAsia"/>
          <w:lang w:eastAsia="da-DK"/>
        </w:rPr>
        <w:t xml:space="preserve"> </w:t>
      </w:r>
      <w:r w:rsidR="00393D31" w:rsidRPr="00393D31">
        <w:rPr>
          <w:rFonts w:eastAsia="Calibri" w:cs="Arial"/>
          <w:i/>
          <w:highlight w:val="yellow"/>
        </w:rPr>
        <w:t>[Insert tentative dates for critical points in the Process Action Plan]</w:t>
      </w:r>
      <w:r w:rsidR="00A4223F">
        <w:rPr>
          <w:rStyle w:val="Fodnotehenvisning"/>
          <w:rFonts w:eastAsia="Calibri" w:cs="Arial"/>
          <w:i/>
          <w:highlight w:val="yellow"/>
        </w:rPr>
        <w:footnoteReference w:id="1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809"/>
      </w:tblGrid>
      <w:tr w:rsidR="000E3D70" w14:paraId="2DCBEEC1" w14:textId="77777777" w:rsidTr="00B079F1">
        <w:tc>
          <w:tcPr>
            <w:tcW w:w="9742" w:type="dxa"/>
            <w:gridSpan w:val="3"/>
          </w:tcPr>
          <w:p w14:paraId="1325D793" w14:textId="332A068E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 w:rsidRPr="00393D31">
              <w:rPr>
                <w:rFonts w:eastAsia="Calibri" w:cs="Arial"/>
                <w:b/>
                <w:sz w:val="24"/>
                <w:szCs w:val="24"/>
              </w:rPr>
              <w:t>PROCESS ACTION PLAN</w:t>
            </w:r>
          </w:p>
        </w:tc>
      </w:tr>
      <w:tr w:rsidR="000E3D70" w14:paraId="6402C0E5" w14:textId="77777777" w:rsidTr="000E3D70">
        <w:tc>
          <w:tcPr>
            <w:tcW w:w="5524" w:type="dxa"/>
            <w:shd w:val="clear" w:color="auto" w:fill="BDD6EE" w:themeFill="accent1" w:themeFillTint="66"/>
          </w:tcPr>
          <w:p w14:paraId="03933F7A" w14:textId="07977D7B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 w:rsidRPr="00393D31">
              <w:rPr>
                <w:rFonts w:eastAsia="Calibri" w:cs="Arial"/>
                <w:b/>
                <w:sz w:val="24"/>
                <w:szCs w:val="24"/>
              </w:rPr>
              <w:t>Activity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14:paraId="42F6EB3C" w14:textId="6E255B89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 w:rsidRPr="00393D31">
              <w:rPr>
                <w:rFonts w:eastAsia="Calibri" w:cs="Arial"/>
                <w:b/>
                <w:sz w:val="24"/>
                <w:szCs w:val="24"/>
              </w:rPr>
              <w:t>Timing</w:t>
            </w:r>
            <w:r w:rsidR="00DC69F6">
              <w:rPr>
                <w:rFonts w:eastAsia="Calibri" w:cs="Arial"/>
                <w:b/>
                <w:sz w:val="24"/>
                <w:szCs w:val="24"/>
              </w:rPr>
              <w:t>/</w:t>
            </w:r>
            <w:r w:rsidRPr="00393D31">
              <w:rPr>
                <w:rFonts w:eastAsia="Calibri" w:cs="Arial"/>
                <w:b/>
                <w:sz w:val="24"/>
                <w:szCs w:val="24"/>
              </w:rPr>
              <w:t>deadline</w:t>
            </w:r>
            <w:r w:rsidR="00C36E27">
              <w:rPr>
                <w:rFonts w:eastAsia="Calibri" w:cs="Arial"/>
                <w:b/>
                <w:sz w:val="24"/>
                <w:szCs w:val="24"/>
              </w:rPr>
              <w:br/>
            </w:r>
            <w:r w:rsidR="00C36E27" w:rsidRPr="00C36E27">
              <w:rPr>
                <w:rFonts w:ascii="Calibri" w:eastAsia="Calibri" w:hAnsi="Calibri" w:cs="Calibri"/>
                <w:i/>
                <w:sz w:val="24"/>
                <w:szCs w:val="24"/>
              </w:rPr>
              <w:t>[</w:t>
            </w:r>
            <w:r w:rsidR="00C36E2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month </w:t>
            </w:r>
            <w:r w:rsidR="004E3458">
              <w:rPr>
                <w:rFonts w:ascii="Calibri" w:eastAsia="Calibri" w:hAnsi="Calibri" w:cs="Calibri"/>
                <w:i/>
                <w:sz w:val="24"/>
                <w:szCs w:val="24"/>
              </w:rPr>
              <w:t>or</w:t>
            </w:r>
            <w:r w:rsidR="00C36E2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quarter</w:t>
            </w:r>
            <w:r w:rsidR="00C36E27" w:rsidRPr="00C36E27">
              <w:rPr>
                <w:rFonts w:eastAsia="Calibri" w:cstheme="minorHAnsi"/>
                <w:i/>
                <w:sz w:val="24"/>
                <w:szCs w:val="24"/>
              </w:rPr>
              <w:t>]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14:paraId="15AB3451" w14:textId="23B42090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 w:rsidRPr="00393D31">
              <w:rPr>
                <w:rFonts w:eastAsia="Calibri" w:cs="Arial"/>
                <w:b/>
                <w:sz w:val="24"/>
                <w:szCs w:val="24"/>
              </w:rPr>
              <w:t>Responsible</w:t>
            </w:r>
          </w:p>
        </w:tc>
      </w:tr>
      <w:tr w:rsidR="000E3D70" w14:paraId="6A6523CE" w14:textId="77777777" w:rsidTr="000E3D70">
        <w:tc>
          <w:tcPr>
            <w:tcW w:w="5524" w:type="dxa"/>
          </w:tcPr>
          <w:p w14:paraId="58AEF73E" w14:textId="7BF14CEC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>
              <w:rPr>
                <w:rFonts w:eastAsiaTheme="minorEastAsia"/>
                <w:lang w:eastAsia="da-DK"/>
              </w:rPr>
              <w:t>Finalisation of project/programme document following PC meeting</w:t>
            </w:r>
          </w:p>
        </w:tc>
        <w:tc>
          <w:tcPr>
            <w:tcW w:w="2409" w:type="dxa"/>
          </w:tcPr>
          <w:p w14:paraId="4B4FEE7F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547D6A55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  <w:tr w:rsidR="000E3D70" w14:paraId="31CC0787" w14:textId="77777777" w:rsidTr="000E3D70">
        <w:tc>
          <w:tcPr>
            <w:tcW w:w="5524" w:type="dxa"/>
          </w:tcPr>
          <w:p w14:paraId="451B8960" w14:textId="2AB3DAC5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>
              <w:rPr>
                <w:rFonts w:eastAsiaTheme="minorEastAsia"/>
                <w:lang w:eastAsia="da-DK"/>
              </w:rPr>
              <w:t>Appraisal</w:t>
            </w:r>
          </w:p>
        </w:tc>
        <w:tc>
          <w:tcPr>
            <w:tcW w:w="2409" w:type="dxa"/>
          </w:tcPr>
          <w:p w14:paraId="4C720529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4D3CD534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  <w:tr w:rsidR="000E3D70" w14:paraId="1A2A4A18" w14:textId="77777777" w:rsidTr="000E3D70">
        <w:tc>
          <w:tcPr>
            <w:tcW w:w="5524" w:type="dxa"/>
          </w:tcPr>
          <w:p w14:paraId="7B49A580" w14:textId="17DE52A7" w:rsidR="000E3D70" w:rsidRDefault="000E3D70" w:rsidP="00915C39">
            <w:pPr>
              <w:jc w:val="both"/>
              <w:rPr>
                <w:rFonts w:eastAsiaTheme="minorEastAsia"/>
                <w:lang w:eastAsia="da-DK"/>
              </w:rPr>
            </w:pPr>
            <w:r>
              <w:rPr>
                <w:rFonts w:eastAsiaTheme="minorEastAsia"/>
                <w:lang w:eastAsia="da-DK"/>
              </w:rPr>
              <w:t xml:space="preserve">Follow up </w:t>
            </w:r>
            <w:r w:rsidR="00DE2255">
              <w:rPr>
                <w:rFonts w:eastAsiaTheme="minorEastAsia"/>
                <w:lang w:eastAsia="da-DK"/>
              </w:rPr>
              <w:t xml:space="preserve">on </w:t>
            </w:r>
            <w:r>
              <w:rPr>
                <w:rFonts w:eastAsiaTheme="minorEastAsia"/>
                <w:lang w:eastAsia="da-DK"/>
              </w:rPr>
              <w:t>appraisal recommendations</w:t>
            </w:r>
          </w:p>
        </w:tc>
        <w:tc>
          <w:tcPr>
            <w:tcW w:w="2409" w:type="dxa"/>
          </w:tcPr>
          <w:p w14:paraId="535F0913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7FEBF531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  <w:tr w:rsidR="000E3D70" w14:paraId="184EF516" w14:textId="77777777" w:rsidTr="000E3D70">
        <w:tc>
          <w:tcPr>
            <w:tcW w:w="5524" w:type="dxa"/>
          </w:tcPr>
          <w:p w14:paraId="636946C5" w14:textId="7CFBD6C1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  <w:r>
              <w:rPr>
                <w:rFonts w:eastAsiaTheme="minorEastAsia"/>
                <w:lang w:eastAsia="da-DK"/>
              </w:rPr>
              <w:t>Presentation for the Council for Development Policy (UPR)</w:t>
            </w:r>
          </w:p>
        </w:tc>
        <w:tc>
          <w:tcPr>
            <w:tcW w:w="2409" w:type="dxa"/>
          </w:tcPr>
          <w:p w14:paraId="58CCDB6A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460A6845" w14:textId="77777777" w:rsidR="000E3D70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  <w:tr w:rsidR="000E3D70" w:rsidRPr="000E3D70" w14:paraId="3DE7F45C" w14:textId="77777777" w:rsidTr="000E3D70">
        <w:tc>
          <w:tcPr>
            <w:tcW w:w="5524" w:type="dxa"/>
          </w:tcPr>
          <w:p w14:paraId="281D148D" w14:textId="3B63D2C1" w:rsidR="000E3D70" w:rsidRPr="000E3D70" w:rsidRDefault="000E3D70" w:rsidP="004E3458">
            <w:pPr>
              <w:jc w:val="both"/>
              <w:rPr>
                <w:rFonts w:eastAsiaTheme="minorEastAsia"/>
                <w:lang w:val="fr-FR" w:eastAsia="da-DK"/>
              </w:rPr>
            </w:pPr>
            <w:r w:rsidRPr="000E3D70">
              <w:rPr>
                <w:rFonts w:eastAsiaTheme="minorEastAsia"/>
                <w:lang w:val="fr-FR" w:eastAsia="da-DK"/>
              </w:rPr>
              <w:t>Finalisation of proje</w:t>
            </w:r>
            <w:r>
              <w:rPr>
                <w:rFonts w:eastAsiaTheme="minorEastAsia"/>
                <w:lang w:val="fr-FR" w:eastAsia="da-DK"/>
              </w:rPr>
              <w:t>c</w:t>
            </w:r>
            <w:r w:rsidRPr="000E3D70">
              <w:rPr>
                <w:rFonts w:eastAsiaTheme="minorEastAsia"/>
                <w:lang w:val="fr-FR" w:eastAsia="da-DK"/>
              </w:rPr>
              <w:t>t/programme documentation</w:t>
            </w:r>
          </w:p>
        </w:tc>
        <w:tc>
          <w:tcPr>
            <w:tcW w:w="2409" w:type="dxa"/>
          </w:tcPr>
          <w:p w14:paraId="7EAA2A9A" w14:textId="77777777" w:rsidR="000E3D70" w:rsidRPr="000E3D70" w:rsidRDefault="000E3D70" w:rsidP="004E3458">
            <w:pPr>
              <w:jc w:val="both"/>
              <w:rPr>
                <w:rFonts w:eastAsiaTheme="minorEastAsia"/>
                <w:lang w:val="fr-FR" w:eastAsia="da-DK"/>
              </w:rPr>
            </w:pPr>
          </w:p>
        </w:tc>
        <w:tc>
          <w:tcPr>
            <w:tcW w:w="1809" w:type="dxa"/>
          </w:tcPr>
          <w:p w14:paraId="61315DCA" w14:textId="77777777" w:rsidR="000E3D70" w:rsidRPr="000E3D70" w:rsidRDefault="000E3D70" w:rsidP="004E3458">
            <w:pPr>
              <w:jc w:val="both"/>
              <w:rPr>
                <w:rFonts w:eastAsiaTheme="minorEastAsia"/>
                <w:lang w:val="fr-FR" w:eastAsia="da-DK"/>
              </w:rPr>
            </w:pPr>
          </w:p>
        </w:tc>
      </w:tr>
      <w:tr w:rsidR="000E3D70" w:rsidRPr="000E3D70" w14:paraId="26801E03" w14:textId="77777777" w:rsidTr="000E3D70">
        <w:tc>
          <w:tcPr>
            <w:tcW w:w="5524" w:type="dxa"/>
          </w:tcPr>
          <w:p w14:paraId="06964F6F" w14:textId="09886C55" w:rsidR="000E3D70" w:rsidRPr="000E3D70" w:rsidRDefault="000E3D70" w:rsidP="004E3458">
            <w:pPr>
              <w:jc w:val="both"/>
              <w:rPr>
                <w:rFonts w:eastAsiaTheme="minorEastAsia"/>
                <w:lang w:val="fr-FR" w:eastAsia="da-DK"/>
              </w:rPr>
            </w:pPr>
            <w:r>
              <w:rPr>
                <w:rFonts w:eastAsiaTheme="minorEastAsia"/>
                <w:lang w:val="fr-FR" w:eastAsia="da-DK"/>
              </w:rPr>
              <w:t xml:space="preserve">Approval by the </w:t>
            </w:r>
            <w:r w:rsidR="00A4223F">
              <w:rPr>
                <w:rFonts w:eastAsiaTheme="minorEastAsia"/>
                <w:lang w:val="fr-FR" w:eastAsia="da-DK"/>
              </w:rPr>
              <w:t>M</w:t>
            </w:r>
            <w:r>
              <w:rPr>
                <w:rFonts w:eastAsiaTheme="minorEastAsia"/>
                <w:lang w:val="fr-FR" w:eastAsia="da-DK"/>
              </w:rPr>
              <w:t>inister</w:t>
            </w:r>
          </w:p>
        </w:tc>
        <w:tc>
          <w:tcPr>
            <w:tcW w:w="2409" w:type="dxa"/>
          </w:tcPr>
          <w:p w14:paraId="4F71F8EA" w14:textId="77777777" w:rsidR="000E3D70" w:rsidRPr="000E3D70" w:rsidRDefault="000E3D70" w:rsidP="004E3458">
            <w:pPr>
              <w:jc w:val="both"/>
              <w:rPr>
                <w:rFonts w:eastAsiaTheme="minorEastAsia"/>
                <w:lang w:val="fr-FR" w:eastAsia="da-DK"/>
              </w:rPr>
            </w:pPr>
          </w:p>
        </w:tc>
        <w:tc>
          <w:tcPr>
            <w:tcW w:w="1809" w:type="dxa"/>
          </w:tcPr>
          <w:p w14:paraId="62670D8F" w14:textId="77777777" w:rsidR="000E3D70" w:rsidRPr="000E3D70" w:rsidRDefault="000E3D70" w:rsidP="004E3458">
            <w:pPr>
              <w:jc w:val="both"/>
              <w:rPr>
                <w:rFonts w:eastAsiaTheme="minorEastAsia"/>
                <w:lang w:val="fr-FR" w:eastAsia="da-DK"/>
              </w:rPr>
            </w:pPr>
          </w:p>
        </w:tc>
      </w:tr>
      <w:tr w:rsidR="000E3D70" w:rsidRPr="00DC69F6" w14:paraId="0B6D3333" w14:textId="77777777" w:rsidTr="000E3D70">
        <w:tc>
          <w:tcPr>
            <w:tcW w:w="5524" w:type="dxa"/>
          </w:tcPr>
          <w:p w14:paraId="30D61651" w14:textId="1DA5B9C7" w:rsidR="000E3D70" w:rsidRPr="00DC69F6" w:rsidRDefault="00DC69F6" w:rsidP="004E3458">
            <w:pPr>
              <w:jc w:val="both"/>
              <w:rPr>
                <w:rFonts w:eastAsiaTheme="minorEastAsia"/>
                <w:lang w:eastAsia="da-DK"/>
              </w:rPr>
            </w:pPr>
            <w:r w:rsidRPr="00DC69F6">
              <w:rPr>
                <w:rFonts w:eastAsiaTheme="minorEastAsia"/>
                <w:lang w:eastAsia="da-DK"/>
              </w:rPr>
              <w:t>Parliamentary Finance Committee, if applicable</w:t>
            </w:r>
          </w:p>
        </w:tc>
        <w:tc>
          <w:tcPr>
            <w:tcW w:w="2409" w:type="dxa"/>
          </w:tcPr>
          <w:p w14:paraId="2022EEFB" w14:textId="77777777" w:rsidR="000E3D70" w:rsidRPr="00DC69F6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7736C695" w14:textId="77777777" w:rsidR="000E3D70" w:rsidRPr="00DC69F6" w:rsidRDefault="000E3D70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  <w:tr w:rsidR="00B84AD7" w:rsidRPr="00DC69F6" w14:paraId="5D7FAD7A" w14:textId="77777777" w:rsidTr="000E3D70">
        <w:tc>
          <w:tcPr>
            <w:tcW w:w="5524" w:type="dxa"/>
          </w:tcPr>
          <w:p w14:paraId="40ECA866" w14:textId="601EC05F" w:rsidR="00B84AD7" w:rsidRPr="00DC69F6" w:rsidRDefault="00B84AD7" w:rsidP="004E3458">
            <w:pPr>
              <w:jc w:val="both"/>
              <w:rPr>
                <w:rFonts w:eastAsiaTheme="minorEastAsia"/>
                <w:lang w:eastAsia="da-DK"/>
              </w:rPr>
            </w:pPr>
            <w:r>
              <w:rPr>
                <w:rFonts w:eastAsiaTheme="minorEastAsia"/>
                <w:lang w:eastAsia="da-DK"/>
              </w:rPr>
              <w:t>Expected timing of</w:t>
            </w:r>
            <w:r w:rsidRPr="00B84AD7">
              <w:rPr>
                <w:rFonts w:eastAsiaTheme="minorEastAsia"/>
                <w:lang w:eastAsia="da-DK"/>
              </w:rPr>
              <w:t xml:space="preserve"> commitment</w:t>
            </w:r>
          </w:p>
        </w:tc>
        <w:tc>
          <w:tcPr>
            <w:tcW w:w="2409" w:type="dxa"/>
          </w:tcPr>
          <w:p w14:paraId="52051936" w14:textId="77777777" w:rsidR="00B84AD7" w:rsidRPr="00DC69F6" w:rsidRDefault="00B84AD7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28A50363" w14:textId="77777777" w:rsidR="00B84AD7" w:rsidRPr="00DC69F6" w:rsidRDefault="00B84AD7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  <w:tr w:rsidR="00DC69F6" w:rsidRPr="00DC69F6" w14:paraId="726A19A2" w14:textId="77777777" w:rsidTr="000E3D70">
        <w:tc>
          <w:tcPr>
            <w:tcW w:w="5524" w:type="dxa"/>
          </w:tcPr>
          <w:p w14:paraId="705FAE0E" w14:textId="4878916D" w:rsidR="00DC69F6" w:rsidRPr="00DC69F6" w:rsidRDefault="00C16C7C" w:rsidP="004E3458">
            <w:pPr>
              <w:jc w:val="both"/>
              <w:rPr>
                <w:rFonts w:eastAsiaTheme="minorEastAsia"/>
                <w:i/>
                <w:lang w:eastAsia="da-DK"/>
              </w:rPr>
            </w:pPr>
            <w:r>
              <w:rPr>
                <w:rFonts w:eastAsiaTheme="minorEastAsia"/>
                <w:i/>
                <w:lang w:eastAsia="da-DK"/>
              </w:rPr>
              <w:t>[O</w:t>
            </w:r>
            <w:r w:rsidR="00DC69F6" w:rsidRPr="00DC69F6">
              <w:rPr>
                <w:rFonts w:eastAsiaTheme="minorEastAsia"/>
                <w:i/>
                <w:lang w:eastAsia="da-DK"/>
              </w:rPr>
              <w:t>ther points as relevant]</w:t>
            </w:r>
          </w:p>
        </w:tc>
        <w:tc>
          <w:tcPr>
            <w:tcW w:w="2409" w:type="dxa"/>
          </w:tcPr>
          <w:p w14:paraId="21A54720" w14:textId="77777777" w:rsidR="00DC69F6" w:rsidRPr="00DC69F6" w:rsidRDefault="00DC69F6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  <w:tc>
          <w:tcPr>
            <w:tcW w:w="1809" w:type="dxa"/>
          </w:tcPr>
          <w:p w14:paraId="5CA649CD" w14:textId="77777777" w:rsidR="00DC69F6" w:rsidRPr="00DC69F6" w:rsidRDefault="00DC69F6" w:rsidP="004E3458">
            <w:pPr>
              <w:jc w:val="both"/>
              <w:rPr>
                <w:rFonts w:eastAsiaTheme="minorEastAsia"/>
                <w:lang w:eastAsia="da-DK"/>
              </w:rPr>
            </w:pPr>
          </w:p>
        </w:tc>
      </w:tr>
    </w:tbl>
    <w:p w14:paraId="6335EB27" w14:textId="268B33A0" w:rsidR="00C82214" w:rsidRPr="00DC69F6" w:rsidRDefault="00C82214" w:rsidP="004E3458">
      <w:pPr>
        <w:spacing w:line="240" w:lineRule="auto"/>
        <w:jc w:val="both"/>
        <w:rPr>
          <w:rFonts w:eastAsiaTheme="minorEastAsia"/>
          <w:lang w:eastAsia="da-DK"/>
        </w:rPr>
      </w:pPr>
    </w:p>
    <w:sectPr w:rsidR="00C82214" w:rsidRPr="00DC69F6" w:rsidSect="00ED2BD8">
      <w:pgSz w:w="11906" w:h="16838" w:code="9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409CE" w14:textId="77777777" w:rsidR="00FF2844" w:rsidRDefault="00FF2844" w:rsidP="0087034D">
      <w:pPr>
        <w:spacing w:after="0" w:line="240" w:lineRule="auto"/>
      </w:pPr>
      <w:r>
        <w:separator/>
      </w:r>
    </w:p>
  </w:endnote>
  <w:endnote w:type="continuationSeparator" w:id="0">
    <w:p w14:paraId="5BF54B45" w14:textId="77777777" w:rsidR="00FF2844" w:rsidRDefault="00FF2844" w:rsidP="0087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02B33" w14:textId="77777777" w:rsidR="00FF2844" w:rsidRDefault="00FF2844" w:rsidP="0087034D">
      <w:pPr>
        <w:spacing w:after="0" w:line="240" w:lineRule="auto"/>
      </w:pPr>
      <w:r>
        <w:separator/>
      </w:r>
    </w:p>
  </w:footnote>
  <w:footnote w:type="continuationSeparator" w:id="0">
    <w:p w14:paraId="7A9532D1" w14:textId="77777777" w:rsidR="00FF2844" w:rsidRDefault="00FF2844" w:rsidP="0087034D">
      <w:pPr>
        <w:spacing w:after="0" w:line="240" w:lineRule="auto"/>
      </w:pPr>
      <w:r>
        <w:continuationSeparator/>
      </w:r>
    </w:p>
  </w:footnote>
  <w:footnote w:id="1">
    <w:p w14:paraId="18ADEA2D" w14:textId="471586B1" w:rsidR="00A4223F" w:rsidRDefault="00A4223F" w:rsidP="00A4223F">
      <w:pPr>
        <w:pStyle w:val="Fodnotetekst"/>
      </w:pPr>
      <w:r>
        <w:rPr>
          <w:rStyle w:val="Fodnotehenvisning"/>
        </w:rPr>
        <w:footnoteRef/>
      </w:r>
      <w:r>
        <w:t xml:space="preserve"> Please consult AMG for relevant deadlines:</w:t>
      </w:r>
    </w:p>
    <w:p w14:paraId="62FD8AD3" w14:textId="45E9F865" w:rsidR="00A4223F" w:rsidRDefault="00FF2844" w:rsidP="00A4223F">
      <w:pPr>
        <w:pStyle w:val="Fodnotetekst"/>
      </w:pPr>
      <w:hyperlink r:id="rId1" w:history="1">
        <w:r w:rsidR="002B1C52" w:rsidRPr="00BF7DE9">
          <w:rPr>
            <w:rStyle w:val="Hyperlink"/>
          </w:rPr>
          <w:t>https://amg.um.dk/tools/guidelines-for-approval-of-grants-and-strategies-and-policies</w:t>
        </w:r>
      </w:hyperlink>
      <w:r w:rsidR="002B1C52">
        <w:t xml:space="preserve"> </w:t>
      </w:r>
    </w:p>
    <w:p w14:paraId="113728AF" w14:textId="541A86B0" w:rsidR="00A4223F" w:rsidRPr="00A4223F" w:rsidRDefault="00A4223F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00D"/>
    <w:multiLevelType w:val="hybridMultilevel"/>
    <w:tmpl w:val="6C6255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852A3"/>
    <w:multiLevelType w:val="hybridMultilevel"/>
    <w:tmpl w:val="467697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684D"/>
    <w:multiLevelType w:val="hybridMultilevel"/>
    <w:tmpl w:val="9822F800"/>
    <w:lvl w:ilvl="0" w:tplc="655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A7769"/>
    <w:multiLevelType w:val="hybridMultilevel"/>
    <w:tmpl w:val="6C8A7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7282A"/>
    <w:multiLevelType w:val="hybridMultilevel"/>
    <w:tmpl w:val="899CA9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7A0C"/>
    <w:multiLevelType w:val="hybridMultilevel"/>
    <w:tmpl w:val="FA622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214E2"/>
    <w:multiLevelType w:val="hybridMultilevel"/>
    <w:tmpl w:val="F476F6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05786"/>
    <w:multiLevelType w:val="hybridMultilevel"/>
    <w:tmpl w:val="F9F84ECA"/>
    <w:lvl w:ilvl="0" w:tplc="AC76AAB4">
      <w:start w:val="1"/>
      <w:numFmt w:val="bullet"/>
      <w:lvlText w:val="-"/>
      <w:lvlJc w:val="left"/>
      <w:pPr>
        <w:ind w:left="8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C8"/>
    <w:rsid w:val="00020EF7"/>
    <w:rsid w:val="00035C28"/>
    <w:rsid w:val="00040213"/>
    <w:rsid w:val="00043E52"/>
    <w:rsid w:val="00062D97"/>
    <w:rsid w:val="000847F5"/>
    <w:rsid w:val="000C321E"/>
    <w:rsid w:val="000C5ED1"/>
    <w:rsid w:val="000D35AB"/>
    <w:rsid w:val="000E3D70"/>
    <w:rsid w:val="000F2319"/>
    <w:rsid w:val="000F7CE1"/>
    <w:rsid w:val="001005C5"/>
    <w:rsid w:val="0011468D"/>
    <w:rsid w:val="001A40C1"/>
    <w:rsid w:val="001D59FE"/>
    <w:rsid w:val="002B1C52"/>
    <w:rsid w:val="002F0E18"/>
    <w:rsid w:val="00317538"/>
    <w:rsid w:val="00323C1E"/>
    <w:rsid w:val="0033497A"/>
    <w:rsid w:val="00352185"/>
    <w:rsid w:val="00393D31"/>
    <w:rsid w:val="003E2E36"/>
    <w:rsid w:val="00424B0B"/>
    <w:rsid w:val="00452F5C"/>
    <w:rsid w:val="004A4F4D"/>
    <w:rsid w:val="004C5020"/>
    <w:rsid w:val="004D7C5C"/>
    <w:rsid w:val="004E3458"/>
    <w:rsid w:val="004F73C0"/>
    <w:rsid w:val="00513776"/>
    <w:rsid w:val="0053461A"/>
    <w:rsid w:val="00556A6D"/>
    <w:rsid w:val="00572E90"/>
    <w:rsid w:val="00585F9E"/>
    <w:rsid w:val="005D5D5F"/>
    <w:rsid w:val="005F2A5F"/>
    <w:rsid w:val="006151E0"/>
    <w:rsid w:val="00622250"/>
    <w:rsid w:val="00631A61"/>
    <w:rsid w:val="00684C22"/>
    <w:rsid w:val="006B50FB"/>
    <w:rsid w:val="006C0A96"/>
    <w:rsid w:val="007160B8"/>
    <w:rsid w:val="007172CD"/>
    <w:rsid w:val="0074697F"/>
    <w:rsid w:val="00747CB3"/>
    <w:rsid w:val="00763808"/>
    <w:rsid w:val="007A6801"/>
    <w:rsid w:val="007D4C96"/>
    <w:rsid w:val="007F2E11"/>
    <w:rsid w:val="00802DFC"/>
    <w:rsid w:val="008702C9"/>
    <w:rsid w:val="0087034D"/>
    <w:rsid w:val="0088376D"/>
    <w:rsid w:val="008D23A4"/>
    <w:rsid w:val="008E4F61"/>
    <w:rsid w:val="008F3F0E"/>
    <w:rsid w:val="00915C39"/>
    <w:rsid w:val="00993477"/>
    <w:rsid w:val="00996200"/>
    <w:rsid w:val="009B3BD8"/>
    <w:rsid w:val="009B792F"/>
    <w:rsid w:val="009E586B"/>
    <w:rsid w:val="00A07B02"/>
    <w:rsid w:val="00A26586"/>
    <w:rsid w:val="00A4223F"/>
    <w:rsid w:val="00A558FA"/>
    <w:rsid w:val="00A75E8C"/>
    <w:rsid w:val="00A836CA"/>
    <w:rsid w:val="00A950DF"/>
    <w:rsid w:val="00AA4159"/>
    <w:rsid w:val="00AC674F"/>
    <w:rsid w:val="00AC7E6A"/>
    <w:rsid w:val="00AE5A47"/>
    <w:rsid w:val="00AF2926"/>
    <w:rsid w:val="00B42107"/>
    <w:rsid w:val="00B84AD7"/>
    <w:rsid w:val="00B90BFE"/>
    <w:rsid w:val="00B961B9"/>
    <w:rsid w:val="00BA4763"/>
    <w:rsid w:val="00BD72DA"/>
    <w:rsid w:val="00BE51EC"/>
    <w:rsid w:val="00C014DE"/>
    <w:rsid w:val="00C16C7C"/>
    <w:rsid w:val="00C34392"/>
    <w:rsid w:val="00C347E1"/>
    <w:rsid w:val="00C36E27"/>
    <w:rsid w:val="00C82214"/>
    <w:rsid w:val="00C87D2B"/>
    <w:rsid w:val="00CB6B0C"/>
    <w:rsid w:val="00D74194"/>
    <w:rsid w:val="00D81F38"/>
    <w:rsid w:val="00D82EA8"/>
    <w:rsid w:val="00D853C8"/>
    <w:rsid w:val="00D9192A"/>
    <w:rsid w:val="00DC69F6"/>
    <w:rsid w:val="00DD2B7B"/>
    <w:rsid w:val="00DD4FBD"/>
    <w:rsid w:val="00DE2255"/>
    <w:rsid w:val="00E01C81"/>
    <w:rsid w:val="00E60B0A"/>
    <w:rsid w:val="00E73C5B"/>
    <w:rsid w:val="00E86841"/>
    <w:rsid w:val="00EB4B57"/>
    <w:rsid w:val="00EB4D3D"/>
    <w:rsid w:val="00ED2BD8"/>
    <w:rsid w:val="00F160B7"/>
    <w:rsid w:val="00F57FC5"/>
    <w:rsid w:val="00F673FC"/>
    <w:rsid w:val="00F769DE"/>
    <w:rsid w:val="00F8431A"/>
    <w:rsid w:val="00FA5C62"/>
    <w:rsid w:val="00FB6B20"/>
    <w:rsid w:val="00FD51B5"/>
    <w:rsid w:val="00FD7E2C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F04D0"/>
  <w15:chartTrackingRefBased/>
  <w15:docId w15:val="{8E34048B-FE3A-47F4-951A-EC3FF205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8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853C8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87034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34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7034D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8703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674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07B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7B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7B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7B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7B02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5D5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5D5F"/>
  </w:style>
  <w:style w:type="paragraph" w:styleId="Sidefod">
    <w:name w:val="footer"/>
    <w:basedOn w:val="Normal"/>
    <w:link w:val="SidefodTegn"/>
    <w:uiPriority w:val="99"/>
    <w:unhideWhenUsed/>
    <w:rsid w:val="005D5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5D5F"/>
  </w:style>
  <w:style w:type="character" w:styleId="BesgtLink">
    <w:name w:val="FollowedHyperlink"/>
    <w:basedOn w:val="Standardskrifttypeiafsnit"/>
    <w:uiPriority w:val="99"/>
    <w:semiHidden/>
    <w:unhideWhenUsed/>
    <w:rsid w:val="002B1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mg.um.dk/tools/guidelines-for-approval-of-grants-and-strategies-and-policie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7BA5-BE19-4090-A01C-B396E083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Lønstrup</dc:creator>
  <cp:keywords/>
  <dc:description/>
  <cp:lastModifiedBy>Tina Reidl</cp:lastModifiedBy>
  <cp:revision>2</cp:revision>
  <cp:lastPrinted>2022-03-03T08:23:00Z</cp:lastPrinted>
  <dcterms:created xsi:type="dcterms:W3CDTF">2022-11-23T11:25:00Z</dcterms:created>
  <dcterms:modified xsi:type="dcterms:W3CDTF">2022-11-23T11:25:00Z</dcterms:modified>
</cp:coreProperties>
</file>