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0BE9A" w14:textId="76CD7561" w:rsidR="009D1EC9" w:rsidRDefault="009D1EC9" w:rsidP="007014C8">
      <w:pPr>
        <w:pStyle w:val="Overskrift1"/>
        <w:rPr>
          <w:sz w:val="26"/>
          <w:szCs w:val="26"/>
        </w:rPr>
      </w:pPr>
      <w:bookmarkStart w:id="0" w:name="_Toc159934725"/>
      <w:r>
        <w:t>Guidance on the Application of Rio Markers in Danish Development Cooperation</w:t>
      </w:r>
    </w:p>
    <w:p w14:paraId="6C377111" w14:textId="7AF4AFFF" w:rsidR="00E53F7B" w:rsidRPr="000124CF" w:rsidRDefault="00E53F7B" w:rsidP="007014C8">
      <w:pPr>
        <w:pStyle w:val="Overskrift1"/>
        <w:rPr>
          <w:sz w:val="26"/>
          <w:szCs w:val="26"/>
        </w:rPr>
      </w:pPr>
      <w:r w:rsidRPr="000124CF">
        <w:rPr>
          <w:sz w:val="26"/>
          <w:szCs w:val="26"/>
        </w:rPr>
        <w:t>Introduction</w:t>
      </w:r>
      <w:bookmarkEnd w:id="0"/>
      <w:r w:rsidR="006A6DD3" w:rsidRPr="000124CF">
        <w:rPr>
          <w:sz w:val="26"/>
          <w:szCs w:val="26"/>
        </w:rPr>
        <w:t xml:space="preserve"> </w:t>
      </w:r>
    </w:p>
    <w:p w14:paraId="25F3FD77" w14:textId="58808F13" w:rsidR="00DD5523" w:rsidRDefault="00C35197" w:rsidP="007014C8">
      <w:pPr>
        <w:pStyle w:val="Overskrift1"/>
      </w:pPr>
      <w:r w:rsidRPr="000124CF">
        <w:rPr>
          <w:b w:val="0"/>
          <w:bCs w:val="0"/>
        </w:rPr>
        <w:t>1.</w:t>
      </w:r>
      <w:r>
        <w:t xml:space="preserve"> D</w:t>
      </w:r>
      <w:r w:rsidR="00635D50" w:rsidRPr="00C35197">
        <w:t xml:space="preserve">enmark </w:t>
      </w:r>
      <w:r w:rsidR="006317F6" w:rsidRPr="00C35197">
        <w:t xml:space="preserve">maintains </w:t>
      </w:r>
      <w:r w:rsidR="00C31420" w:rsidRPr="00C35197">
        <w:t>a</w:t>
      </w:r>
      <w:r w:rsidR="006317F6" w:rsidRPr="00C35197">
        <w:t xml:space="preserve"> </w:t>
      </w:r>
      <w:r w:rsidR="0078614E" w:rsidRPr="00C35197">
        <w:t xml:space="preserve">strong </w:t>
      </w:r>
      <w:r w:rsidR="006317F6" w:rsidRPr="00C35197">
        <w:t>green profile</w:t>
      </w:r>
      <w:r w:rsidR="00C31420" w:rsidRPr="00C35197">
        <w:t xml:space="preserve"> with</w:t>
      </w:r>
      <w:r w:rsidR="0078614E" w:rsidRPr="00C35197">
        <w:t xml:space="preserve">in development cooperation spending. </w:t>
      </w:r>
      <w:r w:rsidR="0078614E" w:rsidRPr="000124CF">
        <w:rPr>
          <w:b w:val="0"/>
          <w:bCs w:val="0"/>
        </w:rPr>
        <w:t xml:space="preserve">A </w:t>
      </w:r>
      <w:r w:rsidR="00635D50" w:rsidRPr="000124CF">
        <w:rPr>
          <w:b w:val="0"/>
          <w:bCs w:val="0"/>
        </w:rPr>
        <w:t>target of 3</w:t>
      </w:r>
      <w:r w:rsidR="006317F6" w:rsidRPr="000124CF">
        <w:rPr>
          <w:b w:val="0"/>
          <w:bCs w:val="0"/>
        </w:rPr>
        <w:t>0</w:t>
      </w:r>
      <w:r w:rsidR="00635D50" w:rsidRPr="000124CF">
        <w:rPr>
          <w:b w:val="0"/>
          <w:bCs w:val="0"/>
        </w:rPr>
        <w:t xml:space="preserve">% </w:t>
      </w:r>
      <w:r w:rsidR="0078614E" w:rsidRPr="000124CF">
        <w:rPr>
          <w:b w:val="0"/>
          <w:bCs w:val="0"/>
        </w:rPr>
        <w:t xml:space="preserve">of </w:t>
      </w:r>
      <w:r w:rsidR="00EE500C" w:rsidRPr="000124CF">
        <w:rPr>
          <w:b w:val="0"/>
          <w:bCs w:val="0"/>
        </w:rPr>
        <w:t xml:space="preserve">total </w:t>
      </w:r>
      <w:r w:rsidR="007050B0" w:rsidRPr="000124CF">
        <w:rPr>
          <w:b w:val="0"/>
          <w:bCs w:val="0"/>
        </w:rPr>
        <w:t>development a</w:t>
      </w:r>
      <w:r w:rsidR="00EE500C" w:rsidRPr="000124CF">
        <w:rPr>
          <w:b w:val="0"/>
          <w:bCs w:val="0"/>
        </w:rPr>
        <w:t xml:space="preserve">ssistance </w:t>
      </w:r>
      <w:r w:rsidR="00635D50" w:rsidRPr="000124CF">
        <w:rPr>
          <w:b w:val="0"/>
          <w:bCs w:val="0"/>
        </w:rPr>
        <w:t xml:space="preserve">(approximately DKK </w:t>
      </w:r>
      <w:r w:rsidR="006317F6" w:rsidRPr="000124CF">
        <w:rPr>
          <w:b w:val="0"/>
          <w:bCs w:val="0"/>
        </w:rPr>
        <w:t>5.5</w:t>
      </w:r>
      <w:r w:rsidR="00635D50" w:rsidRPr="000124CF">
        <w:rPr>
          <w:b w:val="0"/>
          <w:bCs w:val="0"/>
        </w:rPr>
        <w:t xml:space="preserve"> billion in 202</w:t>
      </w:r>
      <w:r w:rsidR="006317F6" w:rsidRPr="000124CF">
        <w:rPr>
          <w:b w:val="0"/>
          <w:bCs w:val="0"/>
        </w:rPr>
        <w:t>6</w:t>
      </w:r>
      <w:r w:rsidR="00635D50" w:rsidRPr="000124CF">
        <w:rPr>
          <w:b w:val="0"/>
          <w:bCs w:val="0"/>
        </w:rPr>
        <w:t>)</w:t>
      </w:r>
      <w:r w:rsidR="007C5C9B" w:rsidRPr="000124CF">
        <w:rPr>
          <w:rStyle w:val="Fodnotehenvisning"/>
          <w:b w:val="0"/>
          <w:bCs w:val="0"/>
        </w:rPr>
        <w:footnoteReference w:id="1"/>
      </w:r>
      <w:r w:rsidR="006317F6" w:rsidRPr="000124CF">
        <w:rPr>
          <w:b w:val="0"/>
          <w:bCs w:val="0"/>
        </w:rPr>
        <w:t xml:space="preserve"> </w:t>
      </w:r>
      <w:r w:rsidR="0078614E" w:rsidRPr="000124CF">
        <w:rPr>
          <w:b w:val="0"/>
          <w:bCs w:val="0"/>
        </w:rPr>
        <w:t xml:space="preserve">is </w:t>
      </w:r>
      <w:r w:rsidR="00C31420" w:rsidRPr="000124CF">
        <w:rPr>
          <w:b w:val="0"/>
          <w:bCs w:val="0"/>
        </w:rPr>
        <w:t>allocated</w:t>
      </w:r>
      <w:r w:rsidR="006317F6" w:rsidRPr="000124CF">
        <w:rPr>
          <w:b w:val="0"/>
          <w:bCs w:val="0"/>
        </w:rPr>
        <w:t xml:space="preserve"> for </w:t>
      </w:r>
      <w:r w:rsidR="0078614E" w:rsidRPr="000124CF">
        <w:rPr>
          <w:b w:val="0"/>
          <w:bCs w:val="0"/>
        </w:rPr>
        <w:t>climate</w:t>
      </w:r>
      <w:r w:rsidR="006317F6" w:rsidRPr="000124CF">
        <w:rPr>
          <w:b w:val="0"/>
          <w:bCs w:val="0"/>
        </w:rPr>
        <w:t xml:space="preserve"> investments</w:t>
      </w:r>
      <w:r w:rsidR="006E5C57" w:rsidRPr="000124CF">
        <w:rPr>
          <w:b w:val="0"/>
          <w:bCs w:val="0"/>
        </w:rPr>
        <w:t xml:space="preserve">, </w:t>
      </w:r>
      <w:r w:rsidR="003F3319" w:rsidRPr="000124CF">
        <w:rPr>
          <w:b w:val="0"/>
          <w:bCs w:val="0"/>
        </w:rPr>
        <w:t>with</w:t>
      </w:r>
      <w:r w:rsidR="006E5C57" w:rsidRPr="000124CF">
        <w:rPr>
          <w:b w:val="0"/>
          <w:bCs w:val="0"/>
        </w:rPr>
        <w:t xml:space="preserve"> at least 60% </w:t>
      </w:r>
      <w:r w:rsidR="003F3319" w:rsidRPr="000124CF">
        <w:rPr>
          <w:b w:val="0"/>
          <w:bCs w:val="0"/>
        </w:rPr>
        <w:t xml:space="preserve">earmarked </w:t>
      </w:r>
      <w:r w:rsidR="006E5C57" w:rsidRPr="000124CF">
        <w:rPr>
          <w:b w:val="0"/>
          <w:bCs w:val="0"/>
        </w:rPr>
        <w:t>for climate adaptation</w:t>
      </w:r>
      <w:r w:rsidR="00635D50" w:rsidRPr="000124CF">
        <w:rPr>
          <w:b w:val="0"/>
          <w:bCs w:val="0"/>
        </w:rPr>
        <w:t>.</w:t>
      </w:r>
      <w:r w:rsidR="00EE500C" w:rsidRPr="00C35197">
        <w:t xml:space="preserve"> </w:t>
      </w:r>
    </w:p>
    <w:p w14:paraId="56FDA0F2" w14:textId="038F1672" w:rsidR="007014C8" w:rsidRPr="007014C8" w:rsidRDefault="007014C8" w:rsidP="007014C8">
      <w:r w:rsidRPr="00C35197">
        <w:rPr>
          <w:rFonts w:ascii="Garamond" w:hAnsi="Garamond"/>
          <w:b/>
          <w:noProof/>
          <w:sz w:val="24"/>
          <w:szCs w:val="24"/>
        </w:rPr>
        <mc:AlternateContent>
          <mc:Choice Requires="wps">
            <w:drawing>
              <wp:anchor distT="0" distB="0" distL="114300" distR="114300" simplePos="0" relativeHeight="251669504" behindDoc="0" locked="0" layoutInCell="1" allowOverlap="1" wp14:anchorId="6B371E13" wp14:editId="1B8B3536">
                <wp:simplePos x="0" y="0"/>
                <wp:positionH relativeFrom="margin">
                  <wp:posOffset>254643</wp:posOffset>
                </wp:positionH>
                <wp:positionV relativeFrom="paragraph">
                  <wp:posOffset>102243</wp:posOffset>
                </wp:positionV>
                <wp:extent cx="5301205" cy="804376"/>
                <wp:effectExtent l="0" t="0" r="13970" b="15240"/>
                <wp:wrapNone/>
                <wp:docPr id="2" name="Rectangle 2"/>
                <wp:cNvGraphicFramePr/>
                <a:graphic xmlns:a="http://schemas.openxmlformats.org/drawingml/2006/main">
                  <a:graphicData uri="http://schemas.microsoft.com/office/word/2010/wordprocessingShape">
                    <wps:wsp>
                      <wps:cNvSpPr/>
                      <wps:spPr>
                        <a:xfrm>
                          <a:off x="0" y="0"/>
                          <a:ext cx="5301205" cy="804376"/>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B80F59" w14:textId="03DB4448" w:rsidR="00EE500C" w:rsidRPr="007014C8" w:rsidRDefault="00EE500C" w:rsidP="007014C8">
                            <w:pPr>
                              <w:rPr>
                                <w:rFonts w:ascii="Garamond" w:hAnsi="Garamond"/>
                                <w:b/>
                                <w:sz w:val="24"/>
                                <w:szCs w:val="24"/>
                              </w:rPr>
                            </w:pPr>
                            <w:r w:rsidRPr="007014C8">
                              <w:rPr>
                                <w:rFonts w:ascii="Garamond" w:hAnsi="Garamond"/>
                                <w:b/>
                                <w:sz w:val="24"/>
                                <w:szCs w:val="24"/>
                              </w:rPr>
                              <w:t xml:space="preserve">1) At least 30% of the budget for the Danish development cooperation must be </w:t>
                            </w:r>
                            <w:r w:rsidR="004249C9" w:rsidRPr="007014C8">
                              <w:rPr>
                                <w:rFonts w:ascii="Garamond" w:hAnsi="Garamond"/>
                                <w:b/>
                                <w:sz w:val="24"/>
                                <w:szCs w:val="24"/>
                              </w:rPr>
                              <w:t xml:space="preserve">allocated to </w:t>
                            </w:r>
                            <w:r w:rsidRPr="007014C8">
                              <w:rPr>
                                <w:rFonts w:ascii="Garamond" w:hAnsi="Garamond"/>
                                <w:b/>
                                <w:sz w:val="24"/>
                                <w:szCs w:val="24"/>
                              </w:rPr>
                              <w:t>climate finance.</w:t>
                            </w:r>
                          </w:p>
                          <w:p w14:paraId="05319E3B" w14:textId="77777777" w:rsidR="00EE500C" w:rsidRPr="007014C8" w:rsidRDefault="00EE500C" w:rsidP="007014C8">
                            <w:pPr>
                              <w:rPr>
                                <w:rFonts w:ascii="Garamond" w:hAnsi="Garamond"/>
                                <w:sz w:val="24"/>
                                <w:szCs w:val="24"/>
                              </w:rPr>
                            </w:pPr>
                            <w:r w:rsidRPr="007014C8">
                              <w:rPr>
                                <w:rFonts w:ascii="Garamond" w:hAnsi="Garamond"/>
                                <w:b/>
                                <w:sz w:val="24"/>
                                <w:szCs w:val="24"/>
                              </w:rPr>
                              <w:t>2) At least 60% of the climate finance must target climate adaptation.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71E13" id="Rectangle 2" o:spid="_x0000_s1026" style="position:absolute;margin-left:20.05pt;margin-top:8.05pt;width:417.4pt;height:6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" fillcolor="#00b050" strokecolor="#1f3763 [1604]" strokeweight="1pt">
                <v:textbox>
                  <w:txbxContent>
                    <w:p w14:paraId="59B80F59" w14:textId="03DB4448" w:rsidR="00EE500C" w:rsidRPr="007014C8" w:rsidRDefault="00EE500C" w:rsidP="007014C8">
                      <w:pPr>
                        <w:rPr>
                          <w:rFonts w:ascii="Garamond" w:hAnsi="Garamond"/>
                          <w:b/>
                          <w:sz w:val="24"/>
                          <w:szCs w:val="24"/>
                        </w:rPr>
                      </w:pPr>
                      <w:r w:rsidRPr="007014C8">
                        <w:rPr>
                          <w:rFonts w:ascii="Garamond" w:hAnsi="Garamond"/>
                          <w:b/>
                          <w:sz w:val="24"/>
                          <w:szCs w:val="24"/>
                        </w:rPr>
                        <w:t xml:space="preserve">1) At least 30% of the budget for the Danish development cooperation must be </w:t>
                      </w:r>
                      <w:r w:rsidR="004249C9" w:rsidRPr="007014C8">
                        <w:rPr>
                          <w:rFonts w:ascii="Garamond" w:hAnsi="Garamond"/>
                          <w:b/>
                          <w:sz w:val="24"/>
                          <w:szCs w:val="24"/>
                        </w:rPr>
                        <w:t xml:space="preserve">allocated to </w:t>
                      </w:r>
                      <w:r w:rsidRPr="007014C8">
                        <w:rPr>
                          <w:rFonts w:ascii="Garamond" w:hAnsi="Garamond"/>
                          <w:b/>
                          <w:sz w:val="24"/>
                          <w:szCs w:val="24"/>
                        </w:rPr>
                        <w:t>climate finance.</w:t>
                      </w:r>
                    </w:p>
                    <w:p w14:paraId="05319E3B" w14:textId="77777777" w:rsidR="00EE500C" w:rsidRPr="007014C8" w:rsidRDefault="00EE500C" w:rsidP="007014C8">
                      <w:pPr>
                        <w:rPr>
                          <w:rFonts w:ascii="Garamond" w:hAnsi="Garamond"/>
                          <w:sz w:val="24"/>
                          <w:szCs w:val="24"/>
                        </w:rPr>
                      </w:pPr>
                      <w:r w:rsidRPr="007014C8">
                        <w:rPr>
                          <w:rFonts w:ascii="Garamond" w:hAnsi="Garamond"/>
                          <w:b/>
                          <w:sz w:val="24"/>
                          <w:szCs w:val="24"/>
                        </w:rPr>
                        <w:t>2) At least 60% of the climate finance must target climate adaptation.</w:t>
                      </w:r>
                    </w:p>
                  </w:txbxContent>
                </v:textbox>
                <w10:wrap anchorx="margin"/>
              </v:rect>
            </w:pict>
          </mc:Fallback>
        </mc:AlternateContent>
      </w:r>
    </w:p>
    <w:p w14:paraId="0EB1FACE" w14:textId="461DE2B5" w:rsidR="003F3319" w:rsidRPr="00C35197" w:rsidRDefault="003F3319" w:rsidP="00C35197">
      <w:pPr>
        <w:pStyle w:val="Listeafsnit"/>
        <w:spacing w:line="240" w:lineRule="auto"/>
        <w:jc w:val="both"/>
        <w:rPr>
          <w:rFonts w:ascii="Garamond" w:hAnsi="Garamond"/>
          <w:i/>
          <w:iCs/>
          <w:sz w:val="24"/>
          <w:szCs w:val="24"/>
          <w:u w:val="single"/>
        </w:rPr>
      </w:pPr>
      <w:r w:rsidRPr="00C35197">
        <w:rPr>
          <w:rFonts w:ascii="Garamond" w:hAnsi="Garamond"/>
          <w:i/>
          <w:iCs/>
          <w:sz w:val="24"/>
          <w:szCs w:val="24"/>
          <w:u w:val="single"/>
        </w:rPr>
        <w:t xml:space="preserve"> </w:t>
      </w:r>
    </w:p>
    <w:p w14:paraId="31C3BC28" w14:textId="62106EA2" w:rsidR="00DD5523" w:rsidRDefault="00DD5523" w:rsidP="00C35197">
      <w:pPr>
        <w:spacing w:line="240" w:lineRule="auto"/>
        <w:jc w:val="both"/>
        <w:rPr>
          <w:rFonts w:ascii="Garamond" w:hAnsi="Garamond"/>
          <w:sz w:val="24"/>
          <w:szCs w:val="24"/>
        </w:rPr>
      </w:pPr>
    </w:p>
    <w:p w14:paraId="2B712587" w14:textId="77777777" w:rsidR="007014C8" w:rsidRPr="00C35197" w:rsidRDefault="007014C8" w:rsidP="00C35197">
      <w:pPr>
        <w:spacing w:line="240" w:lineRule="auto"/>
        <w:jc w:val="both"/>
        <w:rPr>
          <w:rFonts w:ascii="Garamond" w:hAnsi="Garamond"/>
          <w:sz w:val="24"/>
          <w:szCs w:val="24"/>
        </w:rPr>
      </w:pPr>
    </w:p>
    <w:p w14:paraId="2C526981" w14:textId="17AB38A1" w:rsidR="00B475CC" w:rsidRPr="00C35197" w:rsidRDefault="00C35197" w:rsidP="007014C8">
      <w:pPr>
        <w:spacing w:line="240" w:lineRule="auto"/>
        <w:jc w:val="both"/>
        <w:rPr>
          <w:rFonts w:ascii="Garamond" w:hAnsi="Garamond"/>
          <w:sz w:val="24"/>
          <w:szCs w:val="24"/>
        </w:rPr>
      </w:pPr>
      <w:r w:rsidRPr="00C35197">
        <w:rPr>
          <w:rFonts w:ascii="Garamond" w:hAnsi="Garamond"/>
          <w:sz w:val="24"/>
          <w:szCs w:val="24"/>
        </w:rPr>
        <w:t>2.</w:t>
      </w:r>
      <w:r>
        <w:rPr>
          <w:rFonts w:ascii="Garamond" w:hAnsi="Garamond"/>
          <w:b/>
          <w:bCs/>
          <w:sz w:val="24"/>
          <w:szCs w:val="24"/>
        </w:rPr>
        <w:t xml:space="preserve"> </w:t>
      </w:r>
      <w:r w:rsidR="00635D50" w:rsidRPr="00C35197">
        <w:rPr>
          <w:rFonts w:ascii="Garamond" w:hAnsi="Garamond"/>
          <w:b/>
          <w:bCs/>
          <w:sz w:val="24"/>
          <w:szCs w:val="24"/>
        </w:rPr>
        <w:t>Denmark applies the</w:t>
      </w:r>
      <w:bookmarkStart w:id="1" w:name="_Hlk210640427"/>
      <w:r w:rsidR="00635D50" w:rsidRPr="00C35197">
        <w:rPr>
          <w:rFonts w:ascii="Garamond" w:hAnsi="Garamond"/>
          <w:b/>
          <w:bCs/>
          <w:sz w:val="24"/>
          <w:szCs w:val="24"/>
        </w:rPr>
        <w:t xml:space="preserve"> OECD-DAC Rio marker system</w:t>
      </w:r>
      <w:bookmarkEnd w:id="1"/>
      <w:r w:rsidR="00A475B3">
        <w:rPr>
          <w:rFonts w:ascii="Garamond" w:hAnsi="Garamond"/>
          <w:b/>
          <w:bCs/>
          <w:sz w:val="24"/>
          <w:szCs w:val="24"/>
        </w:rPr>
        <w:t xml:space="preserve"> </w:t>
      </w:r>
      <w:r w:rsidR="00635D50" w:rsidRPr="00C35197">
        <w:rPr>
          <w:rFonts w:ascii="Garamond" w:hAnsi="Garamond"/>
          <w:sz w:val="24"/>
          <w:szCs w:val="24"/>
        </w:rPr>
        <w:t xml:space="preserve">for assessing whether development finance supports the Rio Conventions. The four Rio markers are: </w:t>
      </w:r>
      <w:proofErr w:type="spellStart"/>
      <w:r w:rsidR="00635D50" w:rsidRPr="00C35197">
        <w:rPr>
          <w:rFonts w:ascii="Garamond" w:hAnsi="Garamond"/>
          <w:sz w:val="24"/>
          <w:szCs w:val="24"/>
        </w:rPr>
        <w:t>i</w:t>
      </w:r>
      <w:proofErr w:type="spellEnd"/>
      <w:r w:rsidR="00635D50" w:rsidRPr="00C35197">
        <w:rPr>
          <w:rFonts w:ascii="Garamond" w:hAnsi="Garamond"/>
          <w:sz w:val="24"/>
          <w:szCs w:val="24"/>
        </w:rPr>
        <w:t>) Biodiversity, ii) Desertification, iii) Climate Change Mitigation, and iv) Climate Change Adaptation.</w:t>
      </w:r>
      <w:r w:rsidR="00544507">
        <w:rPr>
          <w:rFonts w:ascii="Garamond" w:hAnsi="Garamond"/>
          <w:sz w:val="24"/>
          <w:szCs w:val="24"/>
        </w:rPr>
        <w:t xml:space="preserve"> T</w:t>
      </w:r>
      <w:r w:rsidR="00635D50" w:rsidRPr="00C35197">
        <w:rPr>
          <w:rFonts w:ascii="Garamond" w:hAnsi="Garamond"/>
          <w:sz w:val="24"/>
          <w:szCs w:val="24"/>
        </w:rPr>
        <w:t xml:space="preserve">he </w:t>
      </w:r>
      <w:hyperlink r:id="rId8" w:history="1">
        <w:r w:rsidR="00635D50" w:rsidRPr="002C79D9">
          <w:rPr>
            <w:rStyle w:val="Hyperlink"/>
            <w:rFonts w:ascii="Garamond" w:hAnsi="Garamond"/>
            <w:sz w:val="24"/>
            <w:szCs w:val="24"/>
          </w:rPr>
          <w:t>OECD-DAC handbook on Rio markers</w:t>
        </w:r>
      </w:hyperlink>
      <w:r w:rsidR="00635D50" w:rsidRPr="00C35197">
        <w:rPr>
          <w:rFonts w:ascii="Garamond" w:hAnsi="Garamond"/>
          <w:sz w:val="24"/>
          <w:szCs w:val="24"/>
        </w:rPr>
        <w:t xml:space="preserve"> </w:t>
      </w:r>
      <w:r w:rsidR="00544507">
        <w:rPr>
          <w:rFonts w:ascii="Garamond" w:hAnsi="Garamond"/>
          <w:sz w:val="24"/>
          <w:szCs w:val="24"/>
        </w:rPr>
        <w:t xml:space="preserve">provides specific guidance for how to apply the methodology to different to projects in different sectors </w:t>
      </w:r>
      <w:r w:rsidR="00635D50" w:rsidRPr="00C35197">
        <w:rPr>
          <w:rFonts w:ascii="Garamond" w:hAnsi="Garamond"/>
          <w:sz w:val="24"/>
          <w:szCs w:val="24"/>
        </w:rPr>
        <w:t>and serves as the international standard.</w:t>
      </w:r>
      <w:r w:rsidR="00505DE0" w:rsidRPr="00C35197">
        <w:rPr>
          <w:rFonts w:ascii="Garamond" w:hAnsi="Garamond"/>
          <w:sz w:val="24"/>
          <w:szCs w:val="24"/>
        </w:rPr>
        <w:t xml:space="preserve"> </w:t>
      </w:r>
      <w:r w:rsidR="001F1405" w:rsidRPr="00C35197">
        <w:rPr>
          <w:rFonts w:ascii="Garamond" w:hAnsi="Garamond"/>
          <w:sz w:val="24"/>
          <w:szCs w:val="24"/>
        </w:rPr>
        <w:t xml:space="preserve"> </w:t>
      </w:r>
    </w:p>
    <w:p w14:paraId="7E89A622" w14:textId="68DC25A8" w:rsidR="00EF6B16" w:rsidRPr="00C35197" w:rsidRDefault="00C35197" w:rsidP="007014C8">
      <w:pPr>
        <w:spacing w:line="240" w:lineRule="auto"/>
        <w:jc w:val="both"/>
        <w:rPr>
          <w:rFonts w:ascii="Garamond" w:hAnsi="Garamond"/>
          <w:sz w:val="24"/>
          <w:szCs w:val="24"/>
        </w:rPr>
      </w:pPr>
      <w:r w:rsidRPr="00C35197">
        <w:rPr>
          <w:rFonts w:ascii="Garamond" w:hAnsi="Garamond"/>
          <w:sz w:val="24"/>
          <w:szCs w:val="24"/>
        </w:rPr>
        <w:t>3.</w:t>
      </w:r>
      <w:r>
        <w:rPr>
          <w:rFonts w:ascii="Garamond" w:hAnsi="Garamond"/>
          <w:b/>
          <w:bCs/>
          <w:sz w:val="24"/>
          <w:szCs w:val="24"/>
        </w:rPr>
        <w:t xml:space="preserve"> </w:t>
      </w:r>
      <w:r w:rsidR="00B475CC" w:rsidRPr="00C35197">
        <w:rPr>
          <w:rFonts w:ascii="Garamond" w:hAnsi="Garamond"/>
          <w:b/>
          <w:bCs/>
          <w:sz w:val="24"/>
          <w:szCs w:val="24"/>
        </w:rPr>
        <w:t>To deliver on its 30% climate target,</w:t>
      </w:r>
      <w:r w:rsidR="00B475CC" w:rsidRPr="00C35197">
        <w:rPr>
          <w:rFonts w:ascii="Garamond" w:hAnsi="Garamond"/>
          <w:sz w:val="24"/>
          <w:szCs w:val="24"/>
        </w:rPr>
        <w:t xml:space="preserve"> Denmark assesses all annual Finance Act</w:t>
      </w:r>
      <w:r w:rsidRPr="00C35197">
        <w:rPr>
          <w:rFonts w:ascii="Garamond" w:hAnsi="Garamond"/>
          <w:sz w:val="24"/>
          <w:szCs w:val="24"/>
        </w:rPr>
        <w:t xml:space="preserve"> </w:t>
      </w:r>
      <w:r w:rsidR="00B475CC" w:rsidRPr="00C35197">
        <w:rPr>
          <w:rFonts w:ascii="Garamond" w:hAnsi="Garamond"/>
          <w:sz w:val="24"/>
          <w:szCs w:val="24"/>
        </w:rPr>
        <w:t>commitments against the Rio markers for climate mitigation and adaptation. The overall calculation of the climate share within total development cooperation is based on the individual Rio marker scoring of each project document</w:t>
      </w:r>
      <w:r w:rsidR="00556EEC">
        <w:rPr>
          <w:rFonts w:ascii="Garamond" w:hAnsi="Garamond"/>
          <w:sz w:val="24"/>
          <w:szCs w:val="24"/>
        </w:rPr>
        <w:t xml:space="preserve"> (“Engagement in PMI”</w:t>
      </w:r>
      <w:r w:rsidR="00B475CC" w:rsidRPr="00C35197">
        <w:rPr>
          <w:rFonts w:ascii="Garamond" w:hAnsi="Garamond"/>
          <w:sz w:val="24"/>
          <w:szCs w:val="24"/>
        </w:rPr>
        <w:t>. This assessment is carried out</w:t>
      </w:r>
      <w:r w:rsidR="00544507">
        <w:rPr>
          <w:rFonts w:ascii="Garamond" w:hAnsi="Garamond"/>
          <w:sz w:val="24"/>
          <w:szCs w:val="24"/>
        </w:rPr>
        <w:t xml:space="preserve"> during the project preparation and summarised on</w:t>
      </w:r>
      <w:r w:rsidR="00B475CC" w:rsidRPr="00C35197">
        <w:rPr>
          <w:rFonts w:ascii="Garamond" w:hAnsi="Garamond"/>
          <w:sz w:val="24"/>
          <w:szCs w:val="24"/>
        </w:rPr>
        <w:t xml:space="preserve"> the appropriation cover note, where it is mandatory to complete the table below:</w:t>
      </w:r>
      <w:r w:rsidR="00556EEC">
        <w:rPr>
          <w:rFonts w:ascii="Garamond" w:hAnsi="Garamond"/>
          <w:sz w:val="24"/>
          <w:szCs w:val="24"/>
        </w:rPr>
        <w:t xml:space="preserve"> </w:t>
      </w:r>
    </w:p>
    <w:p w14:paraId="6A28AB83" w14:textId="0187DBE5" w:rsidR="00B475CC" w:rsidRPr="0093132F" w:rsidRDefault="00061945" w:rsidP="0093132F">
      <w:pPr>
        <w:spacing w:line="240" w:lineRule="auto"/>
        <w:jc w:val="both"/>
        <w:rPr>
          <w:rFonts w:ascii="Garamond" w:hAnsi="Garamond"/>
          <w:b/>
          <w:bCs/>
          <w:sz w:val="24"/>
          <w:szCs w:val="24"/>
        </w:rPr>
      </w:pPr>
      <w:r w:rsidRPr="00061945">
        <w:rPr>
          <w:noProof/>
        </w:rPr>
        <w:t xml:space="preserve"> </w:t>
      </w:r>
      <w:r w:rsidRPr="00061945">
        <w:rPr>
          <w:noProof/>
        </w:rPr>
        <w:drawing>
          <wp:inline distT="0" distB="0" distL="0" distR="0" wp14:anchorId="4A6975E9" wp14:editId="4ADD470F">
            <wp:extent cx="5534797" cy="523948"/>
            <wp:effectExtent l="0" t="0" r="889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34797" cy="523948"/>
                    </a:xfrm>
                    <a:prstGeom prst="rect">
                      <a:avLst/>
                    </a:prstGeom>
                  </pic:spPr>
                </pic:pic>
              </a:graphicData>
            </a:graphic>
          </wp:inline>
        </w:drawing>
      </w:r>
    </w:p>
    <w:p w14:paraId="16B705B5" w14:textId="0812FBC2" w:rsidR="00C35197" w:rsidRDefault="0050149E" w:rsidP="007014C8">
      <w:pPr>
        <w:spacing w:line="240" w:lineRule="auto"/>
        <w:jc w:val="both"/>
        <w:rPr>
          <w:rFonts w:ascii="Garamond" w:hAnsi="Garamond"/>
          <w:b/>
          <w:bCs/>
          <w:sz w:val="24"/>
          <w:szCs w:val="24"/>
        </w:rPr>
      </w:pPr>
      <w:r>
        <w:rPr>
          <w:rFonts w:ascii="Garamond" w:hAnsi="Garamond"/>
          <w:sz w:val="24"/>
          <w:szCs w:val="24"/>
        </w:rPr>
        <w:t>4</w:t>
      </w:r>
      <w:r w:rsidR="007014C8" w:rsidRPr="0050149E">
        <w:rPr>
          <w:rFonts w:ascii="Garamond" w:hAnsi="Garamond"/>
          <w:sz w:val="24"/>
          <w:szCs w:val="24"/>
        </w:rPr>
        <w:t>.</w:t>
      </w:r>
      <w:r w:rsidR="007014C8" w:rsidRPr="0050149E">
        <w:rPr>
          <w:rFonts w:ascii="Garamond" w:hAnsi="Garamond"/>
          <w:b/>
          <w:bCs/>
          <w:sz w:val="24"/>
          <w:szCs w:val="24"/>
        </w:rPr>
        <w:t xml:space="preserve"> </w:t>
      </w:r>
      <w:r w:rsidR="00656DB2" w:rsidRPr="0050149E">
        <w:rPr>
          <w:rFonts w:ascii="Garamond" w:hAnsi="Garamond"/>
          <w:b/>
          <w:bCs/>
          <w:sz w:val="24"/>
          <w:szCs w:val="24"/>
        </w:rPr>
        <w:t>T</w:t>
      </w:r>
      <w:r w:rsidR="00EF6B16" w:rsidRPr="0050149E">
        <w:rPr>
          <w:rFonts w:ascii="Garamond" w:hAnsi="Garamond"/>
          <w:b/>
          <w:bCs/>
          <w:sz w:val="24"/>
          <w:szCs w:val="24"/>
        </w:rPr>
        <w:t>o ensure transparency in the scoring of the climate Rio markers</w:t>
      </w:r>
      <w:r w:rsidR="00EF6B16" w:rsidRPr="00C35197">
        <w:rPr>
          <w:rFonts w:ascii="Garamond" w:hAnsi="Garamond"/>
          <w:sz w:val="24"/>
          <w:szCs w:val="24"/>
        </w:rPr>
        <w:t xml:space="preserve">, the responsible officer is expected to provide a justification </w:t>
      </w:r>
      <w:r w:rsidR="004B2A12" w:rsidRPr="00C35197">
        <w:rPr>
          <w:rFonts w:ascii="Garamond" w:hAnsi="Garamond"/>
          <w:sz w:val="24"/>
          <w:szCs w:val="24"/>
        </w:rPr>
        <w:t xml:space="preserve">of the scoring </w:t>
      </w:r>
      <w:r w:rsidR="00EF6B16" w:rsidRPr="00C35197">
        <w:rPr>
          <w:rFonts w:ascii="Garamond" w:hAnsi="Garamond"/>
          <w:sz w:val="24"/>
          <w:szCs w:val="24"/>
        </w:rPr>
        <w:t>in the template available in</w:t>
      </w:r>
      <w:r w:rsidR="00061945">
        <w:rPr>
          <w:rFonts w:ascii="Garamond" w:hAnsi="Garamond"/>
          <w:sz w:val="24"/>
          <w:szCs w:val="24"/>
        </w:rPr>
        <w:t xml:space="preserve"> </w:t>
      </w:r>
      <w:r w:rsidR="00061945" w:rsidRPr="006E3678">
        <w:rPr>
          <w:rFonts w:ascii="Garamond" w:hAnsi="Garamond"/>
          <w:sz w:val="24"/>
          <w:szCs w:val="24"/>
        </w:rPr>
        <w:t xml:space="preserve">the </w:t>
      </w:r>
      <w:r w:rsidR="00242595" w:rsidRPr="006E3678">
        <w:rPr>
          <w:rFonts w:ascii="Garamond" w:hAnsi="Garamond"/>
          <w:sz w:val="24"/>
          <w:szCs w:val="24"/>
        </w:rPr>
        <w:t>b</w:t>
      </w:r>
      <w:r w:rsidR="00061945" w:rsidRPr="006E3678">
        <w:rPr>
          <w:rFonts w:ascii="Garamond" w:hAnsi="Garamond"/>
          <w:sz w:val="24"/>
          <w:szCs w:val="24"/>
        </w:rPr>
        <w:t>udget</w:t>
      </w:r>
      <w:r w:rsidR="00EF6B16" w:rsidRPr="006E3678">
        <w:rPr>
          <w:rFonts w:ascii="Garamond" w:hAnsi="Garamond"/>
          <w:sz w:val="24"/>
          <w:szCs w:val="24"/>
        </w:rPr>
        <w:t xml:space="preserve"> </w:t>
      </w:r>
      <w:r w:rsidR="00242595" w:rsidRPr="006E3678">
        <w:rPr>
          <w:rFonts w:ascii="Garamond" w:hAnsi="Garamond"/>
          <w:sz w:val="24"/>
          <w:szCs w:val="24"/>
        </w:rPr>
        <w:t>a</w:t>
      </w:r>
      <w:r w:rsidR="00EF6B16" w:rsidRPr="006E3678">
        <w:rPr>
          <w:rFonts w:ascii="Garamond" w:hAnsi="Garamond"/>
          <w:sz w:val="24"/>
          <w:szCs w:val="24"/>
        </w:rPr>
        <w:t>nnex of the project</w:t>
      </w:r>
      <w:r w:rsidR="00242595" w:rsidRPr="006E3678">
        <w:rPr>
          <w:rFonts w:ascii="Garamond" w:hAnsi="Garamond"/>
          <w:sz w:val="24"/>
          <w:szCs w:val="24"/>
        </w:rPr>
        <w:t>/programme</w:t>
      </w:r>
      <w:r w:rsidR="00EF6B16" w:rsidRPr="006E3678">
        <w:rPr>
          <w:rFonts w:ascii="Garamond" w:hAnsi="Garamond"/>
          <w:sz w:val="24"/>
          <w:szCs w:val="24"/>
        </w:rPr>
        <w:t xml:space="preserve"> document</w:t>
      </w:r>
      <w:r w:rsidR="00A475B3" w:rsidRPr="006E3678">
        <w:rPr>
          <w:rFonts w:ascii="Garamond" w:hAnsi="Garamond"/>
          <w:sz w:val="24"/>
          <w:szCs w:val="24"/>
        </w:rPr>
        <w:t>.</w:t>
      </w:r>
      <w:r w:rsidR="00470B9D" w:rsidRPr="00C35197">
        <w:rPr>
          <w:rFonts w:ascii="Garamond" w:hAnsi="Garamond"/>
          <w:b/>
          <w:bCs/>
          <w:sz w:val="24"/>
          <w:szCs w:val="24"/>
        </w:rPr>
        <w:t xml:space="preserve">  </w:t>
      </w:r>
    </w:p>
    <w:p w14:paraId="1318DD5F" w14:textId="3BF13338" w:rsidR="00914E1E" w:rsidRDefault="0050149E" w:rsidP="007014C8">
      <w:pPr>
        <w:spacing w:line="240" w:lineRule="auto"/>
        <w:jc w:val="both"/>
        <w:rPr>
          <w:rFonts w:ascii="Garamond" w:hAnsi="Garamond"/>
          <w:sz w:val="24"/>
          <w:szCs w:val="24"/>
        </w:rPr>
      </w:pPr>
      <w:r>
        <w:rPr>
          <w:rFonts w:ascii="Garamond" w:hAnsi="Garamond"/>
          <w:sz w:val="24"/>
          <w:szCs w:val="24"/>
        </w:rPr>
        <w:t>5</w:t>
      </w:r>
      <w:r w:rsidR="00C35197" w:rsidRPr="00C35197">
        <w:rPr>
          <w:rFonts w:ascii="Garamond" w:hAnsi="Garamond"/>
          <w:sz w:val="24"/>
          <w:szCs w:val="24"/>
        </w:rPr>
        <w:t>.</w:t>
      </w:r>
      <w:r w:rsidR="00C35197">
        <w:rPr>
          <w:rFonts w:ascii="Garamond" w:hAnsi="Garamond"/>
          <w:b/>
          <w:bCs/>
          <w:sz w:val="24"/>
          <w:szCs w:val="24"/>
        </w:rPr>
        <w:t xml:space="preserve"> </w:t>
      </w:r>
      <w:r w:rsidR="00CA30D7" w:rsidRPr="00C35197">
        <w:rPr>
          <w:rFonts w:ascii="Garamond" w:hAnsi="Garamond"/>
          <w:b/>
          <w:bCs/>
          <w:sz w:val="24"/>
          <w:szCs w:val="24"/>
        </w:rPr>
        <w:t>In addition to the internal reporting process related to meeting the 30% climate target</w:t>
      </w:r>
      <w:r w:rsidR="00252E4A" w:rsidRPr="00C35197">
        <w:rPr>
          <w:rFonts w:ascii="Garamond" w:hAnsi="Garamond"/>
          <w:b/>
          <w:bCs/>
          <w:sz w:val="24"/>
          <w:szCs w:val="24"/>
        </w:rPr>
        <w:t xml:space="preserve"> for the Danish Development Cooperation</w:t>
      </w:r>
      <w:r w:rsidR="00CA30D7" w:rsidRPr="00C35197">
        <w:rPr>
          <w:rFonts w:ascii="Garamond" w:hAnsi="Garamond"/>
          <w:b/>
          <w:bCs/>
          <w:sz w:val="24"/>
          <w:szCs w:val="24"/>
        </w:rPr>
        <w:t xml:space="preserve">, </w:t>
      </w:r>
      <w:r w:rsidR="002944B4" w:rsidRPr="00C35197">
        <w:rPr>
          <w:rFonts w:ascii="Garamond" w:hAnsi="Garamond"/>
          <w:sz w:val="24"/>
          <w:szCs w:val="24"/>
        </w:rPr>
        <w:t xml:space="preserve">Denmark </w:t>
      </w:r>
      <w:r w:rsidR="00A45DCD" w:rsidRPr="00C35197">
        <w:rPr>
          <w:rFonts w:ascii="Garamond" w:hAnsi="Garamond"/>
          <w:sz w:val="24"/>
          <w:szCs w:val="24"/>
        </w:rPr>
        <w:t xml:space="preserve">applies the Rio marker scoring to </w:t>
      </w:r>
      <w:r w:rsidR="002944B4" w:rsidRPr="00C35197">
        <w:rPr>
          <w:rFonts w:ascii="Garamond" w:hAnsi="Garamond"/>
          <w:sz w:val="24"/>
          <w:szCs w:val="24"/>
        </w:rPr>
        <w:t xml:space="preserve">report on climate finance to both the EU, OECD and UNFCCC. </w:t>
      </w:r>
    </w:p>
    <w:tbl>
      <w:tblPr>
        <w:tblpPr w:leftFromText="180" w:rightFromText="180" w:vertAnchor="text" w:horzAnchor="margin" w:tblpY="76"/>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8"/>
        <w:gridCol w:w="7240"/>
      </w:tblGrid>
      <w:tr w:rsidR="004E1A1B" w:rsidRPr="00C35197" w14:paraId="2E7E6A61" w14:textId="77777777" w:rsidTr="004E1A1B">
        <w:trPr>
          <w:tblHeader/>
          <w:tblCellSpacing w:w="15" w:type="dxa"/>
        </w:trPr>
        <w:tc>
          <w:tcPr>
            <w:tcW w:w="0" w:type="auto"/>
            <w:vAlign w:val="center"/>
            <w:hideMark/>
          </w:tcPr>
          <w:p w14:paraId="6388F7D5" w14:textId="77777777" w:rsidR="004E1A1B" w:rsidRPr="00C35197" w:rsidRDefault="004E1A1B" w:rsidP="004E1A1B">
            <w:pPr>
              <w:spacing w:after="0" w:line="240" w:lineRule="auto"/>
              <w:jc w:val="center"/>
              <w:rPr>
                <w:rFonts w:ascii="Garamond" w:eastAsia="Times New Roman" w:hAnsi="Garamond" w:cs="Times New Roman"/>
                <w:b/>
                <w:bCs/>
                <w:sz w:val="24"/>
                <w:szCs w:val="24"/>
                <w:lang w:eastAsia="en-GB"/>
              </w:rPr>
            </w:pPr>
            <w:r w:rsidRPr="00C35197">
              <w:rPr>
                <w:rFonts w:ascii="Garamond" w:eastAsia="Times New Roman" w:hAnsi="Garamond" w:cs="Times New Roman"/>
                <w:b/>
                <w:bCs/>
                <w:sz w:val="24"/>
                <w:szCs w:val="24"/>
                <w:lang w:eastAsia="en-GB"/>
              </w:rPr>
              <w:t>Organisation</w:t>
            </w:r>
          </w:p>
        </w:tc>
        <w:tc>
          <w:tcPr>
            <w:tcW w:w="7195" w:type="dxa"/>
            <w:vAlign w:val="center"/>
            <w:hideMark/>
          </w:tcPr>
          <w:p w14:paraId="189886F7" w14:textId="77777777" w:rsidR="004E1A1B" w:rsidRPr="00C35197" w:rsidRDefault="004E1A1B" w:rsidP="004E1A1B">
            <w:pPr>
              <w:spacing w:after="0" w:line="240" w:lineRule="auto"/>
              <w:jc w:val="center"/>
              <w:rPr>
                <w:rFonts w:ascii="Garamond" w:eastAsia="Times New Roman" w:hAnsi="Garamond" w:cs="Times New Roman"/>
                <w:b/>
                <w:bCs/>
                <w:sz w:val="24"/>
                <w:szCs w:val="24"/>
                <w:lang w:eastAsia="en-GB"/>
              </w:rPr>
            </w:pPr>
            <w:r w:rsidRPr="00C35197">
              <w:rPr>
                <w:rFonts w:ascii="Garamond" w:eastAsia="Times New Roman" w:hAnsi="Garamond" w:cs="Times New Roman"/>
                <w:b/>
                <w:bCs/>
                <w:sz w:val="24"/>
                <w:szCs w:val="24"/>
                <w:lang w:eastAsia="en-GB"/>
              </w:rPr>
              <w:t>Frequency of Denmark’s climate finance reporting</w:t>
            </w:r>
          </w:p>
        </w:tc>
      </w:tr>
      <w:tr w:rsidR="004E1A1B" w:rsidRPr="00C35197" w14:paraId="47F73BA0" w14:textId="77777777" w:rsidTr="004E1A1B">
        <w:trPr>
          <w:tblCellSpacing w:w="15" w:type="dxa"/>
        </w:trPr>
        <w:tc>
          <w:tcPr>
            <w:tcW w:w="0" w:type="auto"/>
            <w:vAlign w:val="center"/>
            <w:hideMark/>
          </w:tcPr>
          <w:p w14:paraId="42C3CB01" w14:textId="77777777" w:rsidR="004E1A1B" w:rsidRPr="00C35197" w:rsidRDefault="004E1A1B" w:rsidP="004E1A1B">
            <w:pPr>
              <w:spacing w:after="0" w:line="240" w:lineRule="auto"/>
              <w:rPr>
                <w:rFonts w:ascii="Garamond" w:eastAsia="Times New Roman" w:hAnsi="Garamond" w:cs="Times New Roman"/>
                <w:sz w:val="24"/>
                <w:szCs w:val="24"/>
                <w:lang w:eastAsia="en-GB"/>
              </w:rPr>
            </w:pPr>
            <w:r w:rsidRPr="00C35197">
              <w:rPr>
                <w:rFonts w:ascii="Garamond" w:eastAsia="Times New Roman" w:hAnsi="Garamond" w:cs="Times New Roman"/>
                <w:b/>
                <w:bCs/>
                <w:sz w:val="24"/>
                <w:szCs w:val="24"/>
                <w:lang w:eastAsia="en-GB"/>
              </w:rPr>
              <w:t>OECD DAC</w:t>
            </w:r>
          </w:p>
        </w:tc>
        <w:tc>
          <w:tcPr>
            <w:tcW w:w="7195" w:type="dxa"/>
            <w:vAlign w:val="center"/>
            <w:hideMark/>
          </w:tcPr>
          <w:p w14:paraId="6C4FAEF1" w14:textId="77777777" w:rsidR="004E1A1B" w:rsidRPr="00C35197" w:rsidRDefault="004E1A1B" w:rsidP="004E1A1B">
            <w:pPr>
              <w:spacing w:after="0" w:line="240" w:lineRule="auto"/>
              <w:rPr>
                <w:rFonts w:ascii="Garamond" w:eastAsia="Times New Roman" w:hAnsi="Garamond" w:cs="Times New Roman"/>
                <w:sz w:val="24"/>
                <w:szCs w:val="24"/>
                <w:lang w:eastAsia="en-GB"/>
              </w:rPr>
            </w:pPr>
            <w:r w:rsidRPr="00C35197">
              <w:rPr>
                <w:rFonts w:ascii="Garamond" w:eastAsia="Times New Roman" w:hAnsi="Garamond" w:cs="Times New Roman"/>
                <w:sz w:val="24"/>
                <w:szCs w:val="24"/>
                <w:lang w:eastAsia="en-GB"/>
              </w:rPr>
              <w:t xml:space="preserve">Denmark reports climate finance annually, covering the previous year. Denmark reports to OECD on all policy </w:t>
            </w:r>
            <w:proofErr w:type="spellStart"/>
            <w:r w:rsidRPr="00C35197">
              <w:rPr>
                <w:rFonts w:ascii="Garamond" w:eastAsia="Times New Roman" w:hAnsi="Garamond" w:cs="Times New Roman"/>
                <w:sz w:val="24"/>
                <w:szCs w:val="24"/>
                <w:lang w:eastAsia="en-GB"/>
              </w:rPr>
              <w:t>ma</w:t>
            </w:r>
            <w:r>
              <w:rPr>
                <w:rFonts w:ascii="Garamond" w:eastAsia="Times New Roman" w:hAnsi="Garamond" w:cs="Times New Roman"/>
                <w:sz w:val="24"/>
                <w:szCs w:val="24"/>
                <w:lang w:eastAsia="en-GB"/>
              </w:rPr>
              <w:t>r</w:t>
            </w:r>
            <w:r w:rsidRPr="00C35197">
              <w:rPr>
                <w:rFonts w:ascii="Garamond" w:eastAsia="Times New Roman" w:hAnsi="Garamond" w:cs="Times New Roman"/>
                <w:sz w:val="24"/>
                <w:szCs w:val="24"/>
                <w:lang w:eastAsia="en-GB"/>
              </w:rPr>
              <w:t>kers</w:t>
            </w:r>
            <w:proofErr w:type="spellEnd"/>
            <w:r w:rsidRPr="00C35197">
              <w:rPr>
                <w:rFonts w:ascii="Garamond" w:eastAsia="Times New Roman" w:hAnsi="Garamond" w:cs="Times New Roman"/>
                <w:sz w:val="24"/>
                <w:szCs w:val="24"/>
                <w:lang w:eastAsia="en-GB"/>
              </w:rPr>
              <w:t xml:space="preserve">. </w:t>
            </w:r>
          </w:p>
        </w:tc>
      </w:tr>
      <w:tr w:rsidR="004E1A1B" w:rsidRPr="00C35197" w14:paraId="53CD2EF8" w14:textId="77777777" w:rsidTr="004E1A1B">
        <w:trPr>
          <w:tblCellSpacing w:w="15" w:type="dxa"/>
        </w:trPr>
        <w:tc>
          <w:tcPr>
            <w:tcW w:w="0" w:type="auto"/>
            <w:vAlign w:val="center"/>
            <w:hideMark/>
          </w:tcPr>
          <w:p w14:paraId="72B74E80" w14:textId="77777777" w:rsidR="004E1A1B" w:rsidRPr="00C35197" w:rsidRDefault="004E1A1B" w:rsidP="004E1A1B">
            <w:pPr>
              <w:spacing w:after="0" w:line="240" w:lineRule="auto"/>
              <w:rPr>
                <w:rFonts w:ascii="Garamond" w:eastAsia="Times New Roman" w:hAnsi="Garamond" w:cs="Times New Roman"/>
                <w:sz w:val="24"/>
                <w:szCs w:val="24"/>
                <w:lang w:eastAsia="en-GB"/>
              </w:rPr>
            </w:pPr>
            <w:r w:rsidRPr="00C35197">
              <w:rPr>
                <w:rFonts w:ascii="Garamond" w:eastAsia="Times New Roman" w:hAnsi="Garamond" w:cs="Times New Roman"/>
                <w:b/>
                <w:bCs/>
                <w:sz w:val="24"/>
                <w:szCs w:val="24"/>
                <w:lang w:eastAsia="en-GB"/>
              </w:rPr>
              <w:t>EU</w:t>
            </w:r>
          </w:p>
        </w:tc>
        <w:tc>
          <w:tcPr>
            <w:tcW w:w="7195" w:type="dxa"/>
            <w:vAlign w:val="center"/>
            <w:hideMark/>
          </w:tcPr>
          <w:p w14:paraId="7D4B7B7C" w14:textId="77777777" w:rsidR="004E1A1B" w:rsidRPr="00C35197" w:rsidRDefault="004E1A1B" w:rsidP="004E1A1B">
            <w:pPr>
              <w:spacing w:after="0" w:line="240" w:lineRule="auto"/>
              <w:rPr>
                <w:rFonts w:ascii="Garamond" w:eastAsia="Times New Roman" w:hAnsi="Garamond" w:cs="Times New Roman"/>
                <w:sz w:val="24"/>
                <w:szCs w:val="24"/>
                <w:lang w:eastAsia="en-GB"/>
              </w:rPr>
            </w:pPr>
            <w:r w:rsidRPr="00C35197">
              <w:rPr>
                <w:rFonts w:ascii="Garamond" w:eastAsia="Times New Roman" w:hAnsi="Garamond" w:cs="Times New Roman"/>
                <w:sz w:val="24"/>
                <w:szCs w:val="24"/>
                <w:lang w:eastAsia="en-GB"/>
              </w:rPr>
              <w:t>Denmark reports climate finance annually, covering the previous year.</w:t>
            </w:r>
          </w:p>
        </w:tc>
      </w:tr>
      <w:tr w:rsidR="004E1A1B" w:rsidRPr="00C35197" w14:paraId="5CDF0128" w14:textId="77777777" w:rsidTr="004E1A1B">
        <w:trPr>
          <w:trHeight w:val="40"/>
          <w:tblCellSpacing w:w="15" w:type="dxa"/>
        </w:trPr>
        <w:tc>
          <w:tcPr>
            <w:tcW w:w="0" w:type="auto"/>
            <w:vAlign w:val="center"/>
            <w:hideMark/>
          </w:tcPr>
          <w:p w14:paraId="018FC1BB" w14:textId="77777777" w:rsidR="004E1A1B" w:rsidRPr="00C35197" w:rsidRDefault="004E1A1B" w:rsidP="004E1A1B">
            <w:pPr>
              <w:spacing w:after="0" w:line="240" w:lineRule="auto"/>
              <w:rPr>
                <w:rFonts w:ascii="Garamond" w:eastAsia="Times New Roman" w:hAnsi="Garamond" w:cs="Times New Roman"/>
                <w:sz w:val="24"/>
                <w:szCs w:val="24"/>
                <w:lang w:eastAsia="en-GB"/>
              </w:rPr>
            </w:pPr>
            <w:r w:rsidRPr="00C35197">
              <w:rPr>
                <w:rFonts w:ascii="Garamond" w:eastAsia="Times New Roman" w:hAnsi="Garamond" w:cs="Times New Roman"/>
                <w:b/>
                <w:bCs/>
                <w:sz w:val="24"/>
                <w:szCs w:val="24"/>
                <w:lang w:eastAsia="en-GB"/>
              </w:rPr>
              <w:t>UNFCCC</w:t>
            </w:r>
          </w:p>
        </w:tc>
        <w:tc>
          <w:tcPr>
            <w:tcW w:w="7195" w:type="dxa"/>
            <w:vAlign w:val="center"/>
            <w:hideMark/>
          </w:tcPr>
          <w:p w14:paraId="0307CA0D" w14:textId="77777777" w:rsidR="004E1A1B" w:rsidRPr="00C35197" w:rsidRDefault="004E1A1B" w:rsidP="004E1A1B">
            <w:pPr>
              <w:spacing w:after="0" w:line="240" w:lineRule="auto"/>
              <w:rPr>
                <w:rFonts w:ascii="Garamond" w:eastAsia="Times New Roman" w:hAnsi="Garamond" w:cs="Times New Roman"/>
                <w:sz w:val="24"/>
                <w:szCs w:val="24"/>
                <w:lang w:eastAsia="en-GB"/>
              </w:rPr>
            </w:pPr>
            <w:r w:rsidRPr="00C35197">
              <w:rPr>
                <w:rFonts w:ascii="Garamond" w:eastAsia="Times New Roman" w:hAnsi="Garamond" w:cs="Times New Roman"/>
                <w:sz w:val="24"/>
                <w:szCs w:val="24"/>
                <w:lang w:eastAsia="en-GB"/>
              </w:rPr>
              <w:t>Denmark reports climate finance every second year, covering a biennial period.</w:t>
            </w:r>
          </w:p>
        </w:tc>
      </w:tr>
    </w:tbl>
    <w:p w14:paraId="47E23AF0" w14:textId="77777777" w:rsidR="00914E1E" w:rsidRPr="00C35197" w:rsidRDefault="00914E1E" w:rsidP="007014C8">
      <w:pPr>
        <w:spacing w:line="240" w:lineRule="auto"/>
        <w:jc w:val="both"/>
        <w:rPr>
          <w:rFonts w:ascii="Garamond" w:hAnsi="Garamond"/>
          <w:b/>
          <w:bCs/>
          <w:sz w:val="24"/>
          <w:szCs w:val="24"/>
        </w:rPr>
      </w:pPr>
    </w:p>
    <w:p w14:paraId="028A48DA" w14:textId="6AC9999E" w:rsidR="007014C8" w:rsidRDefault="0050149E" w:rsidP="007014C8">
      <w:pPr>
        <w:spacing w:line="240" w:lineRule="auto"/>
        <w:jc w:val="both"/>
        <w:rPr>
          <w:rFonts w:ascii="Garamond" w:hAnsi="Garamond"/>
          <w:sz w:val="24"/>
          <w:szCs w:val="24"/>
        </w:rPr>
      </w:pPr>
      <w:r>
        <w:rPr>
          <w:rFonts w:ascii="Garamond" w:hAnsi="Garamond"/>
          <w:sz w:val="24"/>
          <w:szCs w:val="24"/>
        </w:rPr>
        <w:t>6</w:t>
      </w:r>
      <w:r w:rsidR="00C35197" w:rsidRPr="00C35197">
        <w:rPr>
          <w:rFonts w:ascii="Garamond" w:hAnsi="Garamond"/>
          <w:sz w:val="24"/>
          <w:szCs w:val="24"/>
        </w:rPr>
        <w:t>.</w:t>
      </w:r>
      <w:r w:rsidR="00C35197">
        <w:rPr>
          <w:rFonts w:ascii="Garamond" w:hAnsi="Garamond"/>
          <w:b/>
          <w:bCs/>
          <w:sz w:val="24"/>
          <w:szCs w:val="24"/>
        </w:rPr>
        <w:t xml:space="preserve"> </w:t>
      </w:r>
      <w:r w:rsidR="00B13CB7" w:rsidRPr="00C35197">
        <w:rPr>
          <w:rFonts w:ascii="Garamond" w:hAnsi="Garamond"/>
          <w:b/>
          <w:bCs/>
          <w:sz w:val="24"/>
          <w:szCs w:val="24"/>
        </w:rPr>
        <w:t>The Rio markers on biodiversity and desertification are recorded</w:t>
      </w:r>
      <w:r w:rsidR="00456E3B">
        <w:rPr>
          <w:rFonts w:ascii="Garamond" w:hAnsi="Garamond"/>
          <w:b/>
          <w:bCs/>
          <w:sz w:val="24"/>
          <w:szCs w:val="24"/>
        </w:rPr>
        <w:t xml:space="preserve"> in </w:t>
      </w:r>
      <w:r w:rsidR="00242595">
        <w:rPr>
          <w:rFonts w:ascii="Garamond" w:hAnsi="Garamond"/>
          <w:sz w:val="24"/>
          <w:szCs w:val="24"/>
        </w:rPr>
        <w:t xml:space="preserve">the </w:t>
      </w:r>
      <w:r w:rsidR="00242595" w:rsidRPr="006E3678">
        <w:rPr>
          <w:rFonts w:ascii="Garamond" w:hAnsi="Garamond"/>
          <w:sz w:val="24"/>
          <w:szCs w:val="24"/>
        </w:rPr>
        <w:t>b</w:t>
      </w:r>
      <w:r w:rsidR="00914E1E" w:rsidRPr="006E3678">
        <w:rPr>
          <w:rFonts w:ascii="Garamond" w:hAnsi="Garamond"/>
          <w:sz w:val="24"/>
          <w:szCs w:val="24"/>
        </w:rPr>
        <w:t xml:space="preserve">udget </w:t>
      </w:r>
      <w:r w:rsidR="00242595" w:rsidRPr="006E3678">
        <w:rPr>
          <w:rFonts w:ascii="Garamond" w:hAnsi="Garamond"/>
          <w:sz w:val="24"/>
          <w:szCs w:val="24"/>
        </w:rPr>
        <w:t>a</w:t>
      </w:r>
      <w:r w:rsidR="00B13CB7" w:rsidRPr="006E3678">
        <w:rPr>
          <w:rFonts w:ascii="Garamond" w:hAnsi="Garamond"/>
          <w:sz w:val="24"/>
          <w:szCs w:val="24"/>
        </w:rPr>
        <w:t>nnex of the project</w:t>
      </w:r>
      <w:r w:rsidR="00242595" w:rsidRPr="006E3678">
        <w:rPr>
          <w:rFonts w:ascii="Garamond" w:hAnsi="Garamond"/>
          <w:sz w:val="24"/>
          <w:szCs w:val="24"/>
        </w:rPr>
        <w:t>/programme</w:t>
      </w:r>
      <w:r w:rsidR="00B13CB7" w:rsidRPr="006E3678">
        <w:rPr>
          <w:rFonts w:ascii="Garamond" w:hAnsi="Garamond"/>
          <w:sz w:val="24"/>
          <w:szCs w:val="24"/>
        </w:rPr>
        <w:t xml:space="preserve"> document template.</w:t>
      </w:r>
      <w:r w:rsidR="007014C8" w:rsidRPr="006E3678">
        <w:rPr>
          <w:rFonts w:ascii="Garamond" w:hAnsi="Garamond"/>
          <w:sz w:val="24"/>
          <w:szCs w:val="24"/>
        </w:rPr>
        <w:t xml:space="preserve"> </w:t>
      </w:r>
      <w:r w:rsidR="00543BDE" w:rsidRPr="006E3678">
        <w:rPr>
          <w:rFonts w:ascii="Garamond" w:hAnsi="Garamond"/>
          <w:sz w:val="24"/>
          <w:szCs w:val="24"/>
        </w:rPr>
        <w:t xml:space="preserve">Denmark does not set specific spending targets for allocating a share of the development cooperation budget to ‘desertification,’ ‘biodiversity,’ or ‘aid to environment.’ However, all projects </w:t>
      </w:r>
      <w:r w:rsidR="008E7346" w:rsidRPr="006E3678">
        <w:rPr>
          <w:rFonts w:ascii="Garamond" w:hAnsi="Garamond"/>
          <w:sz w:val="24"/>
          <w:szCs w:val="24"/>
        </w:rPr>
        <w:t>should be</w:t>
      </w:r>
      <w:r w:rsidR="00543BDE" w:rsidRPr="006E3678">
        <w:rPr>
          <w:rFonts w:ascii="Garamond" w:hAnsi="Garamond"/>
          <w:sz w:val="24"/>
          <w:szCs w:val="24"/>
        </w:rPr>
        <w:t xml:space="preserve"> scored against these markers in </w:t>
      </w:r>
      <w:r w:rsidR="00242595" w:rsidRPr="006E3678">
        <w:rPr>
          <w:rFonts w:ascii="Garamond" w:hAnsi="Garamond"/>
          <w:sz w:val="24"/>
          <w:szCs w:val="24"/>
        </w:rPr>
        <w:t>the b</w:t>
      </w:r>
      <w:r w:rsidR="00914E1E" w:rsidRPr="006E3678">
        <w:rPr>
          <w:rFonts w:ascii="Garamond" w:hAnsi="Garamond"/>
          <w:sz w:val="24"/>
          <w:szCs w:val="24"/>
        </w:rPr>
        <w:t xml:space="preserve">udget </w:t>
      </w:r>
      <w:r w:rsidR="00543BDE" w:rsidRPr="006E3678">
        <w:rPr>
          <w:rFonts w:ascii="Garamond" w:hAnsi="Garamond"/>
          <w:sz w:val="24"/>
          <w:szCs w:val="24"/>
        </w:rPr>
        <w:t xml:space="preserve">annex </w:t>
      </w:r>
      <w:r w:rsidR="00543BDE" w:rsidRPr="007014C8">
        <w:rPr>
          <w:rFonts w:ascii="Garamond" w:hAnsi="Garamond"/>
          <w:sz w:val="24"/>
          <w:szCs w:val="24"/>
        </w:rPr>
        <w:t>of the project</w:t>
      </w:r>
      <w:r w:rsidR="00242595">
        <w:rPr>
          <w:rFonts w:ascii="Garamond" w:hAnsi="Garamond"/>
          <w:sz w:val="24"/>
          <w:szCs w:val="24"/>
        </w:rPr>
        <w:t>/programme</w:t>
      </w:r>
      <w:r w:rsidR="00543BDE" w:rsidRPr="007014C8">
        <w:rPr>
          <w:rFonts w:ascii="Garamond" w:hAnsi="Garamond"/>
          <w:sz w:val="24"/>
          <w:szCs w:val="24"/>
        </w:rPr>
        <w:t xml:space="preserve"> document and when entered into the Project Management Interface (PMI)</w:t>
      </w:r>
      <w:r w:rsidR="00556EEC">
        <w:rPr>
          <w:rFonts w:ascii="Garamond" w:hAnsi="Garamond"/>
          <w:sz w:val="24"/>
          <w:szCs w:val="24"/>
        </w:rPr>
        <w:t xml:space="preserve"> (at “Engagement level” for projects)</w:t>
      </w:r>
      <w:r w:rsidR="00543BDE" w:rsidRPr="007014C8">
        <w:rPr>
          <w:rFonts w:ascii="Garamond" w:hAnsi="Garamond"/>
          <w:sz w:val="24"/>
          <w:szCs w:val="24"/>
        </w:rPr>
        <w:t>, as Denmark is oblig</w:t>
      </w:r>
      <w:r w:rsidR="008E7346">
        <w:rPr>
          <w:rFonts w:ascii="Garamond" w:hAnsi="Garamond"/>
          <w:sz w:val="24"/>
          <w:szCs w:val="24"/>
        </w:rPr>
        <w:t>ed</w:t>
      </w:r>
      <w:r w:rsidR="00543BDE" w:rsidRPr="007014C8">
        <w:rPr>
          <w:rFonts w:ascii="Garamond" w:hAnsi="Garamond"/>
          <w:sz w:val="24"/>
          <w:szCs w:val="24"/>
        </w:rPr>
        <w:t xml:space="preserve"> to report them to OECD</w:t>
      </w:r>
      <w:r w:rsidR="008E7346">
        <w:rPr>
          <w:rFonts w:ascii="Garamond" w:hAnsi="Garamond"/>
          <w:sz w:val="24"/>
          <w:szCs w:val="24"/>
        </w:rPr>
        <w:t>, UNCBD and UNCCD</w:t>
      </w:r>
      <w:r w:rsidR="00543BDE" w:rsidRPr="007014C8">
        <w:rPr>
          <w:rFonts w:ascii="Garamond" w:hAnsi="Garamond"/>
          <w:sz w:val="24"/>
          <w:szCs w:val="24"/>
        </w:rPr>
        <w:t xml:space="preserve"> </w:t>
      </w:r>
      <w:r w:rsidR="00182C16">
        <w:rPr>
          <w:rStyle w:val="Fodnotehenvisning"/>
          <w:rFonts w:ascii="Garamond" w:hAnsi="Garamond"/>
          <w:sz w:val="24"/>
          <w:szCs w:val="24"/>
        </w:rPr>
        <w:footnoteReference w:id="2"/>
      </w:r>
    </w:p>
    <w:p w14:paraId="59895CA4" w14:textId="0E1995A9" w:rsidR="0089570A" w:rsidRPr="007014C8" w:rsidRDefault="0089570A" w:rsidP="007014C8">
      <w:pPr>
        <w:spacing w:line="240" w:lineRule="auto"/>
        <w:jc w:val="both"/>
        <w:rPr>
          <w:rFonts w:ascii="Garamond" w:hAnsi="Garamond"/>
          <w:b/>
          <w:bCs/>
          <w:sz w:val="26"/>
          <w:szCs w:val="26"/>
        </w:rPr>
      </w:pPr>
      <w:r w:rsidRPr="007014C8">
        <w:rPr>
          <w:rFonts w:ascii="Garamond" w:hAnsi="Garamond"/>
          <w:b/>
          <w:bCs/>
          <w:sz w:val="26"/>
          <w:szCs w:val="26"/>
        </w:rPr>
        <w:t xml:space="preserve">Methodology </w:t>
      </w:r>
    </w:p>
    <w:p w14:paraId="6BC18E97" w14:textId="01C43725" w:rsidR="00EC4285" w:rsidRPr="0093132F" w:rsidRDefault="0050149E" w:rsidP="007014C8">
      <w:pPr>
        <w:spacing w:line="240" w:lineRule="auto"/>
        <w:jc w:val="both"/>
        <w:rPr>
          <w:rFonts w:ascii="Garamond" w:hAnsi="Garamond"/>
          <w:sz w:val="24"/>
          <w:szCs w:val="24"/>
        </w:rPr>
      </w:pPr>
      <w:r>
        <w:rPr>
          <w:rFonts w:ascii="Garamond" w:hAnsi="Garamond"/>
          <w:sz w:val="24"/>
          <w:szCs w:val="24"/>
        </w:rPr>
        <w:t>8</w:t>
      </w:r>
      <w:r w:rsidR="007014C8">
        <w:rPr>
          <w:rFonts w:ascii="Garamond" w:hAnsi="Garamond"/>
          <w:sz w:val="24"/>
          <w:szCs w:val="24"/>
        </w:rPr>
        <w:t xml:space="preserve">. </w:t>
      </w:r>
      <w:r w:rsidR="00635D50" w:rsidRPr="0093132F">
        <w:rPr>
          <w:rFonts w:ascii="Garamond" w:hAnsi="Garamond"/>
          <w:b/>
          <w:bCs/>
          <w:sz w:val="24"/>
          <w:szCs w:val="24"/>
        </w:rPr>
        <w:t>The Rio markers are applied using a simple scoring system:</w:t>
      </w:r>
      <w:r w:rsidR="00635D50" w:rsidRPr="00C35197">
        <w:rPr>
          <w:rFonts w:ascii="Garamond" w:hAnsi="Garamond"/>
          <w:sz w:val="24"/>
          <w:szCs w:val="24"/>
        </w:rPr>
        <w:t xml:space="preserve"> 'Not targeted' (0), 'Significant' (1), and 'Principal' (2). These correspond to 0%, 50%, and 100% of the total budget of a given activity being reported as finance for the relevant Rio marker.</w:t>
      </w:r>
      <w:r w:rsidR="00EC4285" w:rsidRPr="00C35197">
        <w:rPr>
          <w:rFonts w:ascii="Garamond" w:hAnsi="Garamond"/>
          <w:sz w:val="24"/>
          <w:szCs w:val="24"/>
        </w:rPr>
        <w:t xml:space="preserve"> </w:t>
      </w:r>
      <w:r w:rsidR="00EC4285" w:rsidRPr="00C35197">
        <w:rPr>
          <w:rFonts w:ascii="Garamond" w:hAnsi="Garamond"/>
          <w:i/>
          <w:iCs/>
          <w:sz w:val="24"/>
          <w:szCs w:val="24"/>
        </w:rPr>
        <w:t>For example, if a project has a total budget of €1 million and receives a climate adaptation Rio marker score of "1" (Significant), then €500,000 will be reported as climate finance.</w:t>
      </w:r>
      <w:r w:rsidR="0015463B">
        <w:rPr>
          <w:rFonts w:ascii="Garamond" w:hAnsi="Garamond"/>
          <w:i/>
          <w:iCs/>
          <w:sz w:val="24"/>
          <w:szCs w:val="24"/>
        </w:rPr>
        <w:t xml:space="preserve"> </w:t>
      </w:r>
      <w:r w:rsidR="0015463B">
        <w:rPr>
          <w:rFonts w:ascii="Garamond" w:hAnsi="Garamond"/>
          <w:sz w:val="24"/>
          <w:szCs w:val="24"/>
        </w:rPr>
        <w:t>The methodology is outlined in the Rio marker handbook available here below</w:t>
      </w:r>
      <w:r w:rsidR="00182C16" w:rsidRPr="006E3678">
        <w:rPr>
          <w:rFonts w:ascii="Garamond" w:hAnsi="Garamond"/>
          <w:sz w:val="24"/>
          <w:szCs w:val="24"/>
          <w:vertAlign w:val="superscript"/>
        </w:rPr>
        <w:t>2</w:t>
      </w:r>
      <w:r w:rsidR="0015463B">
        <w:rPr>
          <w:rFonts w:ascii="Garamond" w:hAnsi="Garamond"/>
          <w:sz w:val="24"/>
          <w:szCs w:val="24"/>
        </w:rPr>
        <w:t>:</w:t>
      </w:r>
    </w:p>
    <w:p w14:paraId="54030038" w14:textId="2954DEBF" w:rsidR="00543BDE" w:rsidRDefault="00543BDE" w:rsidP="00C35197">
      <w:pPr>
        <w:spacing w:line="240" w:lineRule="auto"/>
        <w:jc w:val="both"/>
        <w:rPr>
          <w:rFonts w:ascii="Garamond" w:hAnsi="Garamond"/>
          <w:sz w:val="24"/>
          <w:szCs w:val="24"/>
        </w:rPr>
      </w:pPr>
      <w:r w:rsidRPr="00C35197">
        <w:rPr>
          <w:rFonts w:ascii="Garamond" w:hAnsi="Garamond"/>
          <w:noProof/>
          <w:sz w:val="24"/>
          <w:szCs w:val="24"/>
          <w:lang w:val="da-DK" w:eastAsia="da-DK"/>
        </w:rPr>
        <mc:AlternateContent>
          <mc:Choice Requires="wps">
            <w:drawing>
              <wp:anchor distT="45720" distB="45720" distL="114300" distR="114300" simplePos="0" relativeHeight="251661312" behindDoc="0" locked="0" layoutInCell="1" allowOverlap="1" wp14:anchorId="63F0200D" wp14:editId="68D800E1">
                <wp:simplePos x="0" y="0"/>
                <wp:positionH relativeFrom="margin">
                  <wp:posOffset>885190</wp:posOffset>
                </wp:positionH>
                <wp:positionV relativeFrom="paragraph">
                  <wp:posOffset>28575</wp:posOffset>
                </wp:positionV>
                <wp:extent cx="4791075" cy="983615"/>
                <wp:effectExtent l="0" t="0" r="28575" b="2603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983615"/>
                        </a:xfrm>
                        <a:prstGeom prst="rect">
                          <a:avLst/>
                        </a:prstGeom>
                        <a:solidFill>
                          <a:srgbClr val="00B050"/>
                        </a:solidFill>
                        <a:ln>
                          <a:headEnd/>
                          <a:tailEnd/>
                        </a:ln>
                      </wps:spPr>
                      <wps:style>
                        <a:lnRef idx="2">
                          <a:schemeClr val="accent6"/>
                        </a:lnRef>
                        <a:fillRef idx="1">
                          <a:schemeClr val="lt1"/>
                        </a:fillRef>
                        <a:effectRef idx="0">
                          <a:schemeClr val="accent6"/>
                        </a:effectRef>
                        <a:fontRef idx="minor">
                          <a:schemeClr val="dk1"/>
                        </a:fontRef>
                      </wps:style>
                      <wps:txbx>
                        <w:txbxContent>
                          <w:p w14:paraId="3DF193FD" w14:textId="520DB0FB" w:rsidR="00FB0996" w:rsidRPr="007014C8" w:rsidRDefault="00FB0996">
                            <w:pPr>
                              <w:rPr>
                                <w:rFonts w:ascii="Garamond" w:hAnsi="Garamond"/>
                                <w:i/>
                                <w:color w:val="FFFFFF" w:themeColor="background1"/>
                                <w:lang w:val="en-US"/>
                              </w:rPr>
                            </w:pPr>
                            <w:r w:rsidRPr="007014C8">
                              <w:rPr>
                                <w:rFonts w:ascii="Garamond" w:hAnsi="Garamond"/>
                                <w:i/>
                                <w:color w:val="FFFFFF" w:themeColor="background1"/>
                                <w:lang w:val="en-US"/>
                              </w:rPr>
                              <w:t>The list in the Handbook with examples of how different categories o</w:t>
                            </w:r>
                            <w:r w:rsidR="00206E33" w:rsidRPr="007014C8">
                              <w:rPr>
                                <w:rFonts w:ascii="Garamond" w:hAnsi="Garamond"/>
                                <w:i/>
                                <w:color w:val="FFFFFF" w:themeColor="background1"/>
                                <w:lang w:val="en-US"/>
                              </w:rPr>
                              <w:t>f activities</w:t>
                            </w:r>
                            <w:r w:rsidRPr="007014C8">
                              <w:rPr>
                                <w:rFonts w:ascii="Garamond" w:hAnsi="Garamond"/>
                                <w:i/>
                                <w:color w:val="FFFFFF" w:themeColor="background1"/>
                                <w:lang w:val="en-US"/>
                              </w:rPr>
                              <w:t xml:space="preserve"> are scored against the Rio climate markers (page 11-32) i</w:t>
                            </w:r>
                            <w:r w:rsidR="00BF57FF" w:rsidRPr="007014C8">
                              <w:rPr>
                                <w:rFonts w:ascii="Garamond" w:hAnsi="Garamond"/>
                                <w:i/>
                                <w:color w:val="FFFFFF" w:themeColor="background1"/>
                                <w:lang w:val="en-US"/>
                              </w:rPr>
                              <w:t>s useful when assessing activities</w:t>
                            </w:r>
                            <w:r w:rsidRPr="007014C8">
                              <w:rPr>
                                <w:rFonts w:ascii="Garamond" w:hAnsi="Garamond"/>
                                <w:i/>
                                <w:color w:val="FFFFFF" w:themeColor="background1"/>
                                <w:lang w:val="en-US"/>
                              </w:rPr>
                              <w:t>. T</w:t>
                            </w:r>
                            <w:r w:rsidR="00480427" w:rsidRPr="007014C8">
                              <w:rPr>
                                <w:rFonts w:ascii="Garamond" w:hAnsi="Garamond"/>
                                <w:i/>
                                <w:color w:val="FFFFFF" w:themeColor="background1"/>
                                <w:lang w:val="en-US"/>
                              </w:rPr>
                              <w:t>he list entails activities</w:t>
                            </w:r>
                            <w:r w:rsidRPr="007014C8">
                              <w:rPr>
                                <w:rFonts w:ascii="Garamond" w:hAnsi="Garamond"/>
                                <w:i/>
                                <w:color w:val="FFFFFF" w:themeColor="background1"/>
                                <w:lang w:val="en-US"/>
                              </w:rPr>
                              <w:t xml:space="preserve"> </w:t>
                            </w:r>
                            <w:r w:rsidR="00480427" w:rsidRPr="007014C8">
                              <w:rPr>
                                <w:rFonts w:ascii="Garamond" w:hAnsi="Garamond"/>
                                <w:i/>
                                <w:color w:val="FFFFFF" w:themeColor="background1"/>
                                <w:lang w:val="en-US"/>
                              </w:rPr>
                              <w:t xml:space="preserve">that are scored </w:t>
                            </w:r>
                            <w:r w:rsidRPr="007014C8">
                              <w:rPr>
                                <w:rFonts w:ascii="Garamond" w:hAnsi="Garamond"/>
                                <w:i/>
                                <w:color w:val="FFFFFF" w:themeColor="background1"/>
                                <w:lang w:val="en-US"/>
                              </w:rPr>
                              <w:t>for different categories</w:t>
                            </w:r>
                            <w:r w:rsidR="00480427" w:rsidRPr="007014C8">
                              <w:rPr>
                                <w:rFonts w:ascii="Garamond" w:hAnsi="Garamond"/>
                                <w:i/>
                                <w:color w:val="FFFFFF" w:themeColor="background1"/>
                                <w:lang w:val="en-US"/>
                              </w:rPr>
                              <w:t xml:space="preserve"> and </w:t>
                            </w:r>
                            <w:r w:rsidRPr="007014C8">
                              <w:rPr>
                                <w:rFonts w:ascii="Garamond" w:hAnsi="Garamond"/>
                                <w:i/>
                                <w:color w:val="FFFFFF" w:themeColor="background1"/>
                                <w:lang w:val="en-US"/>
                              </w:rPr>
                              <w:t xml:space="preserve">in most </w:t>
                            </w:r>
                            <w:proofErr w:type="gramStart"/>
                            <w:r w:rsidRPr="007014C8">
                              <w:rPr>
                                <w:rFonts w:ascii="Garamond" w:hAnsi="Garamond"/>
                                <w:i/>
                                <w:color w:val="FFFFFF" w:themeColor="background1"/>
                                <w:lang w:val="en-US"/>
                              </w:rPr>
                              <w:t>cases</w:t>
                            </w:r>
                            <w:proofErr w:type="gramEnd"/>
                            <w:r w:rsidRPr="007014C8">
                              <w:rPr>
                                <w:rFonts w:ascii="Garamond" w:hAnsi="Garamond"/>
                                <w:i/>
                                <w:color w:val="FFFFFF" w:themeColor="background1"/>
                                <w:lang w:val="en-US"/>
                              </w:rPr>
                              <w:t xml:space="preserve"> it </w:t>
                            </w:r>
                            <w:r w:rsidR="00480427" w:rsidRPr="007014C8">
                              <w:rPr>
                                <w:rFonts w:ascii="Garamond" w:hAnsi="Garamond"/>
                                <w:i/>
                                <w:color w:val="FFFFFF" w:themeColor="background1"/>
                                <w:lang w:val="en-US"/>
                              </w:rPr>
                              <w:t xml:space="preserve">is </w:t>
                            </w:r>
                            <w:r w:rsidRPr="007014C8">
                              <w:rPr>
                                <w:rFonts w:ascii="Garamond" w:hAnsi="Garamond"/>
                                <w:i/>
                                <w:color w:val="FFFFFF" w:themeColor="background1"/>
                                <w:lang w:val="en-US"/>
                              </w:rPr>
                              <w:t>possible to find an example similar to a particular project that it assessed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F0200D" id="_x0000_t202" coordsize="21600,21600" o:spt="202" path="m,l,21600r21600,l21600,xe">
                <v:stroke joinstyle="miter"/>
                <v:path gradientshapeok="t" o:connecttype="rect"/>
              </v:shapetype>
              <v:shape id="Tekstfelt 2" o:spid="_x0000_s1027" type="#_x0000_t202" style="position:absolute;left:0;text-align:left;margin-left:69.7pt;margin-top:2.25pt;width:377.25pt;height:77.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" fillcolor="#00b050" strokecolor="#70ad47 [3209]" strokeweight="1pt">
                <v:textbox>
                  <w:txbxContent>
                    <w:p w14:paraId="3DF193FD" w14:textId="520DB0FB" w:rsidR="00FB0996" w:rsidRPr="007014C8" w:rsidRDefault="00FB0996">
                      <w:pPr>
                        <w:rPr>
                          <w:rFonts w:ascii="Garamond" w:hAnsi="Garamond"/>
                          <w:i/>
                          <w:color w:val="FFFFFF" w:themeColor="background1"/>
                          <w:lang w:val="en-US"/>
                        </w:rPr>
                      </w:pPr>
                      <w:r w:rsidRPr="007014C8">
                        <w:rPr>
                          <w:rFonts w:ascii="Garamond" w:hAnsi="Garamond"/>
                          <w:i/>
                          <w:color w:val="FFFFFF" w:themeColor="background1"/>
                          <w:lang w:val="en-US"/>
                        </w:rPr>
                        <w:t>The list in the Handbook with examples of how different categories o</w:t>
                      </w:r>
                      <w:r w:rsidR="00206E33" w:rsidRPr="007014C8">
                        <w:rPr>
                          <w:rFonts w:ascii="Garamond" w:hAnsi="Garamond"/>
                          <w:i/>
                          <w:color w:val="FFFFFF" w:themeColor="background1"/>
                          <w:lang w:val="en-US"/>
                        </w:rPr>
                        <w:t>f activities</w:t>
                      </w:r>
                      <w:r w:rsidRPr="007014C8">
                        <w:rPr>
                          <w:rFonts w:ascii="Garamond" w:hAnsi="Garamond"/>
                          <w:i/>
                          <w:color w:val="FFFFFF" w:themeColor="background1"/>
                          <w:lang w:val="en-US"/>
                        </w:rPr>
                        <w:t xml:space="preserve"> are scored against the Rio climate markers (page 11-32) i</w:t>
                      </w:r>
                      <w:r w:rsidR="00BF57FF" w:rsidRPr="007014C8">
                        <w:rPr>
                          <w:rFonts w:ascii="Garamond" w:hAnsi="Garamond"/>
                          <w:i/>
                          <w:color w:val="FFFFFF" w:themeColor="background1"/>
                          <w:lang w:val="en-US"/>
                        </w:rPr>
                        <w:t>s useful when assessing activities</w:t>
                      </w:r>
                      <w:r w:rsidRPr="007014C8">
                        <w:rPr>
                          <w:rFonts w:ascii="Garamond" w:hAnsi="Garamond"/>
                          <w:i/>
                          <w:color w:val="FFFFFF" w:themeColor="background1"/>
                          <w:lang w:val="en-US"/>
                        </w:rPr>
                        <w:t>. T</w:t>
                      </w:r>
                      <w:r w:rsidR="00480427" w:rsidRPr="007014C8">
                        <w:rPr>
                          <w:rFonts w:ascii="Garamond" w:hAnsi="Garamond"/>
                          <w:i/>
                          <w:color w:val="FFFFFF" w:themeColor="background1"/>
                          <w:lang w:val="en-US"/>
                        </w:rPr>
                        <w:t>he list entails activities</w:t>
                      </w:r>
                      <w:r w:rsidRPr="007014C8">
                        <w:rPr>
                          <w:rFonts w:ascii="Garamond" w:hAnsi="Garamond"/>
                          <w:i/>
                          <w:color w:val="FFFFFF" w:themeColor="background1"/>
                          <w:lang w:val="en-US"/>
                        </w:rPr>
                        <w:t xml:space="preserve"> </w:t>
                      </w:r>
                      <w:r w:rsidR="00480427" w:rsidRPr="007014C8">
                        <w:rPr>
                          <w:rFonts w:ascii="Garamond" w:hAnsi="Garamond"/>
                          <w:i/>
                          <w:color w:val="FFFFFF" w:themeColor="background1"/>
                          <w:lang w:val="en-US"/>
                        </w:rPr>
                        <w:t xml:space="preserve">that are scored </w:t>
                      </w:r>
                      <w:r w:rsidRPr="007014C8">
                        <w:rPr>
                          <w:rFonts w:ascii="Garamond" w:hAnsi="Garamond"/>
                          <w:i/>
                          <w:color w:val="FFFFFF" w:themeColor="background1"/>
                          <w:lang w:val="en-US"/>
                        </w:rPr>
                        <w:t>for different categories</w:t>
                      </w:r>
                      <w:r w:rsidR="00480427" w:rsidRPr="007014C8">
                        <w:rPr>
                          <w:rFonts w:ascii="Garamond" w:hAnsi="Garamond"/>
                          <w:i/>
                          <w:color w:val="FFFFFF" w:themeColor="background1"/>
                          <w:lang w:val="en-US"/>
                        </w:rPr>
                        <w:t xml:space="preserve"> and </w:t>
                      </w:r>
                      <w:r w:rsidRPr="007014C8">
                        <w:rPr>
                          <w:rFonts w:ascii="Garamond" w:hAnsi="Garamond"/>
                          <w:i/>
                          <w:color w:val="FFFFFF" w:themeColor="background1"/>
                          <w:lang w:val="en-US"/>
                        </w:rPr>
                        <w:t xml:space="preserve">in most </w:t>
                      </w:r>
                      <w:proofErr w:type="gramStart"/>
                      <w:r w:rsidRPr="007014C8">
                        <w:rPr>
                          <w:rFonts w:ascii="Garamond" w:hAnsi="Garamond"/>
                          <w:i/>
                          <w:color w:val="FFFFFF" w:themeColor="background1"/>
                          <w:lang w:val="en-US"/>
                        </w:rPr>
                        <w:t>cases</w:t>
                      </w:r>
                      <w:proofErr w:type="gramEnd"/>
                      <w:r w:rsidRPr="007014C8">
                        <w:rPr>
                          <w:rFonts w:ascii="Garamond" w:hAnsi="Garamond"/>
                          <w:i/>
                          <w:color w:val="FFFFFF" w:themeColor="background1"/>
                          <w:lang w:val="en-US"/>
                        </w:rPr>
                        <w:t xml:space="preserve"> it </w:t>
                      </w:r>
                      <w:r w:rsidR="00480427" w:rsidRPr="007014C8">
                        <w:rPr>
                          <w:rFonts w:ascii="Garamond" w:hAnsi="Garamond"/>
                          <w:i/>
                          <w:color w:val="FFFFFF" w:themeColor="background1"/>
                          <w:lang w:val="en-US"/>
                        </w:rPr>
                        <w:t xml:space="preserve">is </w:t>
                      </w:r>
                      <w:r w:rsidRPr="007014C8">
                        <w:rPr>
                          <w:rFonts w:ascii="Garamond" w:hAnsi="Garamond"/>
                          <w:i/>
                          <w:color w:val="FFFFFF" w:themeColor="background1"/>
                          <w:lang w:val="en-US"/>
                        </w:rPr>
                        <w:t>possible to find an example similar to a particular project that it assessed</w:t>
                      </w:r>
                    </w:p>
                  </w:txbxContent>
                </v:textbox>
                <w10:wrap type="square" anchorx="margin"/>
              </v:shape>
            </w:pict>
          </mc:Fallback>
        </mc:AlternateContent>
      </w:r>
      <w:r w:rsidRPr="00C35197">
        <w:rPr>
          <w:rFonts w:ascii="Garamond" w:hAnsi="Garamond"/>
          <w:noProof/>
          <w:sz w:val="24"/>
          <w:szCs w:val="24"/>
          <w:lang w:val="da-DK" w:eastAsia="da-DK"/>
        </w:rPr>
        <w:drawing>
          <wp:inline distT="0" distB="0" distL="0" distR="0" wp14:anchorId="2D73D225" wp14:editId="0EE356A8">
            <wp:extent cx="752354" cy="1000760"/>
            <wp:effectExtent l="0" t="0" r="0" b="0"/>
            <wp:docPr id="1" name="Billed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a:hlinkClick r:id="rId8"/>
                    </pic:cNvPr>
                    <pic:cNvPicPr/>
                  </pic:nvPicPr>
                  <pic:blipFill>
                    <a:blip r:embed="rId10"/>
                    <a:stretch>
                      <a:fillRect/>
                    </a:stretch>
                  </pic:blipFill>
                  <pic:spPr>
                    <a:xfrm>
                      <a:off x="0" y="0"/>
                      <a:ext cx="771871" cy="1026721"/>
                    </a:xfrm>
                    <a:prstGeom prst="rect">
                      <a:avLst/>
                    </a:prstGeom>
                  </pic:spPr>
                </pic:pic>
              </a:graphicData>
            </a:graphic>
          </wp:inline>
        </w:drawing>
      </w:r>
    </w:p>
    <w:p w14:paraId="55F6E36A" w14:textId="312713B2" w:rsidR="00D97DF6" w:rsidRPr="00C35197" w:rsidRDefault="007014C8" w:rsidP="00C35197">
      <w:pPr>
        <w:spacing w:line="240" w:lineRule="auto"/>
        <w:jc w:val="both"/>
        <w:rPr>
          <w:rFonts w:ascii="Garamond" w:hAnsi="Garamond"/>
          <w:sz w:val="24"/>
          <w:szCs w:val="24"/>
        </w:rPr>
      </w:pPr>
      <w:r>
        <w:rPr>
          <w:rFonts w:ascii="Garamond" w:hAnsi="Garamond"/>
          <w:sz w:val="24"/>
          <w:szCs w:val="24"/>
          <w:lang w:val="en-US"/>
        </w:rPr>
        <w:t>1</w:t>
      </w:r>
      <w:r w:rsidR="0050149E">
        <w:rPr>
          <w:rFonts w:ascii="Garamond" w:hAnsi="Garamond"/>
          <w:sz w:val="24"/>
          <w:szCs w:val="24"/>
          <w:lang w:val="en-US"/>
        </w:rPr>
        <w:t>0</w:t>
      </w:r>
      <w:r w:rsidR="00D97DF6" w:rsidRPr="00C35197">
        <w:rPr>
          <w:rFonts w:ascii="Garamond" w:hAnsi="Garamond"/>
          <w:sz w:val="24"/>
          <w:szCs w:val="24"/>
          <w:lang w:val="en-US"/>
        </w:rPr>
        <w:t xml:space="preserve">. </w:t>
      </w:r>
      <w:r w:rsidR="0015463B">
        <w:rPr>
          <w:rFonts w:ascii="Garamond" w:hAnsi="Garamond"/>
          <w:sz w:val="24"/>
          <w:szCs w:val="24"/>
        </w:rPr>
        <w:t>Rio</w:t>
      </w:r>
      <w:r w:rsidR="000115BD" w:rsidRPr="00C35197">
        <w:rPr>
          <w:rFonts w:ascii="Garamond" w:hAnsi="Garamond"/>
          <w:sz w:val="24"/>
          <w:szCs w:val="24"/>
        </w:rPr>
        <w:t xml:space="preserve"> markers are applied at the commitment stage, based on the project's original intention. For multi-year projects, the initially assigned markers should be maintained throughout reporting. However, if a project evolves to incorporate, for example, climate objectives later in its life</w:t>
      </w:r>
      <w:r w:rsidR="00BD390A" w:rsidRPr="00C35197">
        <w:rPr>
          <w:rFonts w:ascii="Garamond" w:hAnsi="Garamond"/>
          <w:sz w:val="24"/>
          <w:szCs w:val="24"/>
        </w:rPr>
        <w:t xml:space="preserve"> </w:t>
      </w:r>
      <w:r w:rsidR="000115BD" w:rsidRPr="00C35197">
        <w:rPr>
          <w:rFonts w:ascii="Garamond" w:hAnsi="Garamond"/>
          <w:sz w:val="24"/>
          <w:szCs w:val="24"/>
        </w:rPr>
        <w:t>cycle, adjustments to the Rio markers are possible to reflect these changes.</w:t>
      </w:r>
    </w:p>
    <w:p w14:paraId="23040EB5" w14:textId="0E3FEDEE" w:rsidR="002A3CDD" w:rsidRPr="00C35197" w:rsidRDefault="007014C8" w:rsidP="00C35197">
      <w:pPr>
        <w:spacing w:line="240" w:lineRule="auto"/>
        <w:jc w:val="both"/>
        <w:rPr>
          <w:rFonts w:ascii="Garamond" w:hAnsi="Garamond"/>
          <w:sz w:val="24"/>
          <w:szCs w:val="24"/>
        </w:rPr>
      </w:pPr>
      <w:r>
        <w:rPr>
          <w:rFonts w:ascii="Garamond" w:hAnsi="Garamond"/>
          <w:sz w:val="24"/>
          <w:szCs w:val="24"/>
          <w:lang w:val="en-US"/>
        </w:rPr>
        <w:t>1</w:t>
      </w:r>
      <w:r w:rsidR="0050149E">
        <w:rPr>
          <w:rFonts w:ascii="Garamond" w:hAnsi="Garamond"/>
          <w:sz w:val="24"/>
          <w:szCs w:val="24"/>
          <w:lang w:val="en-US"/>
        </w:rPr>
        <w:t>1</w:t>
      </w:r>
      <w:r w:rsidR="00D97DF6" w:rsidRPr="00C35197">
        <w:rPr>
          <w:rFonts w:ascii="Garamond" w:hAnsi="Garamond"/>
          <w:sz w:val="24"/>
          <w:szCs w:val="24"/>
          <w:lang w:val="en-US"/>
        </w:rPr>
        <w:t xml:space="preserve">. </w:t>
      </w:r>
      <w:r w:rsidR="00182C16" w:rsidRPr="00C35197">
        <w:rPr>
          <w:rFonts w:ascii="Garamond" w:hAnsi="Garamond"/>
          <w:sz w:val="24"/>
          <w:szCs w:val="24"/>
        </w:rPr>
        <w:t>Projects are scored based on their stated purpose</w:t>
      </w:r>
      <w:r w:rsidR="00182C16">
        <w:rPr>
          <w:rFonts w:ascii="Garamond" w:hAnsi="Garamond"/>
          <w:sz w:val="24"/>
          <w:szCs w:val="24"/>
        </w:rPr>
        <w:t>.</w:t>
      </w:r>
      <w:r w:rsidR="00182C16" w:rsidRPr="00C35197">
        <w:rPr>
          <w:rFonts w:ascii="Garamond" w:hAnsi="Garamond"/>
          <w:sz w:val="24"/>
          <w:szCs w:val="24"/>
        </w:rPr>
        <w:t xml:space="preserve"> </w:t>
      </w:r>
      <w:r w:rsidR="000115BD" w:rsidRPr="00C35197">
        <w:rPr>
          <w:rFonts w:ascii="Garamond" w:hAnsi="Garamond"/>
          <w:sz w:val="24"/>
          <w:szCs w:val="24"/>
        </w:rPr>
        <w:t xml:space="preserve">In practice, </w:t>
      </w:r>
      <w:r w:rsidR="0015463B">
        <w:rPr>
          <w:rFonts w:ascii="Garamond" w:hAnsi="Garamond"/>
          <w:sz w:val="24"/>
          <w:szCs w:val="24"/>
        </w:rPr>
        <w:t>Rio</w:t>
      </w:r>
      <w:r w:rsidR="000115BD" w:rsidRPr="00C35197">
        <w:rPr>
          <w:rFonts w:ascii="Garamond" w:hAnsi="Garamond"/>
          <w:sz w:val="24"/>
          <w:szCs w:val="24"/>
        </w:rPr>
        <w:t xml:space="preserve"> marker assessments are conducted by reviewing a project's objectives, context, and expected outcomes and outputs.</w:t>
      </w:r>
      <w:r w:rsidR="00543BDE" w:rsidRPr="00C35197">
        <w:rPr>
          <w:rFonts w:ascii="Garamond" w:hAnsi="Garamond"/>
          <w:sz w:val="24"/>
          <w:szCs w:val="24"/>
        </w:rPr>
        <w:t xml:space="preserve"> I</w:t>
      </w:r>
      <w:r w:rsidR="000115BD" w:rsidRPr="00C35197">
        <w:rPr>
          <w:rFonts w:ascii="Garamond" w:hAnsi="Garamond"/>
          <w:sz w:val="24"/>
          <w:szCs w:val="24"/>
        </w:rPr>
        <w:t>n other words, the methodology follows a "purpose-based" approach and is applied at the start of the project (ex-ante)</w:t>
      </w:r>
      <w:r w:rsidR="00635D50" w:rsidRPr="00C35197">
        <w:rPr>
          <w:rFonts w:ascii="Garamond" w:hAnsi="Garamond"/>
          <w:sz w:val="24"/>
          <w:szCs w:val="24"/>
        </w:rPr>
        <w:t xml:space="preserve"> a</w:t>
      </w:r>
      <w:r w:rsidR="00BD390A" w:rsidRPr="00C35197">
        <w:rPr>
          <w:rFonts w:ascii="Garamond" w:hAnsi="Garamond"/>
          <w:sz w:val="24"/>
          <w:szCs w:val="24"/>
        </w:rPr>
        <w:t>s</w:t>
      </w:r>
      <w:r w:rsidR="00635D50" w:rsidRPr="00C35197">
        <w:rPr>
          <w:rFonts w:ascii="Garamond" w:hAnsi="Garamond"/>
          <w:sz w:val="24"/>
          <w:szCs w:val="24"/>
        </w:rPr>
        <w:t xml:space="preserve"> set out in the OECD </w:t>
      </w:r>
      <w:r w:rsidR="005D52CE" w:rsidRPr="00C35197">
        <w:rPr>
          <w:rFonts w:ascii="Garamond" w:hAnsi="Garamond"/>
          <w:sz w:val="24"/>
          <w:szCs w:val="24"/>
        </w:rPr>
        <w:t xml:space="preserve">Rio Markers </w:t>
      </w:r>
      <w:r w:rsidR="00635D50" w:rsidRPr="00C35197">
        <w:rPr>
          <w:rFonts w:ascii="Garamond" w:hAnsi="Garamond"/>
          <w:sz w:val="24"/>
          <w:szCs w:val="24"/>
        </w:rPr>
        <w:t>Handbook</w:t>
      </w:r>
      <w:r w:rsidR="000115BD" w:rsidRPr="00C35197">
        <w:rPr>
          <w:rFonts w:ascii="Garamond" w:hAnsi="Garamond"/>
          <w:sz w:val="24"/>
          <w:szCs w:val="24"/>
        </w:rPr>
        <w:t>.</w:t>
      </w:r>
    </w:p>
    <w:p w14:paraId="61D55CD5" w14:textId="2C1596ED" w:rsidR="005D52CE" w:rsidRPr="00C35197" w:rsidRDefault="00C656D1" w:rsidP="00C35197">
      <w:pPr>
        <w:spacing w:line="240" w:lineRule="auto"/>
        <w:jc w:val="both"/>
        <w:rPr>
          <w:rFonts w:ascii="Garamond" w:hAnsi="Garamond"/>
          <w:sz w:val="24"/>
          <w:szCs w:val="24"/>
        </w:rPr>
      </w:pPr>
      <w:r w:rsidRPr="00C35197">
        <w:rPr>
          <w:rFonts w:ascii="Garamond" w:hAnsi="Garamond"/>
          <w:sz w:val="24"/>
          <w:szCs w:val="24"/>
        </w:rPr>
        <w:t>1</w:t>
      </w:r>
      <w:r w:rsidR="0050149E">
        <w:rPr>
          <w:rFonts w:ascii="Garamond" w:hAnsi="Garamond"/>
          <w:sz w:val="24"/>
          <w:szCs w:val="24"/>
        </w:rPr>
        <w:t>2</w:t>
      </w:r>
      <w:r w:rsidR="002A3CDD" w:rsidRPr="00C35197">
        <w:rPr>
          <w:rFonts w:ascii="Garamond" w:hAnsi="Garamond"/>
          <w:sz w:val="24"/>
          <w:szCs w:val="24"/>
        </w:rPr>
        <w:t xml:space="preserve">. </w:t>
      </w:r>
      <w:r w:rsidR="008E7346">
        <w:rPr>
          <w:rFonts w:ascii="Garamond" w:hAnsi="Garamond"/>
          <w:sz w:val="24"/>
          <w:szCs w:val="24"/>
        </w:rPr>
        <w:t>A</w:t>
      </w:r>
      <w:r w:rsidR="005D52CE" w:rsidRPr="00C35197">
        <w:rPr>
          <w:rFonts w:ascii="Garamond" w:hAnsi="Garamond"/>
          <w:sz w:val="24"/>
          <w:szCs w:val="24"/>
        </w:rPr>
        <w:t xml:space="preserve">ssessments </w:t>
      </w:r>
      <w:r w:rsidR="008E7346">
        <w:rPr>
          <w:rFonts w:ascii="Garamond" w:hAnsi="Garamond"/>
          <w:sz w:val="24"/>
          <w:szCs w:val="24"/>
        </w:rPr>
        <w:t xml:space="preserve">should be based </w:t>
      </w:r>
      <w:r w:rsidR="005D52CE" w:rsidRPr="00C35197">
        <w:rPr>
          <w:rFonts w:ascii="Garamond" w:hAnsi="Garamond"/>
          <w:sz w:val="24"/>
          <w:szCs w:val="24"/>
        </w:rPr>
        <w:t xml:space="preserve">on the information provided in the project documents. </w:t>
      </w:r>
      <w:r w:rsidR="008E7346">
        <w:rPr>
          <w:rFonts w:ascii="Garamond" w:hAnsi="Garamond"/>
          <w:sz w:val="24"/>
          <w:szCs w:val="24"/>
        </w:rPr>
        <w:t>It is therefore important that the Rio markers are clearly justified in the project documentation</w:t>
      </w:r>
      <w:r w:rsidR="00AC7DF8">
        <w:rPr>
          <w:rFonts w:ascii="Garamond" w:hAnsi="Garamond"/>
          <w:sz w:val="24"/>
          <w:szCs w:val="24"/>
        </w:rPr>
        <w:t xml:space="preserve"> budget </w:t>
      </w:r>
      <w:r w:rsidR="008E7346">
        <w:rPr>
          <w:rFonts w:ascii="Garamond" w:hAnsi="Garamond"/>
          <w:sz w:val="24"/>
          <w:szCs w:val="24"/>
        </w:rPr>
        <w:t xml:space="preserve">annex. </w:t>
      </w:r>
      <w:r w:rsidR="005D52CE" w:rsidRPr="00C35197">
        <w:rPr>
          <w:rFonts w:ascii="Garamond" w:hAnsi="Garamond"/>
          <w:sz w:val="24"/>
          <w:szCs w:val="24"/>
        </w:rPr>
        <w:t xml:space="preserve">If information is insufficient—for example, if </w:t>
      </w:r>
      <w:r w:rsidR="00C674D7">
        <w:rPr>
          <w:rFonts w:ascii="Garamond" w:hAnsi="Garamond"/>
          <w:sz w:val="24"/>
          <w:szCs w:val="24"/>
        </w:rPr>
        <w:t xml:space="preserve">the </w:t>
      </w:r>
      <w:r w:rsidR="005D52CE" w:rsidRPr="00C35197">
        <w:rPr>
          <w:rFonts w:ascii="Garamond" w:hAnsi="Garamond"/>
          <w:sz w:val="24"/>
          <w:szCs w:val="24"/>
        </w:rPr>
        <w:t xml:space="preserve">climate objective cannot be clearly justified—the Rio marker score should be marked </w:t>
      </w:r>
      <w:r w:rsidR="00C674D7">
        <w:rPr>
          <w:rFonts w:ascii="Garamond" w:hAnsi="Garamond"/>
          <w:sz w:val="24"/>
          <w:szCs w:val="24"/>
        </w:rPr>
        <w:t>accordingly as “Not targeted (0).</w:t>
      </w:r>
    </w:p>
    <w:p w14:paraId="7363586A" w14:textId="31ADDEE3" w:rsidR="00181796" w:rsidRPr="007014C8" w:rsidRDefault="00181796" w:rsidP="007014C8">
      <w:pPr>
        <w:pStyle w:val="Overskrift1"/>
      </w:pPr>
      <w:r w:rsidRPr="007014C8">
        <w:t>Frequently Asked Questions</w:t>
      </w:r>
      <w:r w:rsidR="003B441A" w:rsidRPr="007014C8">
        <w:t xml:space="preserve"> </w:t>
      </w:r>
    </w:p>
    <w:p w14:paraId="61D9F3A9" w14:textId="1B55EF89" w:rsidR="0087629A" w:rsidRPr="007014C8" w:rsidRDefault="001D4140" w:rsidP="00C35197">
      <w:pPr>
        <w:spacing w:line="240" w:lineRule="auto"/>
        <w:jc w:val="both"/>
        <w:rPr>
          <w:rFonts w:ascii="Garamond" w:hAnsi="Garamond"/>
          <w:i/>
          <w:sz w:val="24"/>
          <w:szCs w:val="24"/>
        </w:rPr>
      </w:pPr>
      <w:r w:rsidRPr="007014C8">
        <w:rPr>
          <w:rFonts w:ascii="Garamond" w:hAnsi="Garamond"/>
          <w:sz w:val="24"/>
          <w:szCs w:val="24"/>
        </w:rPr>
        <w:t>1</w:t>
      </w:r>
      <w:r w:rsidR="005342E0">
        <w:rPr>
          <w:rFonts w:ascii="Garamond" w:hAnsi="Garamond"/>
          <w:sz w:val="24"/>
          <w:szCs w:val="24"/>
        </w:rPr>
        <w:t>3</w:t>
      </w:r>
      <w:r w:rsidR="007014C8">
        <w:rPr>
          <w:rFonts w:ascii="Garamond" w:hAnsi="Garamond"/>
          <w:sz w:val="24"/>
          <w:szCs w:val="24"/>
        </w:rPr>
        <w:t>.</w:t>
      </w:r>
      <w:r w:rsidR="0087629A" w:rsidRPr="007014C8">
        <w:rPr>
          <w:rFonts w:ascii="Garamond" w:hAnsi="Garamond"/>
          <w:i/>
          <w:sz w:val="24"/>
          <w:szCs w:val="24"/>
        </w:rPr>
        <w:t xml:space="preserve"> How to mark core contribution </w:t>
      </w:r>
      <w:r w:rsidR="00334847" w:rsidRPr="007014C8">
        <w:rPr>
          <w:rFonts w:ascii="Garamond" w:hAnsi="Garamond"/>
          <w:i/>
          <w:sz w:val="24"/>
          <w:szCs w:val="24"/>
        </w:rPr>
        <w:t>to multilateral organizations</w:t>
      </w:r>
      <w:r w:rsidR="00C674D7">
        <w:rPr>
          <w:rFonts w:ascii="Garamond" w:hAnsi="Garamond"/>
          <w:i/>
          <w:sz w:val="24"/>
          <w:szCs w:val="24"/>
        </w:rPr>
        <w:t>?</w:t>
      </w:r>
      <w:r w:rsidR="007014C8" w:rsidRPr="007014C8">
        <w:rPr>
          <w:rFonts w:ascii="Garamond" w:hAnsi="Garamond"/>
          <w:i/>
          <w:sz w:val="24"/>
          <w:szCs w:val="24"/>
        </w:rPr>
        <w:t>?</w:t>
      </w:r>
    </w:p>
    <w:p w14:paraId="27851561" w14:textId="0116283D" w:rsidR="001D2411" w:rsidRDefault="001D2411" w:rsidP="00C35197">
      <w:pPr>
        <w:spacing w:line="240" w:lineRule="auto"/>
        <w:jc w:val="both"/>
        <w:rPr>
          <w:rFonts w:ascii="Garamond" w:hAnsi="Garamond"/>
          <w:sz w:val="24"/>
          <w:szCs w:val="24"/>
        </w:rPr>
      </w:pPr>
      <w:r>
        <w:rPr>
          <w:rFonts w:ascii="Garamond" w:hAnsi="Garamond"/>
          <w:sz w:val="24"/>
          <w:szCs w:val="24"/>
        </w:rPr>
        <w:t>Earmarked contributions to specific projects, programmes or Trust Funds managed by multilateral organisations (the so-called multi-bi projects) are treated in the same way as bilateral projects.</w:t>
      </w:r>
    </w:p>
    <w:p w14:paraId="094458CF" w14:textId="650C331B" w:rsidR="009A2ABA" w:rsidRDefault="001D2411" w:rsidP="00C35197">
      <w:pPr>
        <w:spacing w:line="240" w:lineRule="auto"/>
        <w:jc w:val="both"/>
        <w:rPr>
          <w:rFonts w:ascii="Garamond" w:hAnsi="Garamond"/>
          <w:sz w:val="24"/>
          <w:szCs w:val="24"/>
        </w:rPr>
      </w:pPr>
      <w:r>
        <w:rPr>
          <w:rFonts w:ascii="Garamond" w:hAnsi="Garamond"/>
          <w:sz w:val="24"/>
          <w:szCs w:val="24"/>
        </w:rPr>
        <w:t xml:space="preserve">The Rio markers, however, do not apply to true core contributions to multilateral organisations. If the </w:t>
      </w:r>
      <w:r w:rsidR="009A2ABA" w:rsidRPr="00C35197">
        <w:rPr>
          <w:rFonts w:ascii="Garamond" w:hAnsi="Garamond"/>
          <w:sz w:val="24"/>
          <w:szCs w:val="24"/>
        </w:rPr>
        <w:t>multilateral organizations have</w:t>
      </w:r>
      <w:r w:rsidR="005D52CE" w:rsidRPr="00C35197">
        <w:rPr>
          <w:rFonts w:ascii="Garamond" w:hAnsi="Garamond"/>
          <w:sz w:val="24"/>
          <w:szCs w:val="24"/>
        </w:rPr>
        <w:t xml:space="preserve"> a target for climate spending</w:t>
      </w:r>
      <w:r>
        <w:rPr>
          <w:rFonts w:ascii="Garamond" w:hAnsi="Garamond"/>
          <w:sz w:val="24"/>
          <w:szCs w:val="24"/>
        </w:rPr>
        <w:t xml:space="preserve"> (most MDBs have such targets), Denmark uses these for assessing the climate content of the Finance Bill appropriation to be registered in “</w:t>
      </w:r>
      <w:proofErr w:type="spellStart"/>
      <w:r w:rsidRPr="0093132F">
        <w:rPr>
          <w:rFonts w:ascii="Garamond" w:hAnsi="Garamond"/>
          <w:i/>
          <w:iCs/>
          <w:sz w:val="24"/>
          <w:szCs w:val="24"/>
        </w:rPr>
        <w:t>Finanslovsportalen</w:t>
      </w:r>
      <w:proofErr w:type="spellEnd"/>
      <w:r w:rsidRPr="0093132F">
        <w:rPr>
          <w:rFonts w:ascii="Garamond" w:hAnsi="Garamond"/>
          <w:i/>
          <w:iCs/>
          <w:sz w:val="24"/>
          <w:szCs w:val="24"/>
        </w:rPr>
        <w:t>”.</w:t>
      </w:r>
      <w:r>
        <w:rPr>
          <w:rFonts w:ascii="Garamond" w:hAnsi="Garamond"/>
          <w:sz w:val="24"/>
          <w:szCs w:val="24"/>
        </w:rPr>
        <w:t xml:space="preserve"> </w:t>
      </w:r>
      <w:r w:rsidR="005D52CE" w:rsidRPr="00C35197">
        <w:rPr>
          <w:rFonts w:ascii="Garamond" w:hAnsi="Garamond"/>
          <w:sz w:val="24"/>
          <w:szCs w:val="24"/>
        </w:rPr>
        <w:t xml:space="preserve"> </w:t>
      </w:r>
      <w:r>
        <w:rPr>
          <w:rFonts w:ascii="Garamond" w:hAnsi="Garamond"/>
          <w:sz w:val="24"/>
          <w:szCs w:val="24"/>
        </w:rPr>
        <w:t xml:space="preserve">For the later reporting of the climate content of these </w:t>
      </w:r>
      <w:r>
        <w:rPr>
          <w:rFonts w:ascii="Garamond" w:hAnsi="Garamond"/>
          <w:sz w:val="24"/>
          <w:szCs w:val="24"/>
        </w:rPr>
        <w:lastRenderedPageBreak/>
        <w:t>contribution to EU and UNFCCC</w:t>
      </w:r>
      <w:r w:rsidR="00182C16">
        <w:rPr>
          <w:rStyle w:val="Fodnotehenvisning"/>
          <w:rFonts w:ascii="Garamond" w:hAnsi="Garamond"/>
          <w:sz w:val="24"/>
          <w:szCs w:val="24"/>
        </w:rPr>
        <w:footnoteReference w:id="3"/>
      </w:r>
      <w:r w:rsidR="00182C16">
        <w:rPr>
          <w:rFonts w:ascii="Garamond" w:hAnsi="Garamond"/>
          <w:sz w:val="24"/>
          <w:szCs w:val="24"/>
        </w:rPr>
        <w:t>,</w:t>
      </w:r>
      <w:r>
        <w:rPr>
          <w:rFonts w:ascii="Garamond" w:hAnsi="Garamond"/>
          <w:sz w:val="24"/>
          <w:szCs w:val="24"/>
        </w:rPr>
        <w:t xml:space="preserve"> Denmark uses the so-called imputed shares that OECD</w:t>
      </w:r>
      <w:r w:rsidR="00182C16">
        <w:rPr>
          <w:rFonts w:ascii="Garamond" w:hAnsi="Garamond"/>
          <w:sz w:val="24"/>
          <w:szCs w:val="24"/>
        </w:rPr>
        <w:t>-</w:t>
      </w:r>
      <w:r>
        <w:rPr>
          <w:rFonts w:ascii="Garamond" w:hAnsi="Garamond"/>
          <w:sz w:val="24"/>
          <w:szCs w:val="24"/>
        </w:rPr>
        <w:t xml:space="preserve">DAC calculates for relevant multilateral organisations every year based on the </w:t>
      </w:r>
      <w:r w:rsidR="00C5271D">
        <w:rPr>
          <w:rFonts w:ascii="Garamond" w:hAnsi="Garamond"/>
          <w:sz w:val="24"/>
          <w:szCs w:val="24"/>
        </w:rPr>
        <w:t>organisation</w:t>
      </w:r>
      <w:r>
        <w:rPr>
          <w:rFonts w:ascii="Garamond" w:hAnsi="Garamond"/>
          <w:sz w:val="24"/>
          <w:szCs w:val="24"/>
        </w:rPr>
        <w:t xml:space="preserve"> reporting to OECD</w:t>
      </w:r>
      <w:r w:rsidR="00182C16">
        <w:rPr>
          <w:rFonts w:ascii="Garamond" w:hAnsi="Garamond"/>
          <w:sz w:val="24"/>
          <w:szCs w:val="24"/>
        </w:rPr>
        <w:t>-</w:t>
      </w:r>
      <w:r>
        <w:rPr>
          <w:rFonts w:ascii="Garamond" w:hAnsi="Garamond"/>
          <w:sz w:val="24"/>
          <w:szCs w:val="24"/>
        </w:rPr>
        <w:t>DAC</w:t>
      </w:r>
      <w:r w:rsidR="00C5271D">
        <w:rPr>
          <w:rFonts w:ascii="Garamond" w:hAnsi="Garamond"/>
          <w:sz w:val="24"/>
          <w:szCs w:val="24"/>
        </w:rPr>
        <w:t>.</w:t>
      </w:r>
      <w:r w:rsidR="009A2ABA" w:rsidRPr="00C35197">
        <w:rPr>
          <w:rFonts w:ascii="Garamond" w:hAnsi="Garamond"/>
          <w:sz w:val="24"/>
          <w:szCs w:val="24"/>
        </w:rPr>
        <w:t xml:space="preserve"> </w:t>
      </w:r>
      <w:r w:rsidR="00C5271D">
        <w:rPr>
          <w:rFonts w:ascii="Garamond" w:hAnsi="Garamond"/>
          <w:sz w:val="24"/>
          <w:szCs w:val="24"/>
        </w:rPr>
        <w:t>For organisations that do not have climate spending targets or report on their climate spending to OECD</w:t>
      </w:r>
      <w:r w:rsidR="00182C16">
        <w:rPr>
          <w:rFonts w:ascii="Garamond" w:hAnsi="Garamond"/>
          <w:sz w:val="24"/>
          <w:szCs w:val="24"/>
        </w:rPr>
        <w:t>-</w:t>
      </w:r>
      <w:r w:rsidR="00C5271D">
        <w:rPr>
          <w:rFonts w:ascii="Garamond" w:hAnsi="Garamond"/>
          <w:sz w:val="24"/>
          <w:szCs w:val="24"/>
        </w:rPr>
        <w:t>DAC</w:t>
      </w:r>
      <w:r w:rsidR="009A2ABA" w:rsidRPr="00C35197">
        <w:rPr>
          <w:rFonts w:ascii="Garamond" w:hAnsi="Garamond"/>
          <w:sz w:val="24"/>
          <w:szCs w:val="24"/>
        </w:rPr>
        <w:t xml:space="preserve">, it is recommended to review the organization’s strategic plan and results framework and apply the standard </w:t>
      </w:r>
      <w:r w:rsidR="00A57141" w:rsidRPr="00C35197">
        <w:rPr>
          <w:rFonts w:ascii="Garamond" w:hAnsi="Garamond"/>
          <w:sz w:val="24"/>
          <w:szCs w:val="24"/>
        </w:rPr>
        <w:t>policy</w:t>
      </w:r>
      <w:r w:rsidR="009A2ABA" w:rsidRPr="00C35197">
        <w:rPr>
          <w:rFonts w:ascii="Garamond" w:hAnsi="Garamond"/>
          <w:sz w:val="24"/>
          <w:szCs w:val="24"/>
        </w:rPr>
        <w:t xml:space="preserve"> marker methodology to conduct the assessment.</w:t>
      </w:r>
      <w:r>
        <w:rPr>
          <w:rFonts w:ascii="Garamond" w:hAnsi="Garamond"/>
          <w:sz w:val="24"/>
          <w:szCs w:val="24"/>
        </w:rPr>
        <w:t xml:space="preserve"> If information is insufficient to clearly justify a marking, the score should be “Not targeted (0).</w:t>
      </w:r>
    </w:p>
    <w:p w14:paraId="16E23AF0" w14:textId="4378D6CB" w:rsidR="00C5271D" w:rsidRDefault="00C5271D" w:rsidP="00C35197">
      <w:pPr>
        <w:spacing w:line="240" w:lineRule="auto"/>
        <w:jc w:val="both"/>
        <w:rPr>
          <w:rFonts w:ascii="Garamond" w:hAnsi="Garamond"/>
          <w:i/>
          <w:iCs/>
          <w:sz w:val="24"/>
          <w:szCs w:val="24"/>
        </w:rPr>
      </w:pPr>
      <w:r>
        <w:rPr>
          <w:rFonts w:ascii="Garamond" w:hAnsi="Garamond"/>
          <w:sz w:val="24"/>
          <w:szCs w:val="24"/>
        </w:rPr>
        <w:t>1</w:t>
      </w:r>
      <w:r w:rsidR="005342E0">
        <w:rPr>
          <w:rFonts w:ascii="Garamond" w:hAnsi="Garamond"/>
          <w:sz w:val="24"/>
          <w:szCs w:val="24"/>
        </w:rPr>
        <w:t>4</w:t>
      </w:r>
      <w:r>
        <w:rPr>
          <w:rFonts w:ascii="Garamond" w:hAnsi="Garamond"/>
          <w:sz w:val="24"/>
          <w:szCs w:val="24"/>
        </w:rPr>
        <w:t xml:space="preserve">. </w:t>
      </w:r>
      <w:r w:rsidRPr="0093132F">
        <w:rPr>
          <w:rFonts w:ascii="Garamond" w:hAnsi="Garamond"/>
          <w:i/>
          <w:iCs/>
          <w:sz w:val="24"/>
          <w:szCs w:val="24"/>
        </w:rPr>
        <w:t>How to assess the climate finance contribution of SPA-agreement, CISU, FFU and similar framework arrangements that leads to multiple projects?</w:t>
      </w:r>
    </w:p>
    <w:p w14:paraId="35760CDC" w14:textId="650F0598" w:rsidR="00C5271D" w:rsidRDefault="00C5271D" w:rsidP="00C35197">
      <w:pPr>
        <w:spacing w:line="240" w:lineRule="auto"/>
        <w:jc w:val="both"/>
        <w:rPr>
          <w:rFonts w:ascii="Garamond" w:hAnsi="Garamond"/>
          <w:sz w:val="24"/>
          <w:szCs w:val="24"/>
        </w:rPr>
      </w:pPr>
      <w:r>
        <w:rPr>
          <w:rFonts w:ascii="Garamond" w:hAnsi="Garamond"/>
          <w:sz w:val="24"/>
          <w:szCs w:val="24"/>
        </w:rPr>
        <w:t>In these special cases, the Danish approach is to ask the relevant partner organisations or administrators to report back to the Ministry of Foreign Affairs on the climate relevant content of the specific commitments made during the year based on funds from the framework arrangement. It is recommended to the organisations / administrators that they use the Rio marker methodology to prepare these report</w:t>
      </w:r>
      <w:r w:rsidR="007B05E9">
        <w:rPr>
          <w:rFonts w:ascii="Garamond" w:hAnsi="Garamond"/>
          <w:sz w:val="24"/>
          <w:szCs w:val="24"/>
        </w:rPr>
        <w:t>s.</w:t>
      </w:r>
    </w:p>
    <w:p w14:paraId="0C569713" w14:textId="576B56FA" w:rsidR="008547B9" w:rsidRDefault="008547B9" w:rsidP="00C35197">
      <w:pPr>
        <w:spacing w:line="240" w:lineRule="auto"/>
        <w:jc w:val="both"/>
        <w:rPr>
          <w:rFonts w:ascii="Garamond" w:hAnsi="Garamond"/>
          <w:i/>
          <w:iCs/>
          <w:sz w:val="24"/>
          <w:szCs w:val="24"/>
        </w:rPr>
      </w:pPr>
      <w:r w:rsidRPr="0093132F">
        <w:rPr>
          <w:rFonts w:ascii="Garamond" w:hAnsi="Garamond"/>
          <w:i/>
          <w:iCs/>
          <w:sz w:val="24"/>
          <w:szCs w:val="24"/>
        </w:rPr>
        <w:t>1</w:t>
      </w:r>
      <w:r w:rsidR="005342E0">
        <w:rPr>
          <w:rFonts w:ascii="Garamond" w:hAnsi="Garamond"/>
          <w:i/>
          <w:iCs/>
          <w:sz w:val="24"/>
          <w:szCs w:val="24"/>
        </w:rPr>
        <w:t>5</w:t>
      </w:r>
      <w:r w:rsidRPr="0093132F">
        <w:rPr>
          <w:rFonts w:ascii="Garamond" w:hAnsi="Garamond"/>
          <w:i/>
          <w:iCs/>
          <w:sz w:val="24"/>
          <w:szCs w:val="24"/>
        </w:rPr>
        <w:t xml:space="preserve">. </w:t>
      </w:r>
      <w:r w:rsidR="005342E0">
        <w:rPr>
          <w:rFonts w:ascii="Garamond" w:hAnsi="Garamond"/>
          <w:i/>
          <w:iCs/>
          <w:sz w:val="24"/>
          <w:szCs w:val="24"/>
        </w:rPr>
        <w:t>H</w:t>
      </w:r>
      <w:r w:rsidRPr="0093132F">
        <w:rPr>
          <w:rFonts w:ascii="Garamond" w:hAnsi="Garamond"/>
          <w:i/>
          <w:iCs/>
          <w:sz w:val="24"/>
          <w:szCs w:val="24"/>
        </w:rPr>
        <w:t>ow do we assess contributions to I</w:t>
      </w:r>
      <w:r w:rsidR="005342E0">
        <w:rPr>
          <w:rFonts w:ascii="Garamond" w:hAnsi="Garamond"/>
          <w:i/>
          <w:iCs/>
          <w:sz w:val="24"/>
          <w:szCs w:val="24"/>
        </w:rPr>
        <w:t>mpact Fund Denmark (IFDK)</w:t>
      </w:r>
      <w:r w:rsidRPr="0093132F">
        <w:rPr>
          <w:rFonts w:ascii="Garamond" w:hAnsi="Garamond"/>
          <w:i/>
          <w:iCs/>
          <w:sz w:val="24"/>
          <w:szCs w:val="24"/>
        </w:rPr>
        <w:t>?</w:t>
      </w:r>
    </w:p>
    <w:p w14:paraId="76BF7058" w14:textId="220107C2" w:rsidR="008547B9" w:rsidRPr="008547B9" w:rsidRDefault="008547B9" w:rsidP="00C35197">
      <w:pPr>
        <w:spacing w:line="240" w:lineRule="auto"/>
        <w:jc w:val="both"/>
        <w:rPr>
          <w:rFonts w:ascii="Garamond" w:hAnsi="Garamond"/>
          <w:sz w:val="24"/>
          <w:szCs w:val="24"/>
        </w:rPr>
      </w:pPr>
      <w:r>
        <w:rPr>
          <w:rFonts w:ascii="Garamond" w:hAnsi="Garamond"/>
          <w:sz w:val="24"/>
          <w:szCs w:val="24"/>
        </w:rPr>
        <w:t>[placeholder]</w:t>
      </w:r>
    </w:p>
    <w:p w14:paraId="63D88156" w14:textId="29097246" w:rsidR="00B86C9A" w:rsidRPr="00C35197" w:rsidRDefault="001D4140" w:rsidP="00C35197">
      <w:pPr>
        <w:spacing w:line="240" w:lineRule="auto"/>
        <w:jc w:val="both"/>
        <w:rPr>
          <w:rFonts w:ascii="Garamond" w:hAnsi="Garamond"/>
          <w:b/>
          <w:bCs/>
          <w:i/>
          <w:sz w:val="24"/>
          <w:szCs w:val="24"/>
        </w:rPr>
      </w:pPr>
      <w:r w:rsidRPr="00425007">
        <w:rPr>
          <w:rFonts w:ascii="Garamond" w:hAnsi="Garamond"/>
          <w:sz w:val="24"/>
          <w:szCs w:val="24"/>
        </w:rPr>
        <w:t>1</w:t>
      </w:r>
      <w:r w:rsidR="005342E0">
        <w:rPr>
          <w:rFonts w:ascii="Garamond" w:hAnsi="Garamond"/>
          <w:sz w:val="24"/>
          <w:szCs w:val="24"/>
        </w:rPr>
        <w:t>6</w:t>
      </w:r>
      <w:r w:rsidR="00425007" w:rsidRPr="00425007">
        <w:rPr>
          <w:rFonts w:ascii="Garamond" w:hAnsi="Garamond"/>
          <w:sz w:val="24"/>
          <w:szCs w:val="24"/>
        </w:rPr>
        <w:t>.</w:t>
      </w:r>
      <w:r w:rsidR="0087629A" w:rsidRPr="00C35197">
        <w:rPr>
          <w:rFonts w:ascii="Garamond" w:hAnsi="Garamond"/>
          <w:b/>
          <w:bCs/>
          <w:i/>
          <w:sz w:val="24"/>
          <w:szCs w:val="24"/>
        </w:rPr>
        <w:t xml:space="preserve"> </w:t>
      </w:r>
      <w:r w:rsidR="009A2ABA" w:rsidRPr="00425007">
        <w:rPr>
          <w:rFonts w:ascii="Garamond" w:hAnsi="Garamond"/>
          <w:i/>
          <w:sz w:val="24"/>
          <w:szCs w:val="24"/>
        </w:rPr>
        <w:t>What if a large programme consists of different thematic elements</w:t>
      </w:r>
      <w:r w:rsidR="00A613F5">
        <w:rPr>
          <w:rFonts w:ascii="Garamond" w:hAnsi="Garamond"/>
          <w:i/>
          <w:sz w:val="24"/>
          <w:szCs w:val="24"/>
        </w:rPr>
        <w:t xml:space="preserve"> or projects</w:t>
      </w:r>
      <w:r w:rsidR="009A2ABA" w:rsidRPr="00425007">
        <w:rPr>
          <w:rFonts w:ascii="Garamond" w:hAnsi="Garamond"/>
          <w:i/>
          <w:sz w:val="24"/>
          <w:szCs w:val="24"/>
        </w:rPr>
        <w:t>, some of which would qualify to be marked as 1 or 2 under the Rio marker methodology, while the programme as a whole would not?</w:t>
      </w:r>
    </w:p>
    <w:p w14:paraId="11E6F0B0" w14:textId="10457D41" w:rsidR="00FD1110" w:rsidRDefault="009A2ABA" w:rsidP="00C35197">
      <w:pPr>
        <w:spacing w:line="240" w:lineRule="auto"/>
        <w:jc w:val="both"/>
        <w:rPr>
          <w:rFonts w:ascii="Garamond" w:hAnsi="Garamond"/>
          <w:i/>
          <w:sz w:val="24"/>
          <w:szCs w:val="24"/>
        </w:rPr>
      </w:pPr>
      <w:r w:rsidRPr="00C35197">
        <w:rPr>
          <w:rFonts w:ascii="Garamond" w:hAnsi="Garamond"/>
          <w:sz w:val="24"/>
          <w:szCs w:val="24"/>
        </w:rPr>
        <w:t>It is important to capture all green elements in Danish development cooperation to provide the most accurate picture of total green development finance. If a programme contains</w:t>
      </w:r>
      <w:r w:rsidR="005342E0">
        <w:rPr>
          <w:rFonts w:ascii="Garamond" w:hAnsi="Garamond"/>
          <w:sz w:val="24"/>
          <w:szCs w:val="24"/>
        </w:rPr>
        <w:t xml:space="preserve"> different </w:t>
      </w:r>
      <w:r w:rsidR="00A613F5">
        <w:rPr>
          <w:rFonts w:ascii="Garamond" w:hAnsi="Garamond"/>
          <w:sz w:val="24"/>
          <w:szCs w:val="24"/>
        </w:rPr>
        <w:t xml:space="preserve">projects </w:t>
      </w:r>
      <w:r w:rsidR="00896C20">
        <w:rPr>
          <w:rFonts w:ascii="Garamond" w:hAnsi="Garamond"/>
          <w:sz w:val="24"/>
          <w:szCs w:val="24"/>
        </w:rPr>
        <w:t xml:space="preserve">where some have </w:t>
      </w:r>
      <w:r w:rsidRPr="00C35197">
        <w:rPr>
          <w:rFonts w:ascii="Garamond" w:hAnsi="Garamond"/>
          <w:sz w:val="24"/>
          <w:szCs w:val="24"/>
        </w:rPr>
        <w:t>clear green elements that are not explicitly reflected in its overall objective</w:t>
      </w:r>
      <w:r w:rsidR="009C19A9">
        <w:rPr>
          <w:rFonts w:ascii="Garamond" w:hAnsi="Garamond"/>
          <w:sz w:val="24"/>
          <w:szCs w:val="24"/>
        </w:rPr>
        <w:t xml:space="preserve"> of the programme</w:t>
      </w:r>
      <w:r w:rsidRPr="00C35197">
        <w:rPr>
          <w:rFonts w:ascii="Garamond" w:hAnsi="Garamond"/>
          <w:sz w:val="24"/>
          <w:szCs w:val="24"/>
        </w:rPr>
        <w:t xml:space="preserve">, a more granular approach </w:t>
      </w:r>
      <w:r w:rsidR="00556EEC">
        <w:rPr>
          <w:rFonts w:ascii="Garamond" w:hAnsi="Garamond"/>
          <w:sz w:val="24"/>
          <w:szCs w:val="24"/>
        </w:rPr>
        <w:t>should</w:t>
      </w:r>
      <w:r w:rsidR="00556EEC" w:rsidRPr="00C35197">
        <w:rPr>
          <w:rFonts w:ascii="Garamond" w:hAnsi="Garamond"/>
          <w:sz w:val="24"/>
          <w:szCs w:val="24"/>
        </w:rPr>
        <w:t xml:space="preserve"> </w:t>
      </w:r>
      <w:r w:rsidRPr="00C35197">
        <w:rPr>
          <w:rFonts w:ascii="Garamond" w:hAnsi="Garamond"/>
          <w:sz w:val="24"/>
          <w:szCs w:val="24"/>
        </w:rPr>
        <w:t xml:space="preserve">be applied, allowing scoring at the </w:t>
      </w:r>
      <w:r w:rsidR="009C19A9">
        <w:rPr>
          <w:rFonts w:ascii="Garamond" w:hAnsi="Garamond"/>
          <w:sz w:val="24"/>
          <w:szCs w:val="24"/>
        </w:rPr>
        <w:t>individual project</w:t>
      </w:r>
      <w:r w:rsidRPr="00C35197">
        <w:rPr>
          <w:rFonts w:ascii="Garamond" w:hAnsi="Garamond"/>
          <w:sz w:val="24"/>
          <w:szCs w:val="24"/>
        </w:rPr>
        <w:t xml:space="preserve"> level</w:t>
      </w:r>
      <w:r w:rsidR="00773BF7">
        <w:rPr>
          <w:rFonts w:ascii="Garamond" w:hAnsi="Garamond"/>
          <w:sz w:val="24"/>
          <w:szCs w:val="24"/>
        </w:rPr>
        <w:t xml:space="preserve"> (“engagement” in PMI)</w:t>
      </w:r>
      <w:r w:rsidRPr="00C35197">
        <w:rPr>
          <w:rFonts w:ascii="Garamond" w:hAnsi="Garamond"/>
          <w:sz w:val="24"/>
          <w:szCs w:val="24"/>
        </w:rPr>
        <w:t xml:space="preserve">. In such cases, the average percentage of the individually scored </w:t>
      </w:r>
      <w:r w:rsidR="009C19A9">
        <w:rPr>
          <w:rFonts w:ascii="Garamond" w:hAnsi="Garamond"/>
          <w:sz w:val="24"/>
          <w:szCs w:val="24"/>
        </w:rPr>
        <w:t>projects</w:t>
      </w:r>
      <w:r w:rsidRPr="00C35197">
        <w:rPr>
          <w:rFonts w:ascii="Garamond" w:hAnsi="Garamond"/>
          <w:sz w:val="24"/>
          <w:szCs w:val="24"/>
        </w:rPr>
        <w:t xml:space="preserve"> should be used to determine the </w:t>
      </w:r>
      <w:r w:rsidR="009C19A9">
        <w:rPr>
          <w:rFonts w:ascii="Garamond" w:hAnsi="Garamond"/>
          <w:sz w:val="24"/>
          <w:szCs w:val="24"/>
        </w:rPr>
        <w:t>programme</w:t>
      </w:r>
      <w:r w:rsidRPr="00C35197">
        <w:rPr>
          <w:rFonts w:ascii="Garamond" w:hAnsi="Garamond"/>
          <w:sz w:val="24"/>
          <w:szCs w:val="24"/>
        </w:rPr>
        <w:t xml:space="preserve">’s overall score. </w:t>
      </w:r>
      <w:r w:rsidR="00FD1110" w:rsidRPr="00FD1110">
        <w:rPr>
          <w:rFonts w:ascii="Garamond" w:hAnsi="Garamond"/>
          <w:sz w:val="24"/>
          <w:szCs w:val="24"/>
        </w:rPr>
        <w:t xml:space="preserve">See the example below of a programme consisting of multiple projects. </w:t>
      </w:r>
    </w:p>
    <w:p w14:paraId="304606DA" w14:textId="45115383" w:rsidR="00334847" w:rsidRPr="00C35197" w:rsidRDefault="00FD1110" w:rsidP="00C35197">
      <w:pPr>
        <w:spacing w:line="240" w:lineRule="auto"/>
        <w:jc w:val="both"/>
        <w:rPr>
          <w:rFonts w:ascii="Garamond" w:hAnsi="Garamond"/>
          <w:i/>
          <w:sz w:val="24"/>
          <w:szCs w:val="24"/>
        </w:rPr>
      </w:pPr>
      <w:r>
        <w:rPr>
          <w:rFonts w:ascii="Garamond" w:hAnsi="Garamond"/>
          <w:i/>
          <w:sz w:val="24"/>
          <w:szCs w:val="24"/>
        </w:rPr>
        <w:t>Programme</w:t>
      </w:r>
      <w:r w:rsidR="00B14A86" w:rsidRPr="00C35197">
        <w:rPr>
          <w:rFonts w:ascii="Garamond" w:hAnsi="Garamond"/>
          <w:i/>
          <w:sz w:val="24"/>
          <w:szCs w:val="24"/>
        </w:rPr>
        <w:t xml:space="preserve">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1"/>
        <w:gridCol w:w="1145"/>
        <w:gridCol w:w="648"/>
        <w:gridCol w:w="2325"/>
        <w:gridCol w:w="824"/>
        <w:gridCol w:w="1223"/>
      </w:tblGrid>
      <w:tr w:rsidR="00D23758" w:rsidRPr="00C35197" w14:paraId="10C4B9AA" w14:textId="6AFCCBA9" w:rsidTr="001F2619">
        <w:trPr>
          <w:tblHeader/>
          <w:tblCellSpacing w:w="15" w:type="dxa"/>
        </w:trPr>
        <w:tc>
          <w:tcPr>
            <w:tcW w:w="1556" w:type="pct"/>
            <w:vAlign w:val="center"/>
            <w:hideMark/>
          </w:tcPr>
          <w:p w14:paraId="7CF8DFD3" w14:textId="54E2EA6C" w:rsidR="00D23758" w:rsidRPr="00CD0358" w:rsidRDefault="00FD1110" w:rsidP="00C35197">
            <w:pPr>
              <w:spacing w:after="0" w:line="240" w:lineRule="auto"/>
              <w:jc w:val="both"/>
              <w:rPr>
                <w:rFonts w:ascii="Garamond" w:eastAsia="Times New Roman" w:hAnsi="Garamond" w:cs="Times New Roman"/>
                <w:b/>
                <w:bCs/>
                <w:sz w:val="20"/>
                <w:szCs w:val="20"/>
                <w:lang w:eastAsia="en-GB"/>
              </w:rPr>
            </w:pPr>
            <w:r w:rsidRPr="00CD0358">
              <w:rPr>
                <w:rFonts w:ascii="Garamond" w:eastAsia="Times New Roman" w:hAnsi="Garamond" w:cs="Times New Roman"/>
                <w:b/>
                <w:bCs/>
                <w:sz w:val="20"/>
                <w:szCs w:val="20"/>
                <w:lang w:eastAsia="en-GB"/>
              </w:rPr>
              <w:t>P</w:t>
            </w:r>
            <w:r w:rsidR="009C19A9" w:rsidRPr="00CD0358">
              <w:rPr>
                <w:rFonts w:ascii="Garamond" w:eastAsia="Times New Roman" w:hAnsi="Garamond" w:cs="Times New Roman"/>
                <w:b/>
                <w:bCs/>
                <w:sz w:val="20"/>
                <w:szCs w:val="20"/>
                <w:lang w:eastAsia="en-GB"/>
              </w:rPr>
              <w:t>roject</w:t>
            </w:r>
            <w:r w:rsidRPr="00CD0358">
              <w:rPr>
                <w:rFonts w:ascii="Garamond" w:eastAsia="Times New Roman" w:hAnsi="Garamond" w:cs="Times New Roman"/>
                <w:b/>
                <w:bCs/>
                <w:sz w:val="20"/>
                <w:szCs w:val="20"/>
                <w:lang w:eastAsia="en-GB"/>
              </w:rPr>
              <w:t>s</w:t>
            </w:r>
          </w:p>
        </w:tc>
        <w:tc>
          <w:tcPr>
            <w:tcW w:w="618" w:type="pct"/>
            <w:vAlign w:val="center"/>
            <w:hideMark/>
          </w:tcPr>
          <w:p w14:paraId="72AF9D0E" w14:textId="77777777" w:rsidR="00D23758" w:rsidRPr="00CD0358" w:rsidRDefault="00D23758" w:rsidP="00C35197">
            <w:pPr>
              <w:spacing w:after="0" w:line="240" w:lineRule="auto"/>
              <w:jc w:val="both"/>
              <w:rPr>
                <w:rFonts w:ascii="Garamond" w:eastAsia="Times New Roman" w:hAnsi="Garamond" w:cs="Times New Roman"/>
                <w:b/>
                <w:bCs/>
                <w:sz w:val="20"/>
                <w:szCs w:val="20"/>
                <w:lang w:eastAsia="en-GB"/>
              </w:rPr>
            </w:pPr>
            <w:r w:rsidRPr="00CD0358">
              <w:rPr>
                <w:rFonts w:ascii="Garamond" w:eastAsia="Times New Roman" w:hAnsi="Garamond" w:cs="Times New Roman"/>
                <w:b/>
                <w:bCs/>
                <w:sz w:val="20"/>
                <w:szCs w:val="20"/>
                <w:lang w:eastAsia="en-GB"/>
              </w:rPr>
              <w:t>Marker</w:t>
            </w:r>
          </w:p>
        </w:tc>
        <w:tc>
          <w:tcPr>
            <w:tcW w:w="343" w:type="pct"/>
            <w:vAlign w:val="center"/>
            <w:hideMark/>
          </w:tcPr>
          <w:p w14:paraId="56292895" w14:textId="77777777" w:rsidR="00D23758" w:rsidRPr="00CD0358" w:rsidRDefault="00D23758" w:rsidP="00C35197">
            <w:pPr>
              <w:spacing w:after="0" w:line="240" w:lineRule="auto"/>
              <w:jc w:val="both"/>
              <w:rPr>
                <w:rFonts w:ascii="Garamond" w:eastAsia="Times New Roman" w:hAnsi="Garamond" w:cs="Times New Roman"/>
                <w:b/>
                <w:bCs/>
                <w:sz w:val="20"/>
                <w:szCs w:val="20"/>
                <w:lang w:eastAsia="en-GB"/>
              </w:rPr>
            </w:pPr>
            <w:r w:rsidRPr="00CD0358">
              <w:rPr>
                <w:rFonts w:ascii="Garamond" w:eastAsia="Times New Roman" w:hAnsi="Garamond" w:cs="Times New Roman"/>
                <w:b/>
                <w:bCs/>
                <w:sz w:val="20"/>
                <w:szCs w:val="20"/>
                <w:lang w:eastAsia="en-GB"/>
              </w:rPr>
              <w:t>Score</w:t>
            </w:r>
          </w:p>
        </w:tc>
        <w:tc>
          <w:tcPr>
            <w:tcW w:w="1273" w:type="pct"/>
            <w:vAlign w:val="center"/>
            <w:hideMark/>
          </w:tcPr>
          <w:p w14:paraId="0406B7C5" w14:textId="77777777" w:rsidR="00D23758" w:rsidRPr="00CD0358" w:rsidRDefault="00D23758" w:rsidP="00C35197">
            <w:pPr>
              <w:spacing w:after="0" w:line="240" w:lineRule="auto"/>
              <w:jc w:val="both"/>
              <w:rPr>
                <w:rFonts w:ascii="Garamond" w:eastAsia="Times New Roman" w:hAnsi="Garamond" w:cs="Times New Roman"/>
                <w:b/>
                <w:bCs/>
                <w:sz w:val="20"/>
                <w:szCs w:val="20"/>
                <w:lang w:eastAsia="en-GB"/>
              </w:rPr>
            </w:pPr>
            <w:r w:rsidRPr="00CD0358">
              <w:rPr>
                <w:rFonts w:ascii="Garamond" w:eastAsia="Times New Roman" w:hAnsi="Garamond" w:cs="Times New Roman"/>
                <w:b/>
                <w:bCs/>
                <w:sz w:val="20"/>
                <w:szCs w:val="20"/>
                <w:lang w:eastAsia="en-GB"/>
              </w:rPr>
              <w:t>Justification</w:t>
            </w:r>
          </w:p>
        </w:tc>
        <w:tc>
          <w:tcPr>
            <w:tcW w:w="441" w:type="pct"/>
          </w:tcPr>
          <w:p w14:paraId="3F39F260" w14:textId="3EDD703F" w:rsidR="00D23758" w:rsidRPr="00CD0358" w:rsidRDefault="00D23758" w:rsidP="00C35197">
            <w:pPr>
              <w:spacing w:after="0" w:line="240" w:lineRule="auto"/>
              <w:jc w:val="both"/>
              <w:rPr>
                <w:rFonts w:ascii="Garamond" w:eastAsia="Times New Roman" w:hAnsi="Garamond" w:cs="Times New Roman"/>
                <w:b/>
                <w:bCs/>
                <w:sz w:val="20"/>
                <w:szCs w:val="20"/>
                <w:lang w:eastAsia="en-GB"/>
              </w:rPr>
            </w:pPr>
            <w:r w:rsidRPr="00CD0358">
              <w:rPr>
                <w:rFonts w:ascii="Garamond" w:eastAsia="Times New Roman" w:hAnsi="Garamond" w:cs="Times New Roman"/>
                <w:b/>
                <w:bCs/>
                <w:sz w:val="20"/>
                <w:szCs w:val="20"/>
                <w:lang w:eastAsia="en-GB"/>
              </w:rPr>
              <w:t xml:space="preserve">Budget </w:t>
            </w:r>
          </w:p>
        </w:tc>
        <w:tc>
          <w:tcPr>
            <w:tcW w:w="653" w:type="pct"/>
          </w:tcPr>
          <w:p w14:paraId="7F1E046F" w14:textId="057CD0AC" w:rsidR="00D23758" w:rsidRPr="00CD0358" w:rsidRDefault="00D23758" w:rsidP="00C35197">
            <w:pPr>
              <w:spacing w:after="0" w:line="240" w:lineRule="auto"/>
              <w:jc w:val="both"/>
              <w:rPr>
                <w:rFonts w:ascii="Garamond" w:eastAsia="Times New Roman" w:hAnsi="Garamond" w:cs="Times New Roman"/>
                <w:b/>
                <w:bCs/>
                <w:sz w:val="20"/>
                <w:szCs w:val="20"/>
                <w:lang w:eastAsia="en-GB"/>
              </w:rPr>
            </w:pPr>
            <w:r w:rsidRPr="00CD0358">
              <w:rPr>
                <w:rFonts w:ascii="Garamond" w:eastAsia="Times New Roman" w:hAnsi="Garamond" w:cs="Times New Roman"/>
                <w:b/>
                <w:bCs/>
                <w:sz w:val="20"/>
                <w:szCs w:val="20"/>
                <w:lang w:eastAsia="en-GB"/>
              </w:rPr>
              <w:t>Climate share</w:t>
            </w:r>
          </w:p>
        </w:tc>
      </w:tr>
      <w:tr w:rsidR="00D23758" w:rsidRPr="00C35197" w14:paraId="381E512C" w14:textId="3D9D01D9" w:rsidTr="001F2619">
        <w:trPr>
          <w:tblCellSpacing w:w="15" w:type="dxa"/>
        </w:trPr>
        <w:tc>
          <w:tcPr>
            <w:tcW w:w="1556" w:type="pct"/>
            <w:vAlign w:val="center"/>
            <w:hideMark/>
          </w:tcPr>
          <w:p w14:paraId="661371F7" w14:textId="77777777" w:rsidR="00D23758" w:rsidRPr="00CD0358" w:rsidRDefault="00D23758" w:rsidP="00C35197">
            <w:pPr>
              <w:spacing w:after="0" w:line="240" w:lineRule="auto"/>
              <w:jc w:val="both"/>
              <w:rPr>
                <w:rFonts w:ascii="Garamond" w:eastAsia="Times New Roman" w:hAnsi="Garamond" w:cs="Times New Roman"/>
                <w:sz w:val="20"/>
                <w:szCs w:val="20"/>
                <w:lang w:eastAsia="en-GB"/>
              </w:rPr>
            </w:pPr>
            <w:r w:rsidRPr="00CD0358">
              <w:rPr>
                <w:rFonts w:ascii="Garamond" w:eastAsia="Times New Roman" w:hAnsi="Garamond" w:cs="Times New Roman"/>
                <w:sz w:val="20"/>
                <w:szCs w:val="20"/>
                <w:lang w:eastAsia="en-GB"/>
              </w:rPr>
              <w:t>Solar panel installation</w:t>
            </w:r>
          </w:p>
        </w:tc>
        <w:tc>
          <w:tcPr>
            <w:tcW w:w="618" w:type="pct"/>
            <w:vAlign w:val="center"/>
            <w:hideMark/>
          </w:tcPr>
          <w:p w14:paraId="13080E50" w14:textId="77777777" w:rsidR="00D23758" w:rsidRPr="00CD0358" w:rsidRDefault="00D23758" w:rsidP="00C35197">
            <w:pPr>
              <w:spacing w:after="0" w:line="240" w:lineRule="auto"/>
              <w:jc w:val="both"/>
              <w:rPr>
                <w:rFonts w:ascii="Garamond" w:eastAsia="Times New Roman" w:hAnsi="Garamond" w:cs="Times New Roman"/>
                <w:sz w:val="20"/>
                <w:szCs w:val="20"/>
                <w:lang w:eastAsia="en-GB"/>
              </w:rPr>
            </w:pPr>
            <w:r w:rsidRPr="00CD0358">
              <w:rPr>
                <w:rFonts w:ascii="Garamond" w:eastAsia="Times New Roman" w:hAnsi="Garamond" w:cs="Times New Roman"/>
                <w:sz w:val="20"/>
                <w:szCs w:val="20"/>
                <w:lang w:eastAsia="en-GB"/>
              </w:rPr>
              <w:t>Mitigation</w:t>
            </w:r>
          </w:p>
        </w:tc>
        <w:tc>
          <w:tcPr>
            <w:tcW w:w="343" w:type="pct"/>
            <w:vAlign w:val="center"/>
            <w:hideMark/>
          </w:tcPr>
          <w:p w14:paraId="3719D706" w14:textId="77777777" w:rsidR="00D23758" w:rsidRPr="00CD0358" w:rsidRDefault="00D23758" w:rsidP="00C35197">
            <w:pPr>
              <w:spacing w:after="0" w:line="240" w:lineRule="auto"/>
              <w:jc w:val="both"/>
              <w:rPr>
                <w:rFonts w:ascii="Garamond" w:eastAsia="Times New Roman" w:hAnsi="Garamond" w:cs="Times New Roman"/>
                <w:sz w:val="20"/>
                <w:szCs w:val="20"/>
                <w:lang w:eastAsia="en-GB"/>
              </w:rPr>
            </w:pPr>
            <w:r w:rsidRPr="00CD0358">
              <w:rPr>
                <w:rFonts w:ascii="Garamond" w:eastAsia="Times New Roman" w:hAnsi="Garamond" w:cs="Times New Roman"/>
                <w:sz w:val="20"/>
                <w:szCs w:val="20"/>
                <w:lang w:eastAsia="en-GB"/>
              </w:rPr>
              <w:t>2</w:t>
            </w:r>
          </w:p>
        </w:tc>
        <w:tc>
          <w:tcPr>
            <w:tcW w:w="1273" w:type="pct"/>
            <w:vAlign w:val="center"/>
            <w:hideMark/>
          </w:tcPr>
          <w:p w14:paraId="755AD15A" w14:textId="77777777" w:rsidR="00D23758" w:rsidRPr="00CD0358" w:rsidRDefault="00D23758" w:rsidP="00C35197">
            <w:pPr>
              <w:spacing w:after="0" w:line="240" w:lineRule="auto"/>
              <w:jc w:val="both"/>
              <w:rPr>
                <w:rFonts w:ascii="Garamond" w:eastAsia="Times New Roman" w:hAnsi="Garamond" w:cs="Times New Roman"/>
                <w:sz w:val="20"/>
                <w:szCs w:val="20"/>
                <w:lang w:eastAsia="en-GB"/>
              </w:rPr>
            </w:pPr>
            <w:r w:rsidRPr="00CD0358">
              <w:rPr>
                <w:rFonts w:ascii="Garamond" w:eastAsia="Times New Roman" w:hAnsi="Garamond" w:cs="Times New Roman"/>
                <w:sz w:val="20"/>
                <w:szCs w:val="20"/>
                <w:lang w:eastAsia="en-GB"/>
              </w:rPr>
              <w:t>Directly reduces greenhouse gas emissions.</w:t>
            </w:r>
          </w:p>
        </w:tc>
        <w:tc>
          <w:tcPr>
            <w:tcW w:w="441" w:type="pct"/>
          </w:tcPr>
          <w:p w14:paraId="791E179D" w14:textId="16C3CFBA" w:rsidR="00D23758" w:rsidRPr="00CD0358" w:rsidRDefault="00D23758" w:rsidP="00C35197">
            <w:pPr>
              <w:spacing w:after="0" w:line="240" w:lineRule="auto"/>
              <w:jc w:val="both"/>
              <w:rPr>
                <w:rFonts w:ascii="Garamond" w:eastAsia="Times New Roman" w:hAnsi="Garamond" w:cs="Times New Roman"/>
                <w:sz w:val="20"/>
                <w:szCs w:val="20"/>
                <w:lang w:eastAsia="en-GB"/>
              </w:rPr>
            </w:pPr>
            <w:r w:rsidRPr="00CD0358">
              <w:rPr>
                <w:rFonts w:ascii="Garamond" w:eastAsia="Times New Roman" w:hAnsi="Garamond" w:cs="Times New Roman"/>
                <w:sz w:val="20"/>
                <w:szCs w:val="20"/>
                <w:lang w:eastAsia="en-GB"/>
              </w:rPr>
              <w:t>1</w:t>
            </w:r>
            <w:r w:rsidR="009A2ABA" w:rsidRPr="00CD0358">
              <w:rPr>
                <w:rFonts w:ascii="Garamond" w:eastAsia="Times New Roman" w:hAnsi="Garamond" w:cs="Times New Roman"/>
                <w:sz w:val="20"/>
                <w:szCs w:val="20"/>
                <w:lang w:eastAsia="en-GB"/>
              </w:rPr>
              <w:t>0</w:t>
            </w:r>
            <w:r w:rsidRPr="00CD0358">
              <w:rPr>
                <w:rFonts w:ascii="Garamond" w:eastAsia="Times New Roman" w:hAnsi="Garamond" w:cs="Times New Roman"/>
                <w:sz w:val="20"/>
                <w:szCs w:val="20"/>
                <w:lang w:eastAsia="en-GB"/>
              </w:rPr>
              <w:t>0</w:t>
            </w:r>
          </w:p>
        </w:tc>
        <w:tc>
          <w:tcPr>
            <w:tcW w:w="653" w:type="pct"/>
          </w:tcPr>
          <w:p w14:paraId="4B5CAE7C" w14:textId="623C68DA" w:rsidR="00D23758" w:rsidRPr="00CD0358" w:rsidRDefault="00D23758" w:rsidP="00C35197">
            <w:pPr>
              <w:spacing w:after="0" w:line="240" w:lineRule="auto"/>
              <w:jc w:val="both"/>
              <w:rPr>
                <w:rFonts w:ascii="Garamond" w:eastAsia="Times New Roman" w:hAnsi="Garamond" w:cs="Times New Roman"/>
                <w:sz w:val="20"/>
                <w:szCs w:val="20"/>
                <w:lang w:eastAsia="en-GB"/>
              </w:rPr>
            </w:pPr>
            <w:r w:rsidRPr="00CD0358">
              <w:rPr>
                <w:rFonts w:ascii="Garamond" w:eastAsia="Times New Roman" w:hAnsi="Garamond" w:cs="Times New Roman"/>
                <w:sz w:val="20"/>
                <w:szCs w:val="20"/>
                <w:lang w:eastAsia="en-GB"/>
              </w:rPr>
              <w:t>1</w:t>
            </w:r>
            <w:r w:rsidR="009A2ABA" w:rsidRPr="00CD0358">
              <w:rPr>
                <w:rFonts w:ascii="Garamond" w:eastAsia="Times New Roman" w:hAnsi="Garamond" w:cs="Times New Roman"/>
                <w:sz w:val="20"/>
                <w:szCs w:val="20"/>
                <w:lang w:eastAsia="en-GB"/>
              </w:rPr>
              <w:t>0</w:t>
            </w:r>
            <w:r w:rsidRPr="00CD0358">
              <w:rPr>
                <w:rFonts w:ascii="Garamond" w:eastAsia="Times New Roman" w:hAnsi="Garamond" w:cs="Times New Roman"/>
                <w:sz w:val="20"/>
                <w:szCs w:val="20"/>
                <w:lang w:eastAsia="en-GB"/>
              </w:rPr>
              <w:t>0</w:t>
            </w:r>
          </w:p>
        </w:tc>
      </w:tr>
      <w:tr w:rsidR="00D23758" w:rsidRPr="00C35197" w14:paraId="3A6B7F54" w14:textId="3D9E9DEB" w:rsidTr="001F2619">
        <w:trPr>
          <w:tblCellSpacing w:w="15" w:type="dxa"/>
        </w:trPr>
        <w:tc>
          <w:tcPr>
            <w:tcW w:w="1556" w:type="pct"/>
            <w:vAlign w:val="center"/>
            <w:hideMark/>
          </w:tcPr>
          <w:p w14:paraId="7E1CD8FA" w14:textId="77777777" w:rsidR="00D23758" w:rsidRPr="00CD0358" w:rsidRDefault="00D23758" w:rsidP="00C35197">
            <w:pPr>
              <w:spacing w:after="0" w:line="240" w:lineRule="auto"/>
              <w:jc w:val="both"/>
              <w:rPr>
                <w:rFonts w:ascii="Garamond" w:eastAsia="Times New Roman" w:hAnsi="Garamond" w:cs="Times New Roman"/>
                <w:sz w:val="20"/>
                <w:szCs w:val="20"/>
                <w:lang w:eastAsia="en-GB"/>
              </w:rPr>
            </w:pPr>
            <w:r w:rsidRPr="00CD0358">
              <w:rPr>
                <w:rFonts w:ascii="Garamond" w:eastAsia="Times New Roman" w:hAnsi="Garamond" w:cs="Times New Roman"/>
                <w:sz w:val="20"/>
                <w:szCs w:val="20"/>
                <w:lang w:eastAsia="en-GB"/>
              </w:rPr>
              <w:t xml:space="preserve">Community education with a climate focus </w:t>
            </w:r>
          </w:p>
        </w:tc>
        <w:tc>
          <w:tcPr>
            <w:tcW w:w="618" w:type="pct"/>
            <w:vAlign w:val="center"/>
            <w:hideMark/>
          </w:tcPr>
          <w:p w14:paraId="33BCE06A" w14:textId="77777777" w:rsidR="00D23758" w:rsidRPr="00CD0358" w:rsidRDefault="00D23758" w:rsidP="00C35197">
            <w:pPr>
              <w:spacing w:after="0" w:line="240" w:lineRule="auto"/>
              <w:jc w:val="both"/>
              <w:rPr>
                <w:rFonts w:ascii="Garamond" w:eastAsia="Times New Roman" w:hAnsi="Garamond" w:cs="Times New Roman"/>
                <w:sz w:val="20"/>
                <w:szCs w:val="20"/>
                <w:lang w:eastAsia="en-GB"/>
              </w:rPr>
            </w:pPr>
            <w:r w:rsidRPr="00CD0358">
              <w:rPr>
                <w:rFonts w:ascii="Garamond" w:eastAsia="Times New Roman" w:hAnsi="Garamond" w:cs="Times New Roman"/>
                <w:sz w:val="20"/>
                <w:szCs w:val="20"/>
                <w:lang w:eastAsia="en-GB"/>
              </w:rPr>
              <w:t>Adaptation</w:t>
            </w:r>
          </w:p>
        </w:tc>
        <w:tc>
          <w:tcPr>
            <w:tcW w:w="343" w:type="pct"/>
            <w:vAlign w:val="center"/>
            <w:hideMark/>
          </w:tcPr>
          <w:p w14:paraId="6FFA0411" w14:textId="77777777" w:rsidR="00D23758" w:rsidRPr="00CD0358" w:rsidRDefault="00D23758" w:rsidP="00C35197">
            <w:pPr>
              <w:spacing w:after="0" w:line="240" w:lineRule="auto"/>
              <w:jc w:val="both"/>
              <w:rPr>
                <w:rFonts w:ascii="Garamond" w:eastAsia="Times New Roman" w:hAnsi="Garamond" w:cs="Times New Roman"/>
                <w:sz w:val="20"/>
                <w:szCs w:val="20"/>
                <w:lang w:eastAsia="en-GB"/>
              </w:rPr>
            </w:pPr>
            <w:r w:rsidRPr="00CD0358">
              <w:rPr>
                <w:rFonts w:ascii="Garamond" w:eastAsia="Times New Roman" w:hAnsi="Garamond" w:cs="Times New Roman"/>
                <w:sz w:val="20"/>
                <w:szCs w:val="20"/>
                <w:lang w:eastAsia="en-GB"/>
              </w:rPr>
              <w:t>1</w:t>
            </w:r>
          </w:p>
        </w:tc>
        <w:tc>
          <w:tcPr>
            <w:tcW w:w="1273" w:type="pct"/>
            <w:vAlign w:val="center"/>
            <w:hideMark/>
          </w:tcPr>
          <w:p w14:paraId="657AFDE7" w14:textId="77777777" w:rsidR="00D23758" w:rsidRPr="00CD0358" w:rsidRDefault="00D23758" w:rsidP="00C35197">
            <w:pPr>
              <w:spacing w:after="0" w:line="240" w:lineRule="auto"/>
              <w:jc w:val="both"/>
              <w:rPr>
                <w:rFonts w:ascii="Garamond" w:eastAsia="Times New Roman" w:hAnsi="Garamond" w:cs="Times New Roman"/>
                <w:sz w:val="20"/>
                <w:szCs w:val="20"/>
                <w:lang w:eastAsia="en-GB"/>
              </w:rPr>
            </w:pPr>
            <w:r w:rsidRPr="00CD0358">
              <w:rPr>
                <w:rFonts w:ascii="Garamond" w:eastAsia="Times New Roman" w:hAnsi="Garamond" w:cs="Times New Roman"/>
                <w:sz w:val="20"/>
                <w:szCs w:val="20"/>
                <w:lang w:eastAsia="en-GB"/>
              </w:rPr>
              <w:t>Raises awareness but is not the primary focus.</w:t>
            </w:r>
          </w:p>
        </w:tc>
        <w:tc>
          <w:tcPr>
            <w:tcW w:w="441" w:type="pct"/>
          </w:tcPr>
          <w:p w14:paraId="5ABB3E98" w14:textId="12FD70BB" w:rsidR="00D23758" w:rsidRPr="00CD0358" w:rsidRDefault="00D23758" w:rsidP="00C35197">
            <w:pPr>
              <w:spacing w:after="0" w:line="240" w:lineRule="auto"/>
              <w:jc w:val="both"/>
              <w:rPr>
                <w:rFonts w:ascii="Garamond" w:eastAsia="Times New Roman" w:hAnsi="Garamond" w:cs="Times New Roman"/>
                <w:sz w:val="20"/>
                <w:szCs w:val="20"/>
                <w:lang w:eastAsia="en-GB"/>
              </w:rPr>
            </w:pPr>
            <w:r w:rsidRPr="00CD0358">
              <w:rPr>
                <w:rFonts w:ascii="Garamond" w:eastAsia="Times New Roman" w:hAnsi="Garamond" w:cs="Times New Roman"/>
                <w:sz w:val="20"/>
                <w:szCs w:val="20"/>
                <w:lang w:eastAsia="en-GB"/>
              </w:rPr>
              <w:t>50</w:t>
            </w:r>
          </w:p>
        </w:tc>
        <w:tc>
          <w:tcPr>
            <w:tcW w:w="653" w:type="pct"/>
          </w:tcPr>
          <w:p w14:paraId="091D162B" w14:textId="1B9FD513" w:rsidR="00D23758" w:rsidRPr="00CD0358" w:rsidRDefault="00D23758" w:rsidP="00C35197">
            <w:pPr>
              <w:spacing w:after="0" w:line="240" w:lineRule="auto"/>
              <w:jc w:val="both"/>
              <w:rPr>
                <w:rFonts w:ascii="Garamond" w:eastAsia="Times New Roman" w:hAnsi="Garamond" w:cs="Times New Roman"/>
                <w:sz w:val="20"/>
                <w:szCs w:val="20"/>
                <w:lang w:eastAsia="en-GB"/>
              </w:rPr>
            </w:pPr>
            <w:r w:rsidRPr="00CD0358">
              <w:rPr>
                <w:rFonts w:ascii="Garamond" w:eastAsia="Times New Roman" w:hAnsi="Garamond" w:cs="Times New Roman"/>
                <w:sz w:val="20"/>
                <w:szCs w:val="20"/>
                <w:lang w:eastAsia="en-GB"/>
              </w:rPr>
              <w:t>25</w:t>
            </w:r>
          </w:p>
        </w:tc>
      </w:tr>
      <w:tr w:rsidR="00D23758" w:rsidRPr="00C35197" w14:paraId="36A9A283" w14:textId="3BE82246" w:rsidTr="001F2619">
        <w:trPr>
          <w:tblCellSpacing w:w="15" w:type="dxa"/>
        </w:trPr>
        <w:tc>
          <w:tcPr>
            <w:tcW w:w="1556" w:type="pct"/>
            <w:vAlign w:val="center"/>
            <w:hideMark/>
          </w:tcPr>
          <w:p w14:paraId="49008F62" w14:textId="77777777" w:rsidR="00D23758" w:rsidRPr="00CD0358" w:rsidRDefault="00D23758" w:rsidP="00C35197">
            <w:pPr>
              <w:spacing w:after="0" w:line="240" w:lineRule="auto"/>
              <w:jc w:val="both"/>
              <w:rPr>
                <w:rFonts w:ascii="Garamond" w:eastAsia="Times New Roman" w:hAnsi="Garamond" w:cs="Times New Roman"/>
                <w:sz w:val="20"/>
                <w:szCs w:val="20"/>
                <w:lang w:eastAsia="en-GB"/>
              </w:rPr>
            </w:pPr>
            <w:r w:rsidRPr="00CD0358">
              <w:rPr>
                <w:rFonts w:ascii="Garamond" w:eastAsia="Times New Roman" w:hAnsi="Garamond" w:cs="Times New Roman"/>
                <w:sz w:val="20"/>
                <w:szCs w:val="20"/>
                <w:lang w:eastAsia="en-GB"/>
              </w:rPr>
              <w:t>Road construction</w:t>
            </w:r>
          </w:p>
        </w:tc>
        <w:tc>
          <w:tcPr>
            <w:tcW w:w="618" w:type="pct"/>
            <w:vAlign w:val="center"/>
            <w:hideMark/>
          </w:tcPr>
          <w:p w14:paraId="35898296" w14:textId="77777777" w:rsidR="00D23758" w:rsidRPr="00CD0358" w:rsidRDefault="00D23758" w:rsidP="00C35197">
            <w:pPr>
              <w:spacing w:after="0" w:line="240" w:lineRule="auto"/>
              <w:jc w:val="both"/>
              <w:rPr>
                <w:rFonts w:ascii="Garamond" w:eastAsia="Times New Roman" w:hAnsi="Garamond" w:cs="Times New Roman"/>
                <w:sz w:val="20"/>
                <w:szCs w:val="20"/>
                <w:lang w:eastAsia="en-GB"/>
              </w:rPr>
            </w:pPr>
            <w:r w:rsidRPr="00CD0358">
              <w:rPr>
                <w:rFonts w:ascii="Garamond" w:eastAsia="Times New Roman" w:hAnsi="Garamond" w:cs="Times New Roman"/>
                <w:sz w:val="20"/>
                <w:szCs w:val="20"/>
                <w:lang w:eastAsia="en-GB"/>
              </w:rPr>
              <w:t>Mitigation</w:t>
            </w:r>
          </w:p>
        </w:tc>
        <w:tc>
          <w:tcPr>
            <w:tcW w:w="343" w:type="pct"/>
            <w:vAlign w:val="center"/>
            <w:hideMark/>
          </w:tcPr>
          <w:p w14:paraId="7763821D" w14:textId="77777777" w:rsidR="00D23758" w:rsidRPr="00CD0358" w:rsidRDefault="00D23758" w:rsidP="00C35197">
            <w:pPr>
              <w:spacing w:after="0" w:line="240" w:lineRule="auto"/>
              <w:jc w:val="both"/>
              <w:rPr>
                <w:rFonts w:ascii="Garamond" w:eastAsia="Times New Roman" w:hAnsi="Garamond" w:cs="Times New Roman"/>
                <w:sz w:val="20"/>
                <w:szCs w:val="20"/>
                <w:lang w:eastAsia="en-GB"/>
              </w:rPr>
            </w:pPr>
            <w:r w:rsidRPr="00CD0358">
              <w:rPr>
                <w:rFonts w:ascii="Garamond" w:eastAsia="Times New Roman" w:hAnsi="Garamond" w:cs="Times New Roman"/>
                <w:sz w:val="20"/>
                <w:szCs w:val="20"/>
                <w:lang w:eastAsia="en-GB"/>
              </w:rPr>
              <w:t>0</w:t>
            </w:r>
          </w:p>
        </w:tc>
        <w:tc>
          <w:tcPr>
            <w:tcW w:w="1273" w:type="pct"/>
            <w:vAlign w:val="center"/>
            <w:hideMark/>
          </w:tcPr>
          <w:p w14:paraId="3F8399A2" w14:textId="77777777" w:rsidR="00D23758" w:rsidRPr="00CD0358" w:rsidRDefault="00D23758" w:rsidP="00C35197">
            <w:pPr>
              <w:spacing w:after="0" w:line="240" w:lineRule="auto"/>
              <w:jc w:val="both"/>
              <w:rPr>
                <w:rFonts w:ascii="Garamond" w:eastAsia="Times New Roman" w:hAnsi="Garamond" w:cs="Times New Roman"/>
                <w:sz w:val="20"/>
                <w:szCs w:val="20"/>
                <w:lang w:eastAsia="en-GB"/>
              </w:rPr>
            </w:pPr>
            <w:r w:rsidRPr="00CD0358">
              <w:rPr>
                <w:rFonts w:ascii="Garamond" w:eastAsia="Times New Roman" w:hAnsi="Garamond" w:cs="Times New Roman"/>
                <w:sz w:val="20"/>
                <w:szCs w:val="20"/>
                <w:lang w:eastAsia="en-GB"/>
              </w:rPr>
              <w:t>Does not target climate objectives.</w:t>
            </w:r>
          </w:p>
        </w:tc>
        <w:tc>
          <w:tcPr>
            <w:tcW w:w="441" w:type="pct"/>
          </w:tcPr>
          <w:p w14:paraId="7F81BBA8" w14:textId="11BA36FF" w:rsidR="00D23758" w:rsidRPr="00CD0358" w:rsidRDefault="009C19A9" w:rsidP="00C35197">
            <w:pPr>
              <w:spacing w:after="0" w:line="240" w:lineRule="auto"/>
              <w:jc w:val="both"/>
              <w:rPr>
                <w:rFonts w:ascii="Garamond" w:eastAsia="Times New Roman" w:hAnsi="Garamond" w:cs="Times New Roman"/>
                <w:sz w:val="20"/>
                <w:szCs w:val="20"/>
                <w:lang w:eastAsia="en-GB"/>
              </w:rPr>
            </w:pPr>
            <w:r w:rsidRPr="00CD0358">
              <w:rPr>
                <w:rFonts w:ascii="Garamond" w:eastAsia="Times New Roman" w:hAnsi="Garamond" w:cs="Times New Roman"/>
                <w:sz w:val="20"/>
                <w:szCs w:val="20"/>
                <w:lang w:eastAsia="en-GB"/>
              </w:rPr>
              <w:t>2</w:t>
            </w:r>
            <w:r w:rsidR="00D23758" w:rsidRPr="00CD0358">
              <w:rPr>
                <w:rFonts w:ascii="Garamond" w:eastAsia="Times New Roman" w:hAnsi="Garamond" w:cs="Times New Roman"/>
                <w:sz w:val="20"/>
                <w:szCs w:val="20"/>
                <w:lang w:eastAsia="en-GB"/>
              </w:rPr>
              <w:t>00</w:t>
            </w:r>
          </w:p>
        </w:tc>
        <w:tc>
          <w:tcPr>
            <w:tcW w:w="653" w:type="pct"/>
          </w:tcPr>
          <w:p w14:paraId="5377A92D" w14:textId="73F6547D" w:rsidR="00D23758" w:rsidRPr="00CD0358" w:rsidRDefault="00D23758" w:rsidP="00C35197">
            <w:pPr>
              <w:spacing w:after="0" w:line="240" w:lineRule="auto"/>
              <w:jc w:val="both"/>
              <w:rPr>
                <w:rFonts w:ascii="Garamond" w:eastAsia="Times New Roman" w:hAnsi="Garamond" w:cs="Times New Roman"/>
                <w:sz w:val="20"/>
                <w:szCs w:val="20"/>
                <w:lang w:eastAsia="en-GB"/>
              </w:rPr>
            </w:pPr>
            <w:r w:rsidRPr="00CD0358">
              <w:rPr>
                <w:rFonts w:ascii="Garamond" w:eastAsia="Times New Roman" w:hAnsi="Garamond" w:cs="Times New Roman"/>
                <w:sz w:val="20"/>
                <w:szCs w:val="20"/>
                <w:lang w:eastAsia="en-GB"/>
              </w:rPr>
              <w:t>0</w:t>
            </w:r>
          </w:p>
        </w:tc>
      </w:tr>
      <w:tr w:rsidR="00F70F65" w:rsidRPr="00C35197" w14:paraId="49B43B30" w14:textId="77777777" w:rsidTr="001F2619">
        <w:trPr>
          <w:trHeight w:val="402"/>
          <w:tblCellSpacing w:w="15" w:type="dxa"/>
        </w:trPr>
        <w:tc>
          <w:tcPr>
            <w:tcW w:w="1556" w:type="pct"/>
            <w:shd w:val="clear" w:color="auto" w:fill="C5E0B3" w:themeFill="accent6" w:themeFillTint="66"/>
            <w:vAlign w:val="center"/>
          </w:tcPr>
          <w:p w14:paraId="5FC7ECD2" w14:textId="7496CC06" w:rsidR="00F70F65" w:rsidRPr="00CD0358" w:rsidRDefault="009E7E8C" w:rsidP="00C35197">
            <w:pPr>
              <w:spacing w:after="0" w:line="240" w:lineRule="auto"/>
              <w:jc w:val="both"/>
              <w:rPr>
                <w:rFonts w:ascii="Garamond" w:eastAsia="Times New Roman" w:hAnsi="Garamond" w:cs="Times New Roman"/>
                <w:b/>
                <w:bCs/>
                <w:sz w:val="20"/>
                <w:szCs w:val="20"/>
                <w:lang w:eastAsia="en-GB"/>
              </w:rPr>
            </w:pPr>
            <w:r w:rsidRPr="00CD0358">
              <w:rPr>
                <w:rFonts w:ascii="Garamond" w:eastAsia="Times New Roman" w:hAnsi="Garamond" w:cs="Times New Roman"/>
                <w:b/>
                <w:bCs/>
                <w:sz w:val="20"/>
                <w:szCs w:val="20"/>
                <w:lang w:eastAsia="en-GB"/>
              </w:rPr>
              <w:t>Total adaptation</w:t>
            </w:r>
          </w:p>
        </w:tc>
        <w:tc>
          <w:tcPr>
            <w:tcW w:w="618" w:type="pct"/>
            <w:shd w:val="clear" w:color="auto" w:fill="C5E0B3" w:themeFill="accent6" w:themeFillTint="66"/>
            <w:vAlign w:val="center"/>
          </w:tcPr>
          <w:p w14:paraId="13D50B22" w14:textId="77777777" w:rsidR="00F70F65" w:rsidRPr="00CD0358" w:rsidRDefault="00F70F65" w:rsidP="00C35197">
            <w:pPr>
              <w:spacing w:after="0" w:line="240" w:lineRule="auto"/>
              <w:jc w:val="both"/>
              <w:rPr>
                <w:rFonts w:ascii="Garamond" w:eastAsia="Times New Roman" w:hAnsi="Garamond" w:cs="Times New Roman"/>
                <w:b/>
                <w:bCs/>
                <w:sz w:val="20"/>
                <w:szCs w:val="20"/>
                <w:lang w:eastAsia="en-GB"/>
              </w:rPr>
            </w:pPr>
          </w:p>
        </w:tc>
        <w:tc>
          <w:tcPr>
            <w:tcW w:w="343" w:type="pct"/>
            <w:shd w:val="clear" w:color="auto" w:fill="C5E0B3" w:themeFill="accent6" w:themeFillTint="66"/>
            <w:vAlign w:val="center"/>
          </w:tcPr>
          <w:p w14:paraId="6F18DED5" w14:textId="77777777" w:rsidR="00F70F65" w:rsidRPr="00CD0358" w:rsidRDefault="00F70F65" w:rsidP="00C35197">
            <w:pPr>
              <w:spacing w:after="0" w:line="240" w:lineRule="auto"/>
              <w:jc w:val="both"/>
              <w:rPr>
                <w:rFonts w:ascii="Garamond" w:eastAsia="Times New Roman" w:hAnsi="Garamond" w:cs="Times New Roman"/>
                <w:b/>
                <w:bCs/>
                <w:sz w:val="20"/>
                <w:szCs w:val="20"/>
                <w:lang w:eastAsia="en-GB"/>
              </w:rPr>
            </w:pPr>
          </w:p>
        </w:tc>
        <w:tc>
          <w:tcPr>
            <w:tcW w:w="1273" w:type="pct"/>
            <w:shd w:val="clear" w:color="auto" w:fill="C5E0B3" w:themeFill="accent6" w:themeFillTint="66"/>
            <w:vAlign w:val="center"/>
          </w:tcPr>
          <w:p w14:paraId="28297629" w14:textId="77777777" w:rsidR="00F70F65" w:rsidRPr="00CD0358" w:rsidRDefault="00F70F65" w:rsidP="00C35197">
            <w:pPr>
              <w:spacing w:after="0" w:line="240" w:lineRule="auto"/>
              <w:jc w:val="both"/>
              <w:rPr>
                <w:rFonts w:ascii="Garamond" w:eastAsia="Times New Roman" w:hAnsi="Garamond" w:cs="Times New Roman"/>
                <w:b/>
                <w:bCs/>
                <w:sz w:val="20"/>
                <w:szCs w:val="20"/>
                <w:lang w:eastAsia="en-GB"/>
              </w:rPr>
            </w:pPr>
          </w:p>
        </w:tc>
        <w:tc>
          <w:tcPr>
            <w:tcW w:w="441" w:type="pct"/>
            <w:shd w:val="clear" w:color="auto" w:fill="C5E0B3" w:themeFill="accent6" w:themeFillTint="66"/>
          </w:tcPr>
          <w:p w14:paraId="59A6C235" w14:textId="66F04209" w:rsidR="00F70F65" w:rsidRPr="00CD0358" w:rsidRDefault="00F70F65" w:rsidP="00C35197">
            <w:pPr>
              <w:spacing w:after="0" w:line="240" w:lineRule="auto"/>
              <w:jc w:val="both"/>
              <w:rPr>
                <w:rFonts w:ascii="Garamond" w:eastAsia="Times New Roman" w:hAnsi="Garamond" w:cs="Times New Roman"/>
                <w:b/>
                <w:bCs/>
                <w:sz w:val="20"/>
                <w:szCs w:val="20"/>
                <w:lang w:eastAsia="en-GB"/>
              </w:rPr>
            </w:pPr>
          </w:p>
        </w:tc>
        <w:tc>
          <w:tcPr>
            <w:tcW w:w="653" w:type="pct"/>
            <w:shd w:val="clear" w:color="auto" w:fill="C5E0B3" w:themeFill="accent6" w:themeFillTint="66"/>
          </w:tcPr>
          <w:p w14:paraId="6D7557BF" w14:textId="41FE4706" w:rsidR="00F70F65" w:rsidRPr="00CD0358" w:rsidRDefault="00CB0621" w:rsidP="00C35197">
            <w:pPr>
              <w:spacing w:after="0" w:line="240" w:lineRule="auto"/>
              <w:jc w:val="both"/>
              <w:rPr>
                <w:rFonts w:ascii="Garamond" w:eastAsia="Times New Roman" w:hAnsi="Garamond" w:cs="Times New Roman"/>
                <w:b/>
                <w:bCs/>
                <w:sz w:val="20"/>
                <w:szCs w:val="20"/>
                <w:lang w:eastAsia="en-GB"/>
              </w:rPr>
            </w:pPr>
            <w:r w:rsidRPr="00CD0358">
              <w:rPr>
                <w:rFonts w:ascii="Garamond" w:eastAsia="Times New Roman" w:hAnsi="Garamond" w:cs="Times New Roman"/>
                <w:b/>
                <w:bCs/>
                <w:sz w:val="20"/>
                <w:szCs w:val="20"/>
                <w:lang w:eastAsia="en-GB"/>
              </w:rPr>
              <w:t>25</w:t>
            </w:r>
            <w:r w:rsidR="00126A15" w:rsidRPr="00CD0358">
              <w:rPr>
                <w:rFonts w:ascii="Garamond" w:eastAsia="Times New Roman" w:hAnsi="Garamond" w:cs="Times New Roman"/>
                <w:b/>
                <w:bCs/>
                <w:sz w:val="20"/>
                <w:szCs w:val="20"/>
                <w:lang w:eastAsia="en-GB"/>
              </w:rPr>
              <w:t xml:space="preserve"> (7%)</w:t>
            </w:r>
          </w:p>
        </w:tc>
      </w:tr>
      <w:tr w:rsidR="009E7E8C" w:rsidRPr="00C35197" w14:paraId="0D353058" w14:textId="77777777" w:rsidTr="001F2619">
        <w:trPr>
          <w:tblCellSpacing w:w="15" w:type="dxa"/>
        </w:trPr>
        <w:tc>
          <w:tcPr>
            <w:tcW w:w="1556" w:type="pct"/>
            <w:shd w:val="clear" w:color="auto" w:fill="C5E0B3" w:themeFill="accent6" w:themeFillTint="66"/>
            <w:vAlign w:val="center"/>
          </w:tcPr>
          <w:p w14:paraId="280F9796" w14:textId="10802CE4" w:rsidR="009E7E8C" w:rsidRPr="00CD0358" w:rsidRDefault="009E7E8C" w:rsidP="00C35197">
            <w:pPr>
              <w:spacing w:after="0" w:line="240" w:lineRule="auto"/>
              <w:jc w:val="both"/>
              <w:rPr>
                <w:rFonts w:ascii="Garamond" w:eastAsia="Times New Roman" w:hAnsi="Garamond" w:cs="Times New Roman"/>
                <w:b/>
                <w:bCs/>
                <w:sz w:val="20"/>
                <w:szCs w:val="20"/>
                <w:lang w:eastAsia="en-GB"/>
              </w:rPr>
            </w:pPr>
            <w:r w:rsidRPr="00CD0358">
              <w:rPr>
                <w:rFonts w:ascii="Garamond" w:eastAsia="Times New Roman" w:hAnsi="Garamond" w:cs="Times New Roman"/>
                <w:b/>
                <w:bCs/>
                <w:sz w:val="20"/>
                <w:szCs w:val="20"/>
                <w:lang w:eastAsia="en-GB"/>
              </w:rPr>
              <w:t>Total mitigation</w:t>
            </w:r>
          </w:p>
        </w:tc>
        <w:tc>
          <w:tcPr>
            <w:tcW w:w="618" w:type="pct"/>
            <w:shd w:val="clear" w:color="auto" w:fill="C5E0B3" w:themeFill="accent6" w:themeFillTint="66"/>
            <w:vAlign w:val="center"/>
          </w:tcPr>
          <w:p w14:paraId="79372B22" w14:textId="77777777" w:rsidR="009E7E8C" w:rsidRPr="00CD0358" w:rsidRDefault="009E7E8C" w:rsidP="00C35197">
            <w:pPr>
              <w:spacing w:after="0" w:line="240" w:lineRule="auto"/>
              <w:jc w:val="both"/>
              <w:rPr>
                <w:rFonts w:ascii="Garamond" w:eastAsia="Times New Roman" w:hAnsi="Garamond" w:cs="Times New Roman"/>
                <w:b/>
                <w:bCs/>
                <w:sz w:val="20"/>
                <w:szCs w:val="20"/>
                <w:lang w:eastAsia="en-GB"/>
              </w:rPr>
            </w:pPr>
          </w:p>
        </w:tc>
        <w:tc>
          <w:tcPr>
            <w:tcW w:w="343" w:type="pct"/>
            <w:shd w:val="clear" w:color="auto" w:fill="C5E0B3" w:themeFill="accent6" w:themeFillTint="66"/>
            <w:vAlign w:val="center"/>
          </w:tcPr>
          <w:p w14:paraId="547EA8CB" w14:textId="77777777" w:rsidR="009E7E8C" w:rsidRPr="00CD0358" w:rsidRDefault="009E7E8C" w:rsidP="00C35197">
            <w:pPr>
              <w:spacing w:after="0" w:line="240" w:lineRule="auto"/>
              <w:jc w:val="both"/>
              <w:rPr>
                <w:rFonts w:ascii="Garamond" w:eastAsia="Times New Roman" w:hAnsi="Garamond" w:cs="Times New Roman"/>
                <w:b/>
                <w:bCs/>
                <w:sz w:val="20"/>
                <w:szCs w:val="20"/>
                <w:lang w:eastAsia="en-GB"/>
              </w:rPr>
            </w:pPr>
          </w:p>
        </w:tc>
        <w:tc>
          <w:tcPr>
            <w:tcW w:w="1273" w:type="pct"/>
            <w:shd w:val="clear" w:color="auto" w:fill="C5E0B3" w:themeFill="accent6" w:themeFillTint="66"/>
            <w:vAlign w:val="center"/>
          </w:tcPr>
          <w:p w14:paraId="1A1E4DE3" w14:textId="77777777" w:rsidR="009E7E8C" w:rsidRPr="00CD0358" w:rsidRDefault="009E7E8C" w:rsidP="00C35197">
            <w:pPr>
              <w:spacing w:after="0" w:line="240" w:lineRule="auto"/>
              <w:jc w:val="both"/>
              <w:rPr>
                <w:rFonts w:ascii="Garamond" w:eastAsia="Times New Roman" w:hAnsi="Garamond" w:cs="Times New Roman"/>
                <w:b/>
                <w:bCs/>
                <w:sz w:val="20"/>
                <w:szCs w:val="20"/>
                <w:lang w:eastAsia="en-GB"/>
              </w:rPr>
            </w:pPr>
          </w:p>
        </w:tc>
        <w:tc>
          <w:tcPr>
            <w:tcW w:w="441" w:type="pct"/>
            <w:shd w:val="clear" w:color="auto" w:fill="C5E0B3" w:themeFill="accent6" w:themeFillTint="66"/>
          </w:tcPr>
          <w:p w14:paraId="179EC4A6" w14:textId="35C154A3" w:rsidR="009E7E8C" w:rsidRPr="00CD0358" w:rsidRDefault="009E7E8C" w:rsidP="00C35197">
            <w:pPr>
              <w:spacing w:after="0" w:line="240" w:lineRule="auto"/>
              <w:jc w:val="both"/>
              <w:rPr>
                <w:rFonts w:ascii="Garamond" w:eastAsia="Times New Roman" w:hAnsi="Garamond" w:cs="Times New Roman"/>
                <w:b/>
                <w:bCs/>
                <w:sz w:val="20"/>
                <w:szCs w:val="20"/>
                <w:lang w:eastAsia="en-GB"/>
              </w:rPr>
            </w:pPr>
          </w:p>
        </w:tc>
        <w:tc>
          <w:tcPr>
            <w:tcW w:w="653" w:type="pct"/>
            <w:shd w:val="clear" w:color="auto" w:fill="C5E0B3" w:themeFill="accent6" w:themeFillTint="66"/>
          </w:tcPr>
          <w:p w14:paraId="40EADD36" w14:textId="7F4F1CF5" w:rsidR="009E7E8C" w:rsidRPr="00CD0358" w:rsidRDefault="007046A1" w:rsidP="00C35197">
            <w:pPr>
              <w:spacing w:after="0" w:line="240" w:lineRule="auto"/>
              <w:jc w:val="both"/>
              <w:rPr>
                <w:rFonts w:ascii="Garamond" w:eastAsia="Times New Roman" w:hAnsi="Garamond" w:cs="Times New Roman"/>
                <w:b/>
                <w:bCs/>
                <w:sz w:val="20"/>
                <w:szCs w:val="20"/>
                <w:lang w:eastAsia="en-GB"/>
              </w:rPr>
            </w:pPr>
            <w:r w:rsidRPr="00CD0358">
              <w:rPr>
                <w:rFonts w:ascii="Garamond" w:eastAsia="Times New Roman" w:hAnsi="Garamond" w:cs="Times New Roman"/>
                <w:b/>
                <w:bCs/>
                <w:sz w:val="20"/>
                <w:szCs w:val="20"/>
                <w:lang w:eastAsia="en-GB"/>
              </w:rPr>
              <w:t>1</w:t>
            </w:r>
            <w:r w:rsidR="009A2ABA" w:rsidRPr="00CD0358">
              <w:rPr>
                <w:rFonts w:ascii="Garamond" w:eastAsia="Times New Roman" w:hAnsi="Garamond" w:cs="Times New Roman"/>
                <w:b/>
                <w:bCs/>
                <w:sz w:val="20"/>
                <w:szCs w:val="20"/>
                <w:lang w:eastAsia="en-GB"/>
              </w:rPr>
              <w:t>0</w:t>
            </w:r>
            <w:r w:rsidRPr="00CD0358">
              <w:rPr>
                <w:rFonts w:ascii="Garamond" w:eastAsia="Times New Roman" w:hAnsi="Garamond" w:cs="Times New Roman"/>
                <w:b/>
                <w:bCs/>
                <w:sz w:val="20"/>
                <w:szCs w:val="20"/>
                <w:lang w:eastAsia="en-GB"/>
              </w:rPr>
              <w:t>0</w:t>
            </w:r>
            <w:r w:rsidR="00126A15" w:rsidRPr="00CD0358">
              <w:rPr>
                <w:rFonts w:ascii="Garamond" w:eastAsia="Times New Roman" w:hAnsi="Garamond" w:cs="Times New Roman"/>
                <w:b/>
                <w:bCs/>
                <w:sz w:val="20"/>
                <w:szCs w:val="20"/>
                <w:lang w:eastAsia="en-GB"/>
              </w:rPr>
              <w:t xml:space="preserve"> </w:t>
            </w:r>
            <w:r w:rsidR="00CE7D50" w:rsidRPr="00CD0358">
              <w:rPr>
                <w:rFonts w:ascii="Garamond" w:eastAsia="Times New Roman" w:hAnsi="Garamond" w:cs="Times New Roman"/>
                <w:b/>
                <w:bCs/>
                <w:sz w:val="20"/>
                <w:szCs w:val="20"/>
                <w:lang w:eastAsia="en-GB"/>
              </w:rPr>
              <w:t>(28%)</w:t>
            </w:r>
          </w:p>
        </w:tc>
      </w:tr>
      <w:tr w:rsidR="00D60673" w:rsidRPr="00C35197" w14:paraId="573B4BDD" w14:textId="77777777" w:rsidTr="001F2619">
        <w:trPr>
          <w:tblCellSpacing w:w="15" w:type="dxa"/>
        </w:trPr>
        <w:tc>
          <w:tcPr>
            <w:tcW w:w="1556" w:type="pct"/>
            <w:shd w:val="clear" w:color="auto" w:fill="C5E0B3" w:themeFill="accent6" w:themeFillTint="66"/>
            <w:vAlign w:val="center"/>
          </w:tcPr>
          <w:p w14:paraId="102BEE11" w14:textId="6F259285" w:rsidR="00D60673" w:rsidRPr="00CD0358" w:rsidRDefault="00D60673" w:rsidP="00C35197">
            <w:pPr>
              <w:spacing w:after="0" w:line="240" w:lineRule="auto"/>
              <w:jc w:val="both"/>
              <w:rPr>
                <w:rFonts w:ascii="Garamond" w:eastAsia="Times New Roman" w:hAnsi="Garamond" w:cs="Times New Roman"/>
                <w:b/>
                <w:bCs/>
                <w:sz w:val="20"/>
                <w:szCs w:val="20"/>
                <w:lang w:eastAsia="en-GB"/>
              </w:rPr>
            </w:pPr>
            <w:r w:rsidRPr="00CD0358">
              <w:rPr>
                <w:rFonts w:ascii="Garamond" w:eastAsia="Times New Roman" w:hAnsi="Garamond" w:cs="Times New Roman"/>
                <w:b/>
                <w:bCs/>
                <w:sz w:val="20"/>
                <w:szCs w:val="20"/>
                <w:lang w:eastAsia="en-GB"/>
              </w:rPr>
              <w:t xml:space="preserve">Total </w:t>
            </w:r>
          </w:p>
        </w:tc>
        <w:tc>
          <w:tcPr>
            <w:tcW w:w="618" w:type="pct"/>
            <w:shd w:val="clear" w:color="auto" w:fill="C5E0B3" w:themeFill="accent6" w:themeFillTint="66"/>
            <w:vAlign w:val="center"/>
          </w:tcPr>
          <w:p w14:paraId="0058CD7C" w14:textId="77777777" w:rsidR="00D60673" w:rsidRPr="00CD0358" w:rsidRDefault="00D60673" w:rsidP="00C35197">
            <w:pPr>
              <w:spacing w:after="0" w:line="240" w:lineRule="auto"/>
              <w:jc w:val="both"/>
              <w:rPr>
                <w:rFonts w:ascii="Garamond" w:eastAsia="Times New Roman" w:hAnsi="Garamond" w:cs="Times New Roman"/>
                <w:b/>
                <w:bCs/>
                <w:sz w:val="20"/>
                <w:szCs w:val="20"/>
                <w:lang w:eastAsia="en-GB"/>
              </w:rPr>
            </w:pPr>
          </w:p>
        </w:tc>
        <w:tc>
          <w:tcPr>
            <w:tcW w:w="343" w:type="pct"/>
            <w:shd w:val="clear" w:color="auto" w:fill="C5E0B3" w:themeFill="accent6" w:themeFillTint="66"/>
            <w:vAlign w:val="center"/>
          </w:tcPr>
          <w:p w14:paraId="69CFB036" w14:textId="77777777" w:rsidR="00D60673" w:rsidRPr="00CD0358" w:rsidRDefault="00D60673" w:rsidP="00C35197">
            <w:pPr>
              <w:spacing w:after="0" w:line="240" w:lineRule="auto"/>
              <w:jc w:val="both"/>
              <w:rPr>
                <w:rFonts w:ascii="Garamond" w:eastAsia="Times New Roman" w:hAnsi="Garamond" w:cs="Times New Roman"/>
                <w:b/>
                <w:bCs/>
                <w:sz w:val="20"/>
                <w:szCs w:val="20"/>
                <w:lang w:eastAsia="en-GB"/>
              </w:rPr>
            </w:pPr>
          </w:p>
        </w:tc>
        <w:tc>
          <w:tcPr>
            <w:tcW w:w="1273" w:type="pct"/>
            <w:shd w:val="clear" w:color="auto" w:fill="C5E0B3" w:themeFill="accent6" w:themeFillTint="66"/>
            <w:vAlign w:val="center"/>
          </w:tcPr>
          <w:p w14:paraId="5FA8013A" w14:textId="77777777" w:rsidR="00D60673" w:rsidRPr="00CD0358" w:rsidRDefault="00D60673" w:rsidP="00C35197">
            <w:pPr>
              <w:spacing w:after="0" w:line="240" w:lineRule="auto"/>
              <w:jc w:val="both"/>
              <w:rPr>
                <w:rFonts w:ascii="Garamond" w:eastAsia="Times New Roman" w:hAnsi="Garamond" w:cs="Times New Roman"/>
                <w:b/>
                <w:bCs/>
                <w:sz w:val="20"/>
                <w:szCs w:val="20"/>
                <w:lang w:eastAsia="en-GB"/>
              </w:rPr>
            </w:pPr>
          </w:p>
        </w:tc>
        <w:tc>
          <w:tcPr>
            <w:tcW w:w="441" w:type="pct"/>
            <w:shd w:val="clear" w:color="auto" w:fill="C5E0B3" w:themeFill="accent6" w:themeFillTint="66"/>
          </w:tcPr>
          <w:p w14:paraId="4B43EEBA" w14:textId="1CC12951" w:rsidR="00D60673" w:rsidRPr="00CD0358" w:rsidRDefault="00D60673" w:rsidP="00C35197">
            <w:pPr>
              <w:spacing w:after="0" w:line="240" w:lineRule="auto"/>
              <w:jc w:val="both"/>
              <w:rPr>
                <w:rFonts w:ascii="Garamond" w:eastAsia="Times New Roman" w:hAnsi="Garamond" w:cs="Times New Roman"/>
                <w:b/>
                <w:bCs/>
                <w:sz w:val="20"/>
                <w:szCs w:val="20"/>
                <w:lang w:eastAsia="en-GB"/>
              </w:rPr>
            </w:pPr>
            <w:r w:rsidRPr="00CD0358">
              <w:rPr>
                <w:rFonts w:ascii="Garamond" w:eastAsia="Times New Roman" w:hAnsi="Garamond" w:cs="Times New Roman"/>
                <w:b/>
                <w:bCs/>
                <w:sz w:val="20"/>
                <w:szCs w:val="20"/>
                <w:lang w:eastAsia="en-GB"/>
              </w:rPr>
              <w:t>35</w:t>
            </w:r>
            <w:r w:rsidR="009A2ABA" w:rsidRPr="00CD0358">
              <w:rPr>
                <w:rFonts w:ascii="Garamond" w:eastAsia="Times New Roman" w:hAnsi="Garamond" w:cs="Times New Roman"/>
                <w:b/>
                <w:bCs/>
                <w:sz w:val="20"/>
                <w:szCs w:val="20"/>
                <w:lang w:eastAsia="en-GB"/>
              </w:rPr>
              <w:t>0</w:t>
            </w:r>
          </w:p>
        </w:tc>
        <w:tc>
          <w:tcPr>
            <w:tcW w:w="653" w:type="pct"/>
            <w:shd w:val="clear" w:color="auto" w:fill="C5E0B3" w:themeFill="accent6" w:themeFillTint="66"/>
          </w:tcPr>
          <w:p w14:paraId="082A3B8D" w14:textId="35CA030F" w:rsidR="00D60673" w:rsidRPr="00CD0358" w:rsidRDefault="00D60673" w:rsidP="00C35197">
            <w:pPr>
              <w:spacing w:after="0" w:line="240" w:lineRule="auto"/>
              <w:jc w:val="both"/>
              <w:rPr>
                <w:rFonts w:ascii="Garamond" w:eastAsia="Times New Roman" w:hAnsi="Garamond" w:cs="Times New Roman"/>
                <w:b/>
                <w:bCs/>
                <w:sz w:val="20"/>
                <w:szCs w:val="20"/>
                <w:lang w:eastAsia="en-GB"/>
              </w:rPr>
            </w:pPr>
            <w:r w:rsidRPr="00CD0358">
              <w:rPr>
                <w:rFonts w:ascii="Garamond" w:eastAsia="Times New Roman" w:hAnsi="Garamond" w:cs="Times New Roman"/>
                <w:b/>
                <w:bCs/>
                <w:sz w:val="20"/>
                <w:szCs w:val="20"/>
                <w:lang w:eastAsia="en-GB"/>
              </w:rPr>
              <w:t>125 (35%)</w:t>
            </w:r>
          </w:p>
        </w:tc>
      </w:tr>
    </w:tbl>
    <w:p w14:paraId="4FFC6D85" w14:textId="77777777" w:rsidR="00570362" w:rsidRDefault="00570362" w:rsidP="00C35197">
      <w:pPr>
        <w:spacing w:line="240" w:lineRule="auto"/>
        <w:jc w:val="both"/>
        <w:rPr>
          <w:rFonts w:ascii="Garamond" w:hAnsi="Garamond"/>
          <w:sz w:val="24"/>
          <w:szCs w:val="24"/>
        </w:rPr>
      </w:pPr>
    </w:p>
    <w:p w14:paraId="6418B3C1" w14:textId="6010D5A3" w:rsidR="001F2619" w:rsidRDefault="001F2619" w:rsidP="00C35197">
      <w:pPr>
        <w:spacing w:line="240" w:lineRule="auto"/>
        <w:jc w:val="both"/>
        <w:rPr>
          <w:rFonts w:ascii="Garamond" w:hAnsi="Garamond"/>
          <w:sz w:val="24"/>
          <w:szCs w:val="24"/>
        </w:rPr>
      </w:pPr>
      <w:r w:rsidRPr="00FD1110">
        <w:rPr>
          <w:rFonts w:ascii="Garamond" w:hAnsi="Garamond"/>
          <w:sz w:val="24"/>
          <w:szCs w:val="24"/>
        </w:rPr>
        <w:t xml:space="preserve">This assessment should be </w:t>
      </w:r>
      <w:r w:rsidR="005D7D3C">
        <w:rPr>
          <w:rFonts w:ascii="Garamond" w:hAnsi="Garamond"/>
          <w:sz w:val="24"/>
          <w:szCs w:val="24"/>
        </w:rPr>
        <w:t>done</w:t>
      </w:r>
      <w:r w:rsidRPr="00FD1110">
        <w:rPr>
          <w:rFonts w:ascii="Garamond" w:hAnsi="Garamond"/>
          <w:sz w:val="24"/>
          <w:szCs w:val="24"/>
        </w:rPr>
        <w:t xml:space="preserve"> in the relevant </w:t>
      </w:r>
      <w:r w:rsidR="00570362">
        <w:rPr>
          <w:rFonts w:ascii="Garamond" w:hAnsi="Garamond"/>
          <w:i/>
          <w:iCs/>
          <w:sz w:val="24"/>
          <w:szCs w:val="24"/>
        </w:rPr>
        <w:t>budget</w:t>
      </w:r>
      <w:r w:rsidRPr="007768CA">
        <w:rPr>
          <w:rFonts w:ascii="Garamond" w:hAnsi="Garamond"/>
          <w:i/>
          <w:iCs/>
          <w:sz w:val="24"/>
          <w:szCs w:val="24"/>
        </w:rPr>
        <w:t xml:space="preserve"> annex</w:t>
      </w:r>
      <w:r w:rsidR="00570362">
        <w:rPr>
          <w:rFonts w:ascii="Garamond" w:hAnsi="Garamond"/>
          <w:i/>
          <w:iCs/>
          <w:sz w:val="24"/>
          <w:szCs w:val="24"/>
        </w:rPr>
        <w:t xml:space="preserve"> on Rio Markers</w:t>
      </w:r>
      <w:r w:rsidRPr="00FD1110">
        <w:rPr>
          <w:rFonts w:ascii="Garamond" w:hAnsi="Garamond"/>
          <w:sz w:val="24"/>
          <w:szCs w:val="24"/>
        </w:rPr>
        <w:t xml:space="preserve"> of the programme document and may result in a percentage on the </w:t>
      </w:r>
      <w:r>
        <w:rPr>
          <w:rFonts w:ascii="Garamond" w:hAnsi="Garamond"/>
          <w:sz w:val="24"/>
          <w:szCs w:val="24"/>
        </w:rPr>
        <w:t xml:space="preserve">appropriation </w:t>
      </w:r>
      <w:r w:rsidRPr="00FD1110">
        <w:rPr>
          <w:rFonts w:ascii="Garamond" w:hAnsi="Garamond"/>
          <w:sz w:val="24"/>
          <w:szCs w:val="24"/>
        </w:rPr>
        <w:t>cover</w:t>
      </w:r>
      <w:r>
        <w:rPr>
          <w:rFonts w:ascii="Garamond" w:hAnsi="Garamond"/>
          <w:sz w:val="24"/>
          <w:szCs w:val="24"/>
        </w:rPr>
        <w:t xml:space="preserve"> note</w:t>
      </w:r>
      <w:r w:rsidRPr="00FD1110">
        <w:rPr>
          <w:rFonts w:ascii="Garamond" w:hAnsi="Garamond"/>
          <w:sz w:val="24"/>
          <w:szCs w:val="24"/>
        </w:rPr>
        <w:t xml:space="preserve"> </w:t>
      </w:r>
      <w:r w:rsidR="00CD0358">
        <w:rPr>
          <w:rFonts w:ascii="Garamond" w:hAnsi="Garamond"/>
          <w:sz w:val="24"/>
          <w:szCs w:val="24"/>
        </w:rPr>
        <w:t>for programme documents</w:t>
      </w:r>
      <w:r w:rsidRPr="00FD1110">
        <w:rPr>
          <w:rFonts w:ascii="Garamond" w:hAnsi="Garamond"/>
          <w:sz w:val="24"/>
          <w:szCs w:val="24"/>
        </w:rPr>
        <w:t xml:space="preserve"> that differs from the standard </w:t>
      </w:r>
      <w:r>
        <w:rPr>
          <w:rFonts w:ascii="Garamond" w:hAnsi="Garamond"/>
          <w:sz w:val="24"/>
          <w:szCs w:val="24"/>
        </w:rPr>
        <w:t xml:space="preserve">0, </w:t>
      </w:r>
      <w:r w:rsidRPr="00FD1110">
        <w:rPr>
          <w:rFonts w:ascii="Garamond" w:hAnsi="Garamond"/>
          <w:sz w:val="24"/>
          <w:szCs w:val="24"/>
        </w:rPr>
        <w:t>50% or 100%</w:t>
      </w:r>
      <w:r w:rsidR="00CF310C">
        <w:rPr>
          <w:rFonts w:ascii="Garamond" w:hAnsi="Garamond"/>
          <w:sz w:val="24"/>
          <w:szCs w:val="24"/>
        </w:rPr>
        <w:t xml:space="preserve"> as illustrated below</w:t>
      </w:r>
      <w:r w:rsidR="00CD0358">
        <w:rPr>
          <w:rFonts w:ascii="Garamond" w:hAnsi="Garamond"/>
          <w:sz w:val="24"/>
          <w:szCs w:val="24"/>
        </w:rPr>
        <w:t>:</w:t>
      </w:r>
    </w:p>
    <w:p w14:paraId="4E00711D" w14:textId="204819D6" w:rsidR="00CD0358" w:rsidRDefault="00CD0358" w:rsidP="00C35197">
      <w:pPr>
        <w:spacing w:line="240" w:lineRule="auto"/>
        <w:jc w:val="both"/>
        <w:rPr>
          <w:rFonts w:ascii="Garamond" w:hAnsi="Garamond"/>
          <w:iCs/>
          <w:sz w:val="24"/>
          <w:szCs w:val="24"/>
        </w:rPr>
      </w:pPr>
      <w:r w:rsidRPr="00CD0358">
        <w:rPr>
          <w:rFonts w:ascii="Garamond" w:hAnsi="Garamond"/>
          <w:noProof/>
          <w:sz w:val="24"/>
          <w:szCs w:val="24"/>
        </w:rPr>
        <w:lastRenderedPageBreak/>
        <w:drawing>
          <wp:inline distT="0" distB="0" distL="0" distR="0" wp14:anchorId="4DB03914" wp14:editId="7C8A9BAA">
            <wp:extent cx="5715798" cy="543001"/>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15798" cy="543001"/>
                    </a:xfrm>
                    <a:prstGeom prst="rect">
                      <a:avLst/>
                    </a:prstGeom>
                  </pic:spPr>
                </pic:pic>
              </a:graphicData>
            </a:graphic>
          </wp:inline>
        </w:drawing>
      </w:r>
    </w:p>
    <w:p w14:paraId="2AEEEC7C" w14:textId="45224010" w:rsidR="00FF5560" w:rsidRPr="00425007" w:rsidRDefault="00FF5560" w:rsidP="00C35197">
      <w:pPr>
        <w:spacing w:line="240" w:lineRule="auto"/>
        <w:jc w:val="both"/>
        <w:rPr>
          <w:rFonts w:ascii="Garamond" w:hAnsi="Garamond"/>
          <w:i/>
          <w:sz w:val="24"/>
          <w:szCs w:val="24"/>
        </w:rPr>
      </w:pPr>
      <w:r w:rsidRPr="0050149E">
        <w:rPr>
          <w:rFonts w:ascii="Garamond" w:hAnsi="Garamond"/>
          <w:iCs/>
          <w:sz w:val="24"/>
          <w:szCs w:val="24"/>
        </w:rPr>
        <w:t>1</w:t>
      </w:r>
      <w:r w:rsidR="001F2619">
        <w:rPr>
          <w:rFonts w:ascii="Garamond" w:hAnsi="Garamond"/>
          <w:iCs/>
          <w:sz w:val="24"/>
          <w:szCs w:val="24"/>
        </w:rPr>
        <w:t>7.</w:t>
      </w:r>
      <w:r w:rsidRPr="00425007">
        <w:rPr>
          <w:rFonts w:ascii="Garamond" w:hAnsi="Garamond"/>
          <w:i/>
          <w:sz w:val="24"/>
          <w:szCs w:val="24"/>
        </w:rPr>
        <w:t xml:space="preserve"> How to calculate the climate finance share when both climate adaptation and mitigation are scored 1 or 2:</w:t>
      </w:r>
    </w:p>
    <w:p w14:paraId="3DE2517C" w14:textId="2011738B" w:rsidR="00FF5560" w:rsidRPr="00C35197" w:rsidRDefault="00FF5560" w:rsidP="00C35197">
      <w:pPr>
        <w:spacing w:line="240" w:lineRule="auto"/>
        <w:jc w:val="both"/>
        <w:rPr>
          <w:rFonts w:ascii="Garamond" w:hAnsi="Garamond"/>
          <w:sz w:val="24"/>
          <w:szCs w:val="24"/>
        </w:rPr>
      </w:pPr>
      <w:r w:rsidRPr="00C35197">
        <w:rPr>
          <w:rFonts w:ascii="Garamond" w:hAnsi="Garamond"/>
          <w:sz w:val="24"/>
          <w:szCs w:val="24"/>
        </w:rPr>
        <w:t>Rio marker matrix table showing the “Type of Support” (</w:t>
      </w:r>
      <w:r w:rsidR="001E7912">
        <w:rPr>
          <w:rFonts w:ascii="Garamond" w:hAnsi="Garamond"/>
          <w:sz w:val="24"/>
          <w:szCs w:val="24"/>
        </w:rPr>
        <w:t>Italic</w:t>
      </w:r>
      <w:r w:rsidRPr="00C35197">
        <w:rPr>
          <w:rFonts w:ascii="Garamond" w:hAnsi="Garamond"/>
          <w:sz w:val="24"/>
          <w:szCs w:val="24"/>
        </w:rPr>
        <w:t xml:space="preserve"> text) resulting from all Rio marker combinations, and the subsequent climate finance coefficient percentage. The total amount of climate finance reported will never exceed 100% of the project’s budget.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2129"/>
        <w:gridCol w:w="2129"/>
        <w:gridCol w:w="2129"/>
      </w:tblGrid>
      <w:tr w:rsidR="00FF5560" w:rsidRPr="00C35197" w14:paraId="259BF7CF" w14:textId="77777777" w:rsidTr="001C11EF">
        <w:trPr>
          <w:jc w:val="center"/>
        </w:trPr>
        <w:tc>
          <w:tcPr>
            <w:tcW w:w="2129" w:type="dxa"/>
            <w:shd w:val="clear" w:color="auto" w:fill="E2EFD9" w:themeFill="accent6" w:themeFillTint="33"/>
          </w:tcPr>
          <w:p w14:paraId="2AF31DF6" w14:textId="77777777" w:rsidR="00FF5560" w:rsidRPr="00C35197" w:rsidRDefault="00FF5560" w:rsidP="00C35197">
            <w:pPr>
              <w:widowControl w:val="0"/>
              <w:autoSpaceDE w:val="0"/>
              <w:autoSpaceDN w:val="0"/>
              <w:adjustRightInd w:val="0"/>
              <w:spacing w:after="0" w:line="240" w:lineRule="auto"/>
              <w:jc w:val="center"/>
              <w:rPr>
                <w:rFonts w:ascii="Garamond" w:eastAsia="MS Mincho" w:hAnsi="Garamond" w:cs="Calibri"/>
                <w:b/>
                <w:bCs/>
                <w:color w:val="000000"/>
                <w:sz w:val="24"/>
                <w:szCs w:val="24"/>
                <w:lang w:val="en-US"/>
              </w:rPr>
            </w:pPr>
            <w:r w:rsidRPr="00C35197">
              <w:rPr>
                <w:rFonts w:ascii="Garamond" w:eastAsia="MS Mincho" w:hAnsi="Garamond" w:cs="Calibri"/>
                <w:b/>
                <w:bCs/>
                <w:color w:val="000000"/>
                <w:sz w:val="24"/>
                <w:szCs w:val="24"/>
                <w:lang w:val="en-US"/>
              </w:rPr>
              <w:t>Rio markers scores</w:t>
            </w:r>
          </w:p>
        </w:tc>
        <w:tc>
          <w:tcPr>
            <w:tcW w:w="2129" w:type="dxa"/>
            <w:shd w:val="clear" w:color="auto" w:fill="E2EFD9" w:themeFill="accent6" w:themeFillTint="33"/>
          </w:tcPr>
          <w:p w14:paraId="4BD13E72" w14:textId="77777777" w:rsidR="00FF5560" w:rsidRPr="00C35197" w:rsidRDefault="00FF5560" w:rsidP="00C35197">
            <w:pPr>
              <w:widowControl w:val="0"/>
              <w:autoSpaceDE w:val="0"/>
              <w:autoSpaceDN w:val="0"/>
              <w:adjustRightInd w:val="0"/>
              <w:spacing w:after="0" w:line="240" w:lineRule="auto"/>
              <w:jc w:val="center"/>
              <w:rPr>
                <w:rFonts w:ascii="Garamond" w:eastAsia="MS Mincho" w:hAnsi="Garamond" w:cs="Calibri"/>
                <w:b/>
                <w:bCs/>
                <w:color w:val="000000"/>
                <w:sz w:val="24"/>
                <w:szCs w:val="24"/>
                <w:lang w:val="en-US"/>
              </w:rPr>
            </w:pPr>
            <w:r w:rsidRPr="00C35197">
              <w:rPr>
                <w:rFonts w:ascii="Garamond" w:eastAsia="MS Mincho" w:hAnsi="Garamond" w:cs="Calibri"/>
                <w:b/>
                <w:bCs/>
                <w:color w:val="000000"/>
                <w:sz w:val="24"/>
                <w:szCs w:val="24"/>
                <w:lang w:val="en-US"/>
              </w:rPr>
              <w:t>Mitigation “0”</w:t>
            </w:r>
          </w:p>
        </w:tc>
        <w:tc>
          <w:tcPr>
            <w:tcW w:w="2129" w:type="dxa"/>
            <w:shd w:val="clear" w:color="auto" w:fill="E2EFD9" w:themeFill="accent6" w:themeFillTint="33"/>
          </w:tcPr>
          <w:p w14:paraId="355575F7" w14:textId="77777777" w:rsidR="00FF5560" w:rsidRPr="00C35197" w:rsidRDefault="00FF5560" w:rsidP="00C35197">
            <w:pPr>
              <w:widowControl w:val="0"/>
              <w:autoSpaceDE w:val="0"/>
              <w:autoSpaceDN w:val="0"/>
              <w:adjustRightInd w:val="0"/>
              <w:spacing w:after="0" w:line="240" w:lineRule="auto"/>
              <w:jc w:val="center"/>
              <w:rPr>
                <w:rFonts w:ascii="Garamond" w:eastAsia="MS Mincho" w:hAnsi="Garamond" w:cs="Calibri"/>
                <w:b/>
                <w:bCs/>
                <w:color w:val="000000"/>
                <w:sz w:val="24"/>
                <w:szCs w:val="24"/>
                <w:lang w:val="en-US"/>
              </w:rPr>
            </w:pPr>
            <w:r w:rsidRPr="00C35197">
              <w:rPr>
                <w:rFonts w:ascii="Garamond" w:eastAsia="MS Mincho" w:hAnsi="Garamond" w:cs="Calibri"/>
                <w:b/>
                <w:bCs/>
                <w:color w:val="000000"/>
                <w:sz w:val="24"/>
                <w:szCs w:val="24"/>
                <w:lang w:val="en-US"/>
              </w:rPr>
              <w:t>Mitigation “1”</w:t>
            </w:r>
          </w:p>
        </w:tc>
        <w:tc>
          <w:tcPr>
            <w:tcW w:w="2129" w:type="dxa"/>
            <w:shd w:val="clear" w:color="auto" w:fill="E2EFD9" w:themeFill="accent6" w:themeFillTint="33"/>
          </w:tcPr>
          <w:p w14:paraId="2A9B5F18" w14:textId="77777777" w:rsidR="00FF5560" w:rsidRPr="00C35197" w:rsidRDefault="00FF5560" w:rsidP="00C35197">
            <w:pPr>
              <w:widowControl w:val="0"/>
              <w:autoSpaceDE w:val="0"/>
              <w:autoSpaceDN w:val="0"/>
              <w:adjustRightInd w:val="0"/>
              <w:spacing w:after="0" w:line="240" w:lineRule="auto"/>
              <w:jc w:val="center"/>
              <w:rPr>
                <w:rFonts w:ascii="Garamond" w:eastAsia="MS Mincho" w:hAnsi="Garamond" w:cs="Calibri"/>
                <w:b/>
                <w:bCs/>
                <w:color w:val="000000"/>
                <w:sz w:val="24"/>
                <w:szCs w:val="24"/>
                <w:lang w:val="en-US"/>
              </w:rPr>
            </w:pPr>
            <w:r w:rsidRPr="00C35197">
              <w:rPr>
                <w:rFonts w:ascii="Garamond" w:eastAsia="MS Mincho" w:hAnsi="Garamond" w:cs="Calibri"/>
                <w:b/>
                <w:bCs/>
                <w:color w:val="000000"/>
                <w:sz w:val="24"/>
                <w:szCs w:val="24"/>
                <w:lang w:val="en-US"/>
              </w:rPr>
              <w:t>Mitigation “2”</w:t>
            </w:r>
          </w:p>
        </w:tc>
      </w:tr>
      <w:tr w:rsidR="00FF5560" w:rsidRPr="00C35197" w14:paraId="578A6F58" w14:textId="77777777" w:rsidTr="001C11EF">
        <w:trPr>
          <w:jc w:val="center"/>
        </w:trPr>
        <w:tc>
          <w:tcPr>
            <w:tcW w:w="2129" w:type="dxa"/>
            <w:shd w:val="clear" w:color="auto" w:fill="E2EFD9" w:themeFill="accent6" w:themeFillTint="33"/>
          </w:tcPr>
          <w:p w14:paraId="6B7E7CBD" w14:textId="77777777" w:rsidR="00FF5560" w:rsidRPr="00C35197" w:rsidRDefault="00FF5560" w:rsidP="00C35197">
            <w:pPr>
              <w:widowControl w:val="0"/>
              <w:autoSpaceDE w:val="0"/>
              <w:autoSpaceDN w:val="0"/>
              <w:adjustRightInd w:val="0"/>
              <w:spacing w:after="0" w:line="240" w:lineRule="auto"/>
              <w:jc w:val="center"/>
              <w:rPr>
                <w:rFonts w:ascii="Garamond" w:eastAsia="MS Mincho" w:hAnsi="Garamond" w:cs="Calibri"/>
                <w:b/>
                <w:bCs/>
                <w:color w:val="000000"/>
                <w:sz w:val="24"/>
                <w:szCs w:val="24"/>
                <w:lang w:val="en-US"/>
              </w:rPr>
            </w:pPr>
            <w:r w:rsidRPr="00C35197">
              <w:rPr>
                <w:rFonts w:ascii="Garamond" w:eastAsia="MS Mincho" w:hAnsi="Garamond" w:cs="Calibri"/>
                <w:b/>
                <w:bCs/>
                <w:color w:val="000000"/>
                <w:sz w:val="24"/>
                <w:szCs w:val="24"/>
                <w:lang w:val="en-US"/>
              </w:rPr>
              <w:t>Adaptation “0”</w:t>
            </w:r>
          </w:p>
        </w:tc>
        <w:tc>
          <w:tcPr>
            <w:tcW w:w="2129" w:type="dxa"/>
            <w:shd w:val="clear" w:color="auto" w:fill="auto"/>
          </w:tcPr>
          <w:p w14:paraId="6E8455DE" w14:textId="77777777" w:rsidR="00FF5560" w:rsidRPr="006E3678" w:rsidRDefault="00FF5560" w:rsidP="00C35197">
            <w:pPr>
              <w:widowControl w:val="0"/>
              <w:autoSpaceDE w:val="0"/>
              <w:autoSpaceDN w:val="0"/>
              <w:adjustRightInd w:val="0"/>
              <w:spacing w:after="0" w:line="240" w:lineRule="auto"/>
              <w:jc w:val="center"/>
              <w:rPr>
                <w:rFonts w:ascii="Garamond" w:eastAsia="MS Mincho" w:hAnsi="Garamond" w:cs="Calibri"/>
                <w:color w:val="000000" w:themeColor="text1"/>
                <w:sz w:val="24"/>
                <w:szCs w:val="24"/>
                <w:lang w:val="en-US"/>
              </w:rPr>
            </w:pPr>
            <w:r w:rsidRPr="006E3678">
              <w:rPr>
                <w:rFonts w:ascii="Garamond" w:eastAsia="MS Mincho" w:hAnsi="Garamond" w:cs="Calibri"/>
                <w:i/>
                <w:iCs/>
                <w:color w:val="000000" w:themeColor="text1"/>
                <w:sz w:val="24"/>
                <w:szCs w:val="24"/>
                <w:lang w:val="en-US"/>
              </w:rPr>
              <w:t>Not relevant</w:t>
            </w:r>
            <w:r w:rsidRPr="006E3678">
              <w:rPr>
                <w:rFonts w:ascii="Garamond" w:eastAsia="MS Mincho" w:hAnsi="Garamond" w:cs="Calibri"/>
                <w:color w:val="000000" w:themeColor="text1"/>
                <w:sz w:val="24"/>
                <w:szCs w:val="24"/>
                <w:lang w:val="en-US"/>
              </w:rPr>
              <w:t>: 0% of budget</w:t>
            </w:r>
          </w:p>
        </w:tc>
        <w:tc>
          <w:tcPr>
            <w:tcW w:w="2129" w:type="dxa"/>
            <w:shd w:val="clear" w:color="auto" w:fill="auto"/>
          </w:tcPr>
          <w:p w14:paraId="65DF258D" w14:textId="21E41F35" w:rsidR="00FF5560" w:rsidRPr="006E3678" w:rsidRDefault="00FF5560" w:rsidP="00C35197">
            <w:pPr>
              <w:widowControl w:val="0"/>
              <w:autoSpaceDE w:val="0"/>
              <w:autoSpaceDN w:val="0"/>
              <w:adjustRightInd w:val="0"/>
              <w:spacing w:after="0" w:line="240" w:lineRule="auto"/>
              <w:jc w:val="center"/>
              <w:rPr>
                <w:rFonts w:ascii="Garamond" w:eastAsia="MS Mincho" w:hAnsi="Garamond" w:cs="Calibri"/>
                <w:color w:val="000000" w:themeColor="text1"/>
                <w:sz w:val="24"/>
                <w:szCs w:val="24"/>
                <w:lang w:val="en-US"/>
              </w:rPr>
            </w:pPr>
            <w:r w:rsidRPr="006E3678">
              <w:rPr>
                <w:rFonts w:ascii="Garamond" w:eastAsia="MS Mincho" w:hAnsi="Garamond" w:cs="Calibri"/>
                <w:i/>
                <w:iCs/>
                <w:color w:val="000000" w:themeColor="text1"/>
                <w:sz w:val="24"/>
                <w:szCs w:val="24"/>
                <w:lang w:val="en-US"/>
              </w:rPr>
              <w:t>Mitigation</w:t>
            </w:r>
            <w:r w:rsidRPr="006E3678">
              <w:rPr>
                <w:rFonts w:ascii="Garamond" w:eastAsia="MS Mincho" w:hAnsi="Garamond" w:cs="Calibri"/>
                <w:color w:val="000000" w:themeColor="text1"/>
                <w:sz w:val="24"/>
                <w:szCs w:val="24"/>
                <w:lang w:val="en-US"/>
              </w:rPr>
              <w:t xml:space="preserve">: </w:t>
            </w:r>
            <w:r w:rsidR="008547B9" w:rsidRPr="006E3678">
              <w:rPr>
                <w:rFonts w:ascii="Garamond" w:eastAsia="MS Mincho" w:hAnsi="Garamond" w:cs="Calibri"/>
                <w:color w:val="000000" w:themeColor="text1"/>
                <w:sz w:val="24"/>
                <w:szCs w:val="24"/>
                <w:lang w:val="en-US"/>
              </w:rPr>
              <w:t>5</w:t>
            </w:r>
            <w:r w:rsidRPr="006E3678">
              <w:rPr>
                <w:rFonts w:ascii="Garamond" w:eastAsia="MS Mincho" w:hAnsi="Garamond" w:cs="Calibri"/>
                <w:color w:val="000000" w:themeColor="text1"/>
                <w:sz w:val="24"/>
                <w:szCs w:val="24"/>
                <w:lang w:val="en-US"/>
              </w:rPr>
              <w:t xml:space="preserve">0% of budget </w:t>
            </w:r>
          </w:p>
        </w:tc>
        <w:tc>
          <w:tcPr>
            <w:tcW w:w="2129" w:type="dxa"/>
            <w:shd w:val="clear" w:color="auto" w:fill="auto"/>
          </w:tcPr>
          <w:p w14:paraId="3CB06E76" w14:textId="77777777" w:rsidR="00FF5560" w:rsidRPr="006E3678" w:rsidRDefault="00FF5560" w:rsidP="00C35197">
            <w:pPr>
              <w:widowControl w:val="0"/>
              <w:autoSpaceDE w:val="0"/>
              <w:autoSpaceDN w:val="0"/>
              <w:adjustRightInd w:val="0"/>
              <w:spacing w:after="0" w:line="240" w:lineRule="auto"/>
              <w:jc w:val="center"/>
              <w:rPr>
                <w:rFonts w:ascii="Garamond" w:eastAsia="MS Mincho" w:hAnsi="Garamond" w:cs="Calibri"/>
                <w:color w:val="000000" w:themeColor="text1"/>
                <w:sz w:val="24"/>
                <w:szCs w:val="24"/>
                <w:lang w:val="en-US"/>
              </w:rPr>
            </w:pPr>
            <w:r w:rsidRPr="006E3678">
              <w:rPr>
                <w:rFonts w:ascii="Garamond" w:eastAsia="MS Mincho" w:hAnsi="Garamond" w:cs="Calibri"/>
                <w:i/>
                <w:iCs/>
                <w:color w:val="000000" w:themeColor="text1"/>
                <w:sz w:val="24"/>
                <w:szCs w:val="24"/>
                <w:lang w:val="en-US"/>
              </w:rPr>
              <w:t>Mitigation</w:t>
            </w:r>
            <w:r w:rsidRPr="006E3678">
              <w:rPr>
                <w:rFonts w:ascii="Garamond" w:eastAsia="MS Mincho" w:hAnsi="Garamond" w:cs="Calibri"/>
                <w:color w:val="000000" w:themeColor="text1"/>
                <w:sz w:val="24"/>
                <w:szCs w:val="24"/>
                <w:lang w:val="en-US"/>
              </w:rPr>
              <w:t>: 100% of budget</w:t>
            </w:r>
          </w:p>
        </w:tc>
      </w:tr>
      <w:tr w:rsidR="00FF5560" w:rsidRPr="00C35197" w14:paraId="37C29AC0" w14:textId="77777777" w:rsidTr="001C11EF">
        <w:trPr>
          <w:jc w:val="center"/>
        </w:trPr>
        <w:tc>
          <w:tcPr>
            <w:tcW w:w="2129" w:type="dxa"/>
            <w:shd w:val="clear" w:color="auto" w:fill="E2EFD9" w:themeFill="accent6" w:themeFillTint="33"/>
          </w:tcPr>
          <w:p w14:paraId="74DE71EF" w14:textId="77777777" w:rsidR="00FF5560" w:rsidRPr="00C35197" w:rsidRDefault="00FF5560" w:rsidP="00C35197">
            <w:pPr>
              <w:widowControl w:val="0"/>
              <w:autoSpaceDE w:val="0"/>
              <w:autoSpaceDN w:val="0"/>
              <w:adjustRightInd w:val="0"/>
              <w:spacing w:after="0" w:line="240" w:lineRule="auto"/>
              <w:jc w:val="center"/>
              <w:rPr>
                <w:rFonts w:ascii="Garamond" w:eastAsia="MS Mincho" w:hAnsi="Garamond" w:cs="Calibri"/>
                <w:b/>
                <w:bCs/>
                <w:color w:val="000000"/>
                <w:sz w:val="24"/>
                <w:szCs w:val="24"/>
                <w:lang w:val="en-US"/>
              </w:rPr>
            </w:pPr>
            <w:r w:rsidRPr="00C35197">
              <w:rPr>
                <w:rFonts w:ascii="Garamond" w:eastAsia="MS Mincho" w:hAnsi="Garamond" w:cs="Calibri"/>
                <w:b/>
                <w:bCs/>
                <w:color w:val="000000"/>
                <w:sz w:val="24"/>
                <w:szCs w:val="24"/>
                <w:lang w:val="en-US"/>
              </w:rPr>
              <w:t>Adaptation “1”</w:t>
            </w:r>
          </w:p>
        </w:tc>
        <w:tc>
          <w:tcPr>
            <w:tcW w:w="2129" w:type="dxa"/>
            <w:shd w:val="clear" w:color="auto" w:fill="auto"/>
          </w:tcPr>
          <w:p w14:paraId="14C5DE67" w14:textId="478DF60A" w:rsidR="00FF5560" w:rsidRPr="006E3678" w:rsidRDefault="00FF5560" w:rsidP="00C35197">
            <w:pPr>
              <w:widowControl w:val="0"/>
              <w:autoSpaceDE w:val="0"/>
              <w:autoSpaceDN w:val="0"/>
              <w:adjustRightInd w:val="0"/>
              <w:spacing w:after="0" w:line="240" w:lineRule="auto"/>
              <w:jc w:val="center"/>
              <w:rPr>
                <w:rFonts w:ascii="Garamond" w:eastAsia="MS Mincho" w:hAnsi="Garamond" w:cs="Calibri"/>
                <w:color w:val="000000" w:themeColor="text1"/>
                <w:sz w:val="24"/>
                <w:szCs w:val="24"/>
                <w:lang w:val="en-US"/>
              </w:rPr>
            </w:pPr>
            <w:r w:rsidRPr="006E3678">
              <w:rPr>
                <w:rFonts w:ascii="Garamond" w:eastAsia="MS Mincho" w:hAnsi="Garamond" w:cs="Calibri"/>
                <w:i/>
                <w:iCs/>
                <w:color w:val="000000" w:themeColor="text1"/>
                <w:sz w:val="24"/>
                <w:szCs w:val="24"/>
                <w:lang w:val="en-US"/>
              </w:rPr>
              <w:t>Adaptation</w:t>
            </w:r>
            <w:r w:rsidRPr="006E3678">
              <w:rPr>
                <w:rFonts w:ascii="Garamond" w:eastAsia="MS Mincho" w:hAnsi="Garamond" w:cs="Calibri"/>
                <w:color w:val="000000" w:themeColor="text1"/>
                <w:sz w:val="24"/>
                <w:szCs w:val="24"/>
                <w:lang w:val="en-US"/>
              </w:rPr>
              <w:t xml:space="preserve">: </w:t>
            </w:r>
            <w:r w:rsidR="008547B9" w:rsidRPr="006E3678">
              <w:rPr>
                <w:rFonts w:ascii="Garamond" w:eastAsia="MS Mincho" w:hAnsi="Garamond" w:cs="Calibri"/>
                <w:color w:val="000000" w:themeColor="text1"/>
                <w:sz w:val="24"/>
                <w:szCs w:val="24"/>
                <w:lang w:val="en-US"/>
              </w:rPr>
              <w:t>5</w:t>
            </w:r>
            <w:r w:rsidRPr="006E3678">
              <w:rPr>
                <w:rFonts w:ascii="Garamond" w:eastAsia="MS Mincho" w:hAnsi="Garamond" w:cs="Calibri"/>
                <w:color w:val="000000" w:themeColor="text1"/>
                <w:sz w:val="24"/>
                <w:szCs w:val="24"/>
                <w:lang w:val="en-US"/>
              </w:rPr>
              <w:t>0% of budget</w:t>
            </w:r>
          </w:p>
        </w:tc>
        <w:tc>
          <w:tcPr>
            <w:tcW w:w="2129" w:type="dxa"/>
            <w:shd w:val="clear" w:color="auto" w:fill="auto"/>
          </w:tcPr>
          <w:p w14:paraId="05F1E392" w14:textId="2C24C9E8" w:rsidR="00FF5560" w:rsidRPr="006E3678" w:rsidRDefault="00FF5560" w:rsidP="00C35197">
            <w:pPr>
              <w:widowControl w:val="0"/>
              <w:autoSpaceDE w:val="0"/>
              <w:autoSpaceDN w:val="0"/>
              <w:adjustRightInd w:val="0"/>
              <w:spacing w:after="0" w:line="240" w:lineRule="auto"/>
              <w:jc w:val="center"/>
              <w:rPr>
                <w:rFonts w:ascii="Garamond" w:eastAsia="MS Mincho" w:hAnsi="Garamond" w:cs="Calibri"/>
                <w:color w:val="000000" w:themeColor="text1"/>
                <w:sz w:val="24"/>
                <w:szCs w:val="24"/>
                <w:lang w:val="en-US"/>
              </w:rPr>
            </w:pPr>
            <w:r w:rsidRPr="006E3678">
              <w:rPr>
                <w:rFonts w:ascii="Garamond" w:eastAsia="MS Mincho" w:hAnsi="Garamond" w:cs="Calibri"/>
                <w:i/>
                <w:iCs/>
                <w:color w:val="000000" w:themeColor="text1"/>
                <w:sz w:val="24"/>
                <w:szCs w:val="24"/>
                <w:lang w:val="en-US"/>
              </w:rPr>
              <w:t>Cross-cutting</w:t>
            </w:r>
            <w:r w:rsidRPr="006E3678">
              <w:rPr>
                <w:rFonts w:ascii="Garamond" w:eastAsia="MS Mincho" w:hAnsi="Garamond" w:cs="Calibri"/>
                <w:color w:val="000000" w:themeColor="text1"/>
                <w:sz w:val="24"/>
                <w:szCs w:val="24"/>
                <w:lang w:val="en-US"/>
              </w:rPr>
              <w:t xml:space="preserve">: </w:t>
            </w:r>
            <w:r w:rsidR="008547B9" w:rsidRPr="006E3678">
              <w:rPr>
                <w:rFonts w:ascii="Garamond" w:eastAsia="MS Mincho" w:hAnsi="Garamond" w:cs="Calibri"/>
                <w:color w:val="000000" w:themeColor="text1"/>
                <w:sz w:val="24"/>
                <w:szCs w:val="24"/>
                <w:lang w:val="en-US"/>
              </w:rPr>
              <w:t>5</w:t>
            </w:r>
            <w:r w:rsidRPr="006E3678">
              <w:rPr>
                <w:rFonts w:ascii="Garamond" w:eastAsia="MS Mincho" w:hAnsi="Garamond" w:cs="Calibri"/>
                <w:color w:val="000000" w:themeColor="text1"/>
                <w:sz w:val="24"/>
                <w:szCs w:val="24"/>
                <w:lang w:val="en-US"/>
              </w:rPr>
              <w:t>0% of budget</w:t>
            </w:r>
          </w:p>
        </w:tc>
        <w:tc>
          <w:tcPr>
            <w:tcW w:w="2129" w:type="dxa"/>
            <w:shd w:val="clear" w:color="auto" w:fill="auto"/>
          </w:tcPr>
          <w:p w14:paraId="2BB41CD3" w14:textId="77777777" w:rsidR="00FF5560" w:rsidRPr="006E3678" w:rsidRDefault="00FF5560" w:rsidP="00C35197">
            <w:pPr>
              <w:widowControl w:val="0"/>
              <w:autoSpaceDE w:val="0"/>
              <w:autoSpaceDN w:val="0"/>
              <w:adjustRightInd w:val="0"/>
              <w:spacing w:after="0" w:line="240" w:lineRule="auto"/>
              <w:jc w:val="center"/>
              <w:rPr>
                <w:rFonts w:ascii="Garamond" w:eastAsia="MS Mincho" w:hAnsi="Garamond" w:cs="Calibri"/>
                <w:color w:val="000000" w:themeColor="text1"/>
                <w:sz w:val="24"/>
                <w:szCs w:val="24"/>
                <w:lang w:val="en-US"/>
              </w:rPr>
            </w:pPr>
            <w:r w:rsidRPr="006E3678">
              <w:rPr>
                <w:rFonts w:ascii="Garamond" w:eastAsia="MS Mincho" w:hAnsi="Garamond" w:cs="Calibri"/>
                <w:i/>
                <w:iCs/>
                <w:color w:val="000000" w:themeColor="text1"/>
                <w:sz w:val="24"/>
                <w:szCs w:val="24"/>
                <w:lang w:val="en-US"/>
              </w:rPr>
              <w:t>Mitigation</w:t>
            </w:r>
            <w:r w:rsidRPr="006E3678">
              <w:rPr>
                <w:rFonts w:ascii="Garamond" w:eastAsia="MS Mincho" w:hAnsi="Garamond" w:cs="Calibri"/>
                <w:color w:val="000000" w:themeColor="text1"/>
                <w:sz w:val="24"/>
                <w:szCs w:val="24"/>
                <w:lang w:val="en-US"/>
              </w:rPr>
              <w:t>: 100% of budget</w:t>
            </w:r>
          </w:p>
        </w:tc>
      </w:tr>
      <w:tr w:rsidR="00FF5560" w:rsidRPr="00C35197" w14:paraId="7510D747" w14:textId="77777777" w:rsidTr="001C11EF">
        <w:trPr>
          <w:jc w:val="center"/>
        </w:trPr>
        <w:tc>
          <w:tcPr>
            <w:tcW w:w="2129" w:type="dxa"/>
            <w:shd w:val="clear" w:color="auto" w:fill="E2EFD9" w:themeFill="accent6" w:themeFillTint="33"/>
          </w:tcPr>
          <w:p w14:paraId="3FB79842" w14:textId="77777777" w:rsidR="00FF5560" w:rsidRPr="00C35197" w:rsidRDefault="00FF5560" w:rsidP="00C35197">
            <w:pPr>
              <w:widowControl w:val="0"/>
              <w:autoSpaceDE w:val="0"/>
              <w:autoSpaceDN w:val="0"/>
              <w:adjustRightInd w:val="0"/>
              <w:spacing w:after="0" w:line="240" w:lineRule="auto"/>
              <w:jc w:val="center"/>
              <w:rPr>
                <w:rFonts w:ascii="Garamond" w:eastAsia="MS Mincho" w:hAnsi="Garamond" w:cs="Calibri"/>
                <w:b/>
                <w:bCs/>
                <w:color w:val="000000"/>
                <w:sz w:val="24"/>
                <w:szCs w:val="24"/>
                <w:lang w:val="en-US"/>
              </w:rPr>
            </w:pPr>
            <w:r w:rsidRPr="00C35197">
              <w:rPr>
                <w:rFonts w:ascii="Garamond" w:eastAsia="MS Mincho" w:hAnsi="Garamond" w:cs="Calibri"/>
                <w:b/>
                <w:bCs/>
                <w:color w:val="000000"/>
                <w:sz w:val="24"/>
                <w:szCs w:val="24"/>
                <w:lang w:val="en-US"/>
              </w:rPr>
              <w:t>Adaptation “2”</w:t>
            </w:r>
          </w:p>
        </w:tc>
        <w:tc>
          <w:tcPr>
            <w:tcW w:w="2129" w:type="dxa"/>
            <w:shd w:val="clear" w:color="auto" w:fill="auto"/>
          </w:tcPr>
          <w:p w14:paraId="0158F405" w14:textId="77777777" w:rsidR="00FF5560" w:rsidRPr="006E3678" w:rsidRDefault="00FF5560" w:rsidP="00C35197">
            <w:pPr>
              <w:widowControl w:val="0"/>
              <w:autoSpaceDE w:val="0"/>
              <w:autoSpaceDN w:val="0"/>
              <w:adjustRightInd w:val="0"/>
              <w:spacing w:after="0" w:line="240" w:lineRule="auto"/>
              <w:jc w:val="center"/>
              <w:rPr>
                <w:rFonts w:ascii="Garamond" w:eastAsia="MS Mincho" w:hAnsi="Garamond" w:cs="Calibri"/>
                <w:color w:val="000000" w:themeColor="text1"/>
                <w:sz w:val="24"/>
                <w:szCs w:val="24"/>
                <w:lang w:val="en-US"/>
              </w:rPr>
            </w:pPr>
            <w:r w:rsidRPr="006E3678">
              <w:rPr>
                <w:rFonts w:ascii="Garamond" w:eastAsia="MS Mincho" w:hAnsi="Garamond" w:cs="Calibri"/>
                <w:i/>
                <w:iCs/>
                <w:color w:val="000000" w:themeColor="text1"/>
                <w:sz w:val="24"/>
                <w:szCs w:val="24"/>
                <w:lang w:val="en-US"/>
              </w:rPr>
              <w:t>Adaptation</w:t>
            </w:r>
            <w:r w:rsidRPr="006E3678">
              <w:rPr>
                <w:rFonts w:ascii="Garamond" w:eastAsia="MS Mincho" w:hAnsi="Garamond" w:cs="Calibri"/>
                <w:color w:val="000000" w:themeColor="text1"/>
                <w:sz w:val="24"/>
                <w:szCs w:val="24"/>
                <w:lang w:val="en-US"/>
              </w:rPr>
              <w:t>: 100% of budget</w:t>
            </w:r>
          </w:p>
        </w:tc>
        <w:tc>
          <w:tcPr>
            <w:tcW w:w="2129" w:type="dxa"/>
            <w:shd w:val="clear" w:color="auto" w:fill="auto"/>
          </w:tcPr>
          <w:p w14:paraId="4C9627B3" w14:textId="77777777" w:rsidR="00FF5560" w:rsidRPr="006E3678" w:rsidRDefault="00FF5560" w:rsidP="00C35197">
            <w:pPr>
              <w:widowControl w:val="0"/>
              <w:autoSpaceDE w:val="0"/>
              <w:autoSpaceDN w:val="0"/>
              <w:adjustRightInd w:val="0"/>
              <w:spacing w:after="0" w:line="240" w:lineRule="auto"/>
              <w:jc w:val="center"/>
              <w:rPr>
                <w:rFonts w:ascii="Garamond" w:eastAsia="MS Mincho" w:hAnsi="Garamond" w:cs="Calibri"/>
                <w:color w:val="000000" w:themeColor="text1"/>
                <w:sz w:val="24"/>
                <w:szCs w:val="24"/>
                <w:lang w:val="en-US"/>
              </w:rPr>
            </w:pPr>
            <w:r w:rsidRPr="006E3678">
              <w:rPr>
                <w:rFonts w:ascii="Garamond" w:eastAsia="MS Mincho" w:hAnsi="Garamond" w:cs="Calibri"/>
                <w:i/>
                <w:iCs/>
                <w:color w:val="000000" w:themeColor="text1"/>
                <w:sz w:val="24"/>
                <w:szCs w:val="24"/>
                <w:lang w:val="en-US"/>
              </w:rPr>
              <w:t>Adaptation</w:t>
            </w:r>
            <w:r w:rsidRPr="006E3678">
              <w:rPr>
                <w:rFonts w:ascii="Garamond" w:eastAsia="MS Mincho" w:hAnsi="Garamond" w:cs="Calibri"/>
                <w:color w:val="000000" w:themeColor="text1"/>
                <w:sz w:val="24"/>
                <w:szCs w:val="24"/>
                <w:lang w:val="en-US"/>
              </w:rPr>
              <w:t>: 100% of budget</w:t>
            </w:r>
          </w:p>
        </w:tc>
        <w:tc>
          <w:tcPr>
            <w:tcW w:w="2129" w:type="dxa"/>
            <w:shd w:val="clear" w:color="auto" w:fill="auto"/>
          </w:tcPr>
          <w:p w14:paraId="377DED99" w14:textId="77777777" w:rsidR="00FF5560" w:rsidRPr="006E3678" w:rsidRDefault="00FF5560" w:rsidP="00C35197">
            <w:pPr>
              <w:keepNext/>
              <w:widowControl w:val="0"/>
              <w:autoSpaceDE w:val="0"/>
              <w:autoSpaceDN w:val="0"/>
              <w:adjustRightInd w:val="0"/>
              <w:spacing w:after="0" w:line="240" w:lineRule="auto"/>
              <w:jc w:val="center"/>
              <w:rPr>
                <w:rFonts w:ascii="Garamond" w:eastAsia="MS Mincho" w:hAnsi="Garamond" w:cs="Calibri"/>
                <w:color w:val="000000" w:themeColor="text1"/>
                <w:sz w:val="24"/>
                <w:szCs w:val="24"/>
                <w:lang w:val="en-US"/>
              </w:rPr>
            </w:pPr>
            <w:r w:rsidRPr="006E3678">
              <w:rPr>
                <w:rFonts w:ascii="Garamond" w:eastAsia="MS Mincho" w:hAnsi="Garamond" w:cs="Calibri"/>
                <w:i/>
                <w:iCs/>
                <w:color w:val="000000" w:themeColor="text1"/>
                <w:sz w:val="24"/>
                <w:szCs w:val="24"/>
                <w:lang w:val="en-US"/>
              </w:rPr>
              <w:t>Cross-cutting</w:t>
            </w:r>
            <w:r w:rsidRPr="006E3678">
              <w:rPr>
                <w:rFonts w:ascii="Garamond" w:eastAsia="MS Mincho" w:hAnsi="Garamond" w:cs="Calibri"/>
                <w:color w:val="000000" w:themeColor="text1"/>
                <w:sz w:val="24"/>
                <w:szCs w:val="24"/>
                <w:lang w:val="en-US"/>
              </w:rPr>
              <w:t>: 100% of budget</w:t>
            </w:r>
          </w:p>
        </w:tc>
      </w:tr>
    </w:tbl>
    <w:p w14:paraId="37324B57" w14:textId="069205A3" w:rsidR="00334847" w:rsidRPr="00C35197" w:rsidRDefault="00334847" w:rsidP="00C35197">
      <w:pPr>
        <w:spacing w:after="0" w:line="240" w:lineRule="auto"/>
        <w:contextualSpacing/>
        <w:rPr>
          <w:rFonts w:ascii="Garamond" w:hAnsi="Garamond"/>
          <w:sz w:val="24"/>
          <w:szCs w:val="24"/>
        </w:rPr>
      </w:pPr>
    </w:p>
    <w:sectPr w:rsidR="00334847" w:rsidRPr="00C35197" w:rsidSect="006A071A">
      <w:foot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EB5CA" w14:textId="77777777" w:rsidR="00181656" w:rsidRDefault="00181656" w:rsidP="00E1542D">
      <w:pPr>
        <w:spacing w:after="0" w:line="240" w:lineRule="auto"/>
      </w:pPr>
      <w:r>
        <w:separator/>
      </w:r>
    </w:p>
  </w:endnote>
  <w:endnote w:type="continuationSeparator" w:id="0">
    <w:p w14:paraId="685473D7" w14:textId="77777777" w:rsidR="00181656" w:rsidRDefault="00181656" w:rsidP="00E1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ierstadt">
    <w:altName w:val="Bierstadt"/>
    <w:charset w:val="00"/>
    <w:family w:val="swiss"/>
    <w:pitch w:val="variable"/>
    <w:sig w:usb0="80000003" w:usb1="00000001"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438791"/>
      <w:docPartObj>
        <w:docPartGallery w:val="Page Numbers (Bottom of Page)"/>
        <w:docPartUnique/>
      </w:docPartObj>
    </w:sdtPr>
    <w:sdtEndPr>
      <w:rPr>
        <w:rFonts w:ascii="Garamond" w:hAnsi="Garamond"/>
        <w:noProof/>
      </w:rPr>
    </w:sdtEndPr>
    <w:sdtContent>
      <w:p w14:paraId="32AAC81B" w14:textId="64C78057" w:rsidR="00860787" w:rsidRPr="00C35197" w:rsidRDefault="00860787">
        <w:pPr>
          <w:pStyle w:val="Sidefod"/>
          <w:jc w:val="center"/>
          <w:rPr>
            <w:rFonts w:ascii="Garamond" w:hAnsi="Garamond"/>
          </w:rPr>
        </w:pPr>
        <w:r w:rsidRPr="00C35197">
          <w:rPr>
            <w:rFonts w:ascii="Garamond" w:hAnsi="Garamond"/>
          </w:rPr>
          <w:fldChar w:fldCharType="begin"/>
        </w:r>
        <w:r w:rsidRPr="00C35197">
          <w:rPr>
            <w:rFonts w:ascii="Garamond" w:hAnsi="Garamond"/>
          </w:rPr>
          <w:instrText xml:space="preserve"> PAGE   \* MERGEFORMAT </w:instrText>
        </w:r>
        <w:r w:rsidRPr="00C35197">
          <w:rPr>
            <w:rFonts w:ascii="Garamond" w:hAnsi="Garamond"/>
          </w:rPr>
          <w:fldChar w:fldCharType="separate"/>
        </w:r>
        <w:r w:rsidR="00297069" w:rsidRPr="00C35197">
          <w:rPr>
            <w:rFonts w:ascii="Garamond" w:hAnsi="Garamond"/>
            <w:noProof/>
          </w:rPr>
          <w:t>3</w:t>
        </w:r>
        <w:r w:rsidRPr="00C35197">
          <w:rPr>
            <w:rFonts w:ascii="Garamond" w:hAnsi="Garamond"/>
            <w:noProof/>
          </w:rPr>
          <w:fldChar w:fldCharType="end"/>
        </w:r>
      </w:p>
    </w:sdtContent>
  </w:sdt>
  <w:p w14:paraId="7AF57059" w14:textId="77777777" w:rsidR="00860787" w:rsidRDefault="0086078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022B5" w14:textId="77777777" w:rsidR="00181656" w:rsidRDefault="00181656" w:rsidP="00E1542D">
      <w:pPr>
        <w:spacing w:after="0" w:line="240" w:lineRule="auto"/>
      </w:pPr>
      <w:r>
        <w:separator/>
      </w:r>
    </w:p>
  </w:footnote>
  <w:footnote w:type="continuationSeparator" w:id="0">
    <w:p w14:paraId="46FA2DAC" w14:textId="77777777" w:rsidR="00181656" w:rsidRDefault="00181656" w:rsidP="00E1542D">
      <w:pPr>
        <w:spacing w:after="0" w:line="240" w:lineRule="auto"/>
      </w:pPr>
      <w:r>
        <w:continuationSeparator/>
      </w:r>
    </w:p>
  </w:footnote>
  <w:footnote w:id="1">
    <w:p w14:paraId="0929E883" w14:textId="232B22B3" w:rsidR="00BD390A" w:rsidRDefault="007C5C9B">
      <w:pPr>
        <w:pStyle w:val="Fodnotetekst"/>
        <w:rPr>
          <w:rStyle w:val="Hyperlink"/>
          <w:rFonts w:ascii="Garamond" w:hAnsi="Garamond"/>
        </w:rPr>
      </w:pPr>
      <w:r w:rsidRPr="00C35197">
        <w:rPr>
          <w:rStyle w:val="Fodnotehenvisning"/>
          <w:rFonts w:ascii="Garamond" w:hAnsi="Garamond"/>
        </w:rPr>
        <w:footnoteRef/>
      </w:r>
      <w:r w:rsidRPr="00C35197">
        <w:rPr>
          <w:rFonts w:ascii="Garamond" w:hAnsi="Garamond"/>
        </w:rPr>
        <w:t xml:space="preserve"> Priorities for Danish Development Cooperation 2026. </w:t>
      </w:r>
      <w:hyperlink r:id="rId1" w:history="1">
        <w:r w:rsidR="00BD390A" w:rsidRPr="00C35197">
          <w:rPr>
            <w:rStyle w:val="Hyperlink"/>
            <w:rFonts w:ascii="Garamond" w:hAnsi="Garamond"/>
          </w:rPr>
          <w:t>https://um.dk/en/danida/strategies-and-priorities/government-priorities-danish-development-assistance</w:t>
        </w:r>
      </w:hyperlink>
    </w:p>
    <w:p w14:paraId="48DF0345" w14:textId="77777777" w:rsidR="002C79D9" w:rsidRPr="00C35197" w:rsidRDefault="002C79D9">
      <w:pPr>
        <w:pStyle w:val="Fodnotetekst"/>
        <w:rPr>
          <w:rFonts w:ascii="Garamond" w:hAnsi="Garamond"/>
        </w:rPr>
      </w:pPr>
    </w:p>
  </w:footnote>
  <w:footnote w:id="2">
    <w:p w14:paraId="06D0308A" w14:textId="3ECE0C8C" w:rsidR="00182C16" w:rsidRPr="006E3678" w:rsidRDefault="00182C16">
      <w:pPr>
        <w:pStyle w:val="Fodnotetekst"/>
        <w:rPr>
          <w:rFonts w:ascii="Garamond" w:hAnsi="Garamond"/>
        </w:rPr>
      </w:pPr>
      <w:r w:rsidRPr="006E3678">
        <w:rPr>
          <w:rStyle w:val="Fodnotehenvisning"/>
          <w:rFonts w:ascii="Garamond" w:hAnsi="Garamond"/>
        </w:rPr>
        <w:footnoteRef/>
      </w:r>
      <w:r w:rsidRPr="006E3678">
        <w:rPr>
          <w:rFonts w:ascii="Garamond" w:hAnsi="Garamond"/>
        </w:rPr>
        <w:t xml:space="preserve">  </w:t>
      </w:r>
      <w:r>
        <w:rPr>
          <w:rFonts w:ascii="Garamond" w:hAnsi="Garamond"/>
        </w:rPr>
        <w:t>UN Convention on Biological Diversity (</w:t>
      </w:r>
      <w:r w:rsidRPr="006E3678">
        <w:rPr>
          <w:rFonts w:ascii="Garamond" w:hAnsi="Garamond"/>
        </w:rPr>
        <w:t xml:space="preserve">UNCBD) </w:t>
      </w:r>
      <w:r>
        <w:rPr>
          <w:rFonts w:ascii="Garamond" w:hAnsi="Garamond"/>
        </w:rPr>
        <w:t xml:space="preserve">and UN </w:t>
      </w:r>
      <w:r w:rsidRPr="00182C16">
        <w:rPr>
          <w:rFonts w:ascii="Garamond" w:hAnsi="Garamond"/>
        </w:rPr>
        <w:t>Convention to Combat Desertification</w:t>
      </w:r>
    </w:p>
  </w:footnote>
  <w:footnote w:id="3">
    <w:p w14:paraId="2E605719" w14:textId="66D59755" w:rsidR="00182C16" w:rsidRPr="006E3678" w:rsidRDefault="00182C16">
      <w:pPr>
        <w:pStyle w:val="Fodnotetekst"/>
        <w:rPr>
          <w:rFonts w:ascii="Garamond" w:hAnsi="Garamond"/>
        </w:rPr>
      </w:pPr>
      <w:r w:rsidRPr="006E3678">
        <w:rPr>
          <w:rStyle w:val="Fodnotehenvisning"/>
          <w:rFonts w:ascii="Garamond" w:hAnsi="Garamond"/>
        </w:rPr>
        <w:footnoteRef/>
      </w:r>
      <w:r w:rsidRPr="006E3678">
        <w:rPr>
          <w:rFonts w:ascii="Garamond" w:hAnsi="Garamond"/>
        </w:rPr>
        <w:t xml:space="preserve"> UN Framework Convention on Climate Change (UNFCCC)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69D"/>
    <w:multiLevelType w:val="hybridMultilevel"/>
    <w:tmpl w:val="A5620F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47278"/>
    <w:multiLevelType w:val="hybridMultilevel"/>
    <w:tmpl w:val="74323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9782F12">
      <w:start w:val="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507E3"/>
    <w:multiLevelType w:val="hybridMultilevel"/>
    <w:tmpl w:val="6A84AC36"/>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C7EE2"/>
    <w:multiLevelType w:val="hybridMultilevel"/>
    <w:tmpl w:val="D0CA7F0C"/>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06A63"/>
    <w:multiLevelType w:val="hybridMultilevel"/>
    <w:tmpl w:val="6D5A9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F70C8"/>
    <w:multiLevelType w:val="hybridMultilevel"/>
    <w:tmpl w:val="066E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B3A33"/>
    <w:multiLevelType w:val="hybridMultilevel"/>
    <w:tmpl w:val="C11257C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1A47FF"/>
    <w:multiLevelType w:val="hybridMultilevel"/>
    <w:tmpl w:val="6B261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3407E7"/>
    <w:multiLevelType w:val="hybridMultilevel"/>
    <w:tmpl w:val="A47839D2"/>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9" w15:restartNumberingAfterBreak="0">
    <w:nsid w:val="278F4FFC"/>
    <w:multiLevelType w:val="multilevel"/>
    <w:tmpl w:val="E6422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sz w:val="26"/>
        <w:szCs w:val="26"/>
      </w:rPr>
    </w:lvl>
    <w:lvl w:ilvl="2">
      <w:start w:val="1"/>
      <w:numFmt w:val="decimal"/>
      <w:pStyle w:val="Overskrift3"/>
      <w:isLgl/>
      <w:lvlText w:val="%1.%2.%3."/>
      <w:lvlJc w:val="left"/>
      <w:pPr>
        <w:ind w:left="1080" w:hanging="720"/>
      </w:pPr>
      <w:rPr>
        <w:rFonts w:hint="default"/>
      </w:rPr>
    </w:lvl>
    <w:lvl w:ilvl="3">
      <w:start w:val="1"/>
      <w:numFmt w:val="decimal"/>
      <w:isLgl/>
      <w:lvlText w:val="%1.%2.%3.%4."/>
      <w:lvlJc w:val="left"/>
      <w:pPr>
        <w:ind w:left="1440" w:hanging="1080"/>
      </w:pPr>
      <w:rPr>
        <w:rFonts w:hint="default"/>
        <w:sz w:val="26"/>
        <w:szCs w:val="26"/>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DB2965"/>
    <w:multiLevelType w:val="hybridMultilevel"/>
    <w:tmpl w:val="C41E62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441F84"/>
    <w:multiLevelType w:val="hybridMultilevel"/>
    <w:tmpl w:val="63D67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E90CB4"/>
    <w:multiLevelType w:val="hybridMultilevel"/>
    <w:tmpl w:val="8A3CA2B0"/>
    <w:lvl w:ilvl="0" w:tplc="08090001">
      <w:start w:val="1"/>
      <w:numFmt w:val="bullet"/>
      <w:lvlText w:val=""/>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87D7A"/>
    <w:multiLevelType w:val="hybridMultilevel"/>
    <w:tmpl w:val="EB0A699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4" w15:restartNumberingAfterBreak="0">
    <w:nsid w:val="42EF11C1"/>
    <w:multiLevelType w:val="multilevel"/>
    <w:tmpl w:val="110AF6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B36198"/>
    <w:multiLevelType w:val="hybridMultilevel"/>
    <w:tmpl w:val="B324F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D1539"/>
    <w:multiLevelType w:val="hybridMultilevel"/>
    <w:tmpl w:val="AADEA08A"/>
    <w:lvl w:ilvl="0" w:tplc="0D967BAA">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0035AA"/>
    <w:multiLevelType w:val="hybridMultilevel"/>
    <w:tmpl w:val="2D184D6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5EA3FC3"/>
    <w:multiLevelType w:val="hybridMultilevel"/>
    <w:tmpl w:val="D3143F52"/>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463E80"/>
    <w:multiLevelType w:val="hybridMultilevel"/>
    <w:tmpl w:val="F478212E"/>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C96522"/>
    <w:multiLevelType w:val="hybridMultilevel"/>
    <w:tmpl w:val="3C6A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30756F"/>
    <w:multiLevelType w:val="hybridMultilevel"/>
    <w:tmpl w:val="D3249F0E"/>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705821"/>
    <w:multiLevelType w:val="hybridMultilevel"/>
    <w:tmpl w:val="BEBE02E8"/>
    <w:lvl w:ilvl="0" w:tplc="0406000F">
      <w:start w:val="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9CB652A"/>
    <w:multiLevelType w:val="hybridMultilevel"/>
    <w:tmpl w:val="5678C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8C1214"/>
    <w:multiLevelType w:val="hybridMultilevel"/>
    <w:tmpl w:val="6734D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E43CC0"/>
    <w:multiLevelType w:val="hybridMultilevel"/>
    <w:tmpl w:val="E9CCB43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3771CF"/>
    <w:multiLevelType w:val="hybridMultilevel"/>
    <w:tmpl w:val="EB0E266E"/>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BD5B7A"/>
    <w:multiLevelType w:val="hybridMultilevel"/>
    <w:tmpl w:val="5678C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7A005E"/>
    <w:multiLevelType w:val="multilevel"/>
    <w:tmpl w:val="1BBA08B2"/>
    <w:lvl w:ilvl="0">
      <w:start w:val="1"/>
      <w:numFmt w:val="decimal"/>
      <w:lvlText w:val="%1."/>
      <w:lvlJc w:val="left"/>
      <w:pPr>
        <w:ind w:left="720" w:hanging="360"/>
      </w:pPr>
      <w:rPr>
        <w:rFonts w:hint="default"/>
      </w:rPr>
    </w:lvl>
    <w:lvl w:ilvl="1">
      <w:start w:val="2"/>
      <w:numFmt w:val="decimal"/>
      <w:pStyle w:val="Overskrift2"/>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B276925"/>
    <w:multiLevelType w:val="multilevel"/>
    <w:tmpl w:val="978440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FE24B0C"/>
    <w:multiLevelType w:val="hybridMultilevel"/>
    <w:tmpl w:val="8DD8FFB2"/>
    <w:lvl w:ilvl="0" w:tplc="0406000F">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5"/>
  </w:num>
  <w:num w:numId="2">
    <w:abstractNumId w:val="12"/>
  </w:num>
  <w:num w:numId="3">
    <w:abstractNumId w:val="13"/>
  </w:num>
  <w:num w:numId="4">
    <w:abstractNumId w:val="4"/>
  </w:num>
  <w:num w:numId="5">
    <w:abstractNumId w:val="11"/>
  </w:num>
  <w:num w:numId="6">
    <w:abstractNumId w:val="7"/>
  </w:num>
  <w:num w:numId="7">
    <w:abstractNumId w:val="9"/>
  </w:num>
  <w:num w:numId="8">
    <w:abstractNumId w:val="3"/>
  </w:num>
  <w:num w:numId="9">
    <w:abstractNumId w:val="24"/>
  </w:num>
  <w:num w:numId="10">
    <w:abstractNumId w:val="18"/>
  </w:num>
  <w:num w:numId="11">
    <w:abstractNumId w:val="1"/>
  </w:num>
  <w:num w:numId="12">
    <w:abstractNumId w:val="5"/>
  </w:num>
  <w:num w:numId="13">
    <w:abstractNumId w:val="2"/>
  </w:num>
  <w:num w:numId="14">
    <w:abstractNumId w:val="21"/>
  </w:num>
  <w:num w:numId="15">
    <w:abstractNumId w:val="19"/>
  </w:num>
  <w:num w:numId="16">
    <w:abstractNumId w:val="28"/>
  </w:num>
  <w:num w:numId="17">
    <w:abstractNumId w:val="26"/>
  </w:num>
  <w:num w:numId="18">
    <w:abstractNumId w:val="14"/>
  </w:num>
  <w:num w:numId="19">
    <w:abstractNumId w:val="28"/>
  </w:num>
  <w:num w:numId="20">
    <w:abstractNumId w:val="28"/>
    <w:lvlOverride w:ilvl="0">
      <w:startOverride w:val="7"/>
    </w:lvlOverride>
    <w:lvlOverride w:ilvl="1">
      <w:startOverride w:val="2"/>
    </w:lvlOverride>
  </w:num>
  <w:num w:numId="21">
    <w:abstractNumId w:val="8"/>
  </w:num>
  <w:num w:numId="22">
    <w:abstractNumId w:val="10"/>
  </w:num>
  <w:num w:numId="23">
    <w:abstractNumId w:val="28"/>
  </w:num>
  <w:num w:numId="24">
    <w:abstractNumId w:val="20"/>
  </w:num>
  <w:num w:numId="25">
    <w:abstractNumId w:val="17"/>
  </w:num>
  <w:num w:numId="26">
    <w:abstractNumId w:val="30"/>
  </w:num>
  <w:num w:numId="27">
    <w:abstractNumId w:val="29"/>
  </w:num>
  <w:num w:numId="28">
    <w:abstractNumId w:val="28"/>
  </w:num>
  <w:num w:numId="29">
    <w:abstractNumId w:val="28"/>
  </w:num>
  <w:num w:numId="30">
    <w:abstractNumId w:val="22"/>
  </w:num>
  <w:num w:numId="31">
    <w:abstractNumId w:val="23"/>
  </w:num>
  <w:num w:numId="32">
    <w:abstractNumId w:val="0"/>
  </w:num>
  <w:num w:numId="33">
    <w:abstractNumId w:val="27"/>
  </w:num>
  <w:num w:numId="34">
    <w:abstractNumId w:val="14"/>
    <w:lvlOverride w:ilvl="0">
      <w:startOverride w:val="1"/>
    </w:lvlOverride>
  </w:num>
  <w:num w:numId="35">
    <w:abstractNumId w:val="14"/>
    <w:lvlOverride w:ilvl="0">
      <w:startOverride w:val="1"/>
    </w:lvlOverride>
  </w:num>
  <w:num w:numId="36">
    <w:abstractNumId w:val="16"/>
  </w:num>
  <w:num w:numId="37">
    <w:abstractNumId w:val="6"/>
  </w:num>
  <w:num w:numId="38">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da-DK" w:vendorID="64" w:dllVersion="4096" w:nlCheck="1" w:checkStyle="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xNAOSpkaWZhbG5ko6SsGpxcWZ+XkgBYaGtQAN6D/yLQAAAA=="/>
  </w:docVars>
  <w:rsids>
    <w:rsidRoot w:val="00407FBD"/>
    <w:rsid w:val="000066E5"/>
    <w:rsid w:val="00011185"/>
    <w:rsid w:val="000115BD"/>
    <w:rsid w:val="000124CF"/>
    <w:rsid w:val="00013320"/>
    <w:rsid w:val="0001645E"/>
    <w:rsid w:val="0002452F"/>
    <w:rsid w:val="0003302C"/>
    <w:rsid w:val="000455DF"/>
    <w:rsid w:val="0005142E"/>
    <w:rsid w:val="000541C0"/>
    <w:rsid w:val="0006163A"/>
    <w:rsid w:val="00061945"/>
    <w:rsid w:val="00065578"/>
    <w:rsid w:val="00065BD3"/>
    <w:rsid w:val="00066A43"/>
    <w:rsid w:val="0007079A"/>
    <w:rsid w:val="000906CA"/>
    <w:rsid w:val="00094A22"/>
    <w:rsid w:val="00095A82"/>
    <w:rsid w:val="00096799"/>
    <w:rsid w:val="000A1F84"/>
    <w:rsid w:val="000A35A9"/>
    <w:rsid w:val="000A41E5"/>
    <w:rsid w:val="000B4325"/>
    <w:rsid w:val="000B5A47"/>
    <w:rsid w:val="000B5F4A"/>
    <w:rsid w:val="000C1C98"/>
    <w:rsid w:val="000C2033"/>
    <w:rsid w:val="000C4361"/>
    <w:rsid w:val="000D40B0"/>
    <w:rsid w:val="000D56DB"/>
    <w:rsid w:val="000D762A"/>
    <w:rsid w:val="000E3621"/>
    <w:rsid w:val="000E3697"/>
    <w:rsid w:val="000F319E"/>
    <w:rsid w:val="000F79FE"/>
    <w:rsid w:val="00101EFB"/>
    <w:rsid w:val="001020F7"/>
    <w:rsid w:val="00104FB4"/>
    <w:rsid w:val="0011005C"/>
    <w:rsid w:val="00121AB4"/>
    <w:rsid w:val="00123614"/>
    <w:rsid w:val="0012481B"/>
    <w:rsid w:val="00126A15"/>
    <w:rsid w:val="00126CB0"/>
    <w:rsid w:val="0013070D"/>
    <w:rsid w:val="001309F9"/>
    <w:rsid w:val="00134D37"/>
    <w:rsid w:val="0013794E"/>
    <w:rsid w:val="001428D2"/>
    <w:rsid w:val="00142C1A"/>
    <w:rsid w:val="00146EF0"/>
    <w:rsid w:val="0015463B"/>
    <w:rsid w:val="00156DA8"/>
    <w:rsid w:val="00156F96"/>
    <w:rsid w:val="00164911"/>
    <w:rsid w:val="001675EC"/>
    <w:rsid w:val="00174428"/>
    <w:rsid w:val="00177B5A"/>
    <w:rsid w:val="00181656"/>
    <w:rsid w:val="00181796"/>
    <w:rsid w:val="00182908"/>
    <w:rsid w:val="00182C16"/>
    <w:rsid w:val="001877FF"/>
    <w:rsid w:val="00190072"/>
    <w:rsid w:val="001942F9"/>
    <w:rsid w:val="00194753"/>
    <w:rsid w:val="001C2FA9"/>
    <w:rsid w:val="001C732B"/>
    <w:rsid w:val="001D12C9"/>
    <w:rsid w:val="001D228C"/>
    <w:rsid w:val="001D2411"/>
    <w:rsid w:val="001D4140"/>
    <w:rsid w:val="001D56AD"/>
    <w:rsid w:val="001D62D7"/>
    <w:rsid w:val="001E2F37"/>
    <w:rsid w:val="001E302C"/>
    <w:rsid w:val="001E327A"/>
    <w:rsid w:val="001E4158"/>
    <w:rsid w:val="001E7912"/>
    <w:rsid w:val="001F1405"/>
    <w:rsid w:val="001F1B4A"/>
    <w:rsid w:val="001F2619"/>
    <w:rsid w:val="001F437D"/>
    <w:rsid w:val="00200B12"/>
    <w:rsid w:val="00206E33"/>
    <w:rsid w:val="0020723C"/>
    <w:rsid w:val="00207A6B"/>
    <w:rsid w:val="00210246"/>
    <w:rsid w:val="0021554A"/>
    <w:rsid w:val="00220083"/>
    <w:rsid w:val="00222174"/>
    <w:rsid w:val="002222EB"/>
    <w:rsid w:val="0022658D"/>
    <w:rsid w:val="00230F38"/>
    <w:rsid w:val="002327A6"/>
    <w:rsid w:val="00233DA2"/>
    <w:rsid w:val="002420BF"/>
    <w:rsid w:val="00242595"/>
    <w:rsid w:val="002455F5"/>
    <w:rsid w:val="002471F6"/>
    <w:rsid w:val="0025138C"/>
    <w:rsid w:val="00252E4A"/>
    <w:rsid w:val="00253332"/>
    <w:rsid w:val="002545DF"/>
    <w:rsid w:val="00261E07"/>
    <w:rsid w:val="002622B2"/>
    <w:rsid w:val="00265948"/>
    <w:rsid w:val="0027017D"/>
    <w:rsid w:val="00270248"/>
    <w:rsid w:val="00277D0C"/>
    <w:rsid w:val="002800CE"/>
    <w:rsid w:val="00284664"/>
    <w:rsid w:val="002919D0"/>
    <w:rsid w:val="00292014"/>
    <w:rsid w:val="0029373E"/>
    <w:rsid w:val="002944B4"/>
    <w:rsid w:val="00297069"/>
    <w:rsid w:val="002A191E"/>
    <w:rsid w:val="002A3CDD"/>
    <w:rsid w:val="002A5B6A"/>
    <w:rsid w:val="002A5ECA"/>
    <w:rsid w:val="002A7157"/>
    <w:rsid w:val="002A7322"/>
    <w:rsid w:val="002B08E1"/>
    <w:rsid w:val="002B0D3A"/>
    <w:rsid w:val="002B3A45"/>
    <w:rsid w:val="002B3BA2"/>
    <w:rsid w:val="002B4F86"/>
    <w:rsid w:val="002C1614"/>
    <w:rsid w:val="002C51B5"/>
    <w:rsid w:val="002C79D9"/>
    <w:rsid w:val="002D538D"/>
    <w:rsid w:val="002D722F"/>
    <w:rsid w:val="002E0CA4"/>
    <w:rsid w:val="002F2B83"/>
    <w:rsid w:val="002F7143"/>
    <w:rsid w:val="002F7AF9"/>
    <w:rsid w:val="003054A0"/>
    <w:rsid w:val="00305680"/>
    <w:rsid w:val="003071D4"/>
    <w:rsid w:val="00307AF2"/>
    <w:rsid w:val="00312643"/>
    <w:rsid w:val="00314573"/>
    <w:rsid w:val="0032407D"/>
    <w:rsid w:val="00330EFB"/>
    <w:rsid w:val="00334847"/>
    <w:rsid w:val="00343C69"/>
    <w:rsid w:val="00350AA0"/>
    <w:rsid w:val="003538BE"/>
    <w:rsid w:val="003550A6"/>
    <w:rsid w:val="003551D1"/>
    <w:rsid w:val="00356AB2"/>
    <w:rsid w:val="00364ABE"/>
    <w:rsid w:val="003651FB"/>
    <w:rsid w:val="00366073"/>
    <w:rsid w:val="003709D9"/>
    <w:rsid w:val="00371367"/>
    <w:rsid w:val="00374B67"/>
    <w:rsid w:val="00376B9D"/>
    <w:rsid w:val="003A1C62"/>
    <w:rsid w:val="003B20BF"/>
    <w:rsid w:val="003B441A"/>
    <w:rsid w:val="003B7A0A"/>
    <w:rsid w:val="003D3728"/>
    <w:rsid w:val="003F1154"/>
    <w:rsid w:val="003F3148"/>
    <w:rsid w:val="003F3319"/>
    <w:rsid w:val="003F3924"/>
    <w:rsid w:val="003F5475"/>
    <w:rsid w:val="003F5981"/>
    <w:rsid w:val="003F697C"/>
    <w:rsid w:val="003F7231"/>
    <w:rsid w:val="00403AFE"/>
    <w:rsid w:val="00407FBD"/>
    <w:rsid w:val="00411F40"/>
    <w:rsid w:val="00413AAF"/>
    <w:rsid w:val="004210E3"/>
    <w:rsid w:val="004249C9"/>
    <w:rsid w:val="00425007"/>
    <w:rsid w:val="004275FA"/>
    <w:rsid w:val="00434967"/>
    <w:rsid w:val="0043568C"/>
    <w:rsid w:val="004367B7"/>
    <w:rsid w:val="00440047"/>
    <w:rsid w:val="0044030D"/>
    <w:rsid w:val="00445167"/>
    <w:rsid w:val="0044675E"/>
    <w:rsid w:val="00447E88"/>
    <w:rsid w:val="00451251"/>
    <w:rsid w:val="00456512"/>
    <w:rsid w:val="00456E3B"/>
    <w:rsid w:val="00463521"/>
    <w:rsid w:val="004637D7"/>
    <w:rsid w:val="004678E4"/>
    <w:rsid w:val="00470B9D"/>
    <w:rsid w:val="0047429B"/>
    <w:rsid w:val="0047744C"/>
    <w:rsid w:val="00480427"/>
    <w:rsid w:val="0049077F"/>
    <w:rsid w:val="004930F1"/>
    <w:rsid w:val="00493C3C"/>
    <w:rsid w:val="00494DBF"/>
    <w:rsid w:val="00496999"/>
    <w:rsid w:val="00496AC4"/>
    <w:rsid w:val="004A6722"/>
    <w:rsid w:val="004B2A12"/>
    <w:rsid w:val="004B6661"/>
    <w:rsid w:val="004C24B3"/>
    <w:rsid w:val="004C3D11"/>
    <w:rsid w:val="004C55DB"/>
    <w:rsid w:val="004C59FB"/>
    <w:rsid w:val="004D1B1D"/>
    <w:rsid w:val="004E1A1B"/>
    <w:rsid w:val="004E70F6"/>
    <w:rsid w:val="004E7591"/>
    <w:rsid w:val="004F0F3C"/>
    <w:rsid w:val="004F2CB0"/>
    <w:rsid w:val="004F61C0"/>
    <w:rsid w:val="004F6DB7"/>
    <w:rsid w:val="005000E5"/>
    <w:rsid w:val="0050149E"/>
    <w:rsid w:val="00502401"/>
    <w:rsid w:val="0050282A"/>
    <w:rsid w:val="00503CA3"/>
    <w:rsid w:val="00505164"/>
    <w:rsid w:val="005055E0"/>
    <w:rsid w:val="00505DE0"/>
    <w:rsid w:val="00507840"/>
    <w:rsid w:val="005123A4"/>
    <w:rsid w:val="00530C49"/>
    <w:rsid w:val="005342E0"/>
    <w:rsid w:val="00543BDE"/>
    <w:rsid w:val="00544507"/>
    <w:rsid w:val="005452BC"/>
    <w:rsid w:val="0055487A"/>
    <w:rsid w:val="00556EEC"/>
    <w:rsid w:val="00561329"/>
    <w:rsid w:val="00564A0D"/>
    <w:rsid w:val="00564EED"/>
    <w:rsid w:val="00567CCA"/>
    <w:rsid w:val="00570362"/>
    <w:rsid w:val="00570789"/>
    <w:rsid w:val="0057595B"/>
    <w:rsid w:val="00581CFF"/>
    <w:rsid w:val="00591B5A"/>
    <w:rsid w:val="00592156"/>
    <w:rsid w:val="0059291C"/>
    <w:rsid w:val="00593D62"/>
    <w:rsid w:val="00595E5D"/>
    <w:rsid w:val="005B6E27"/>
    <w:rsid w:val="005D1CD4"/>
    <w:rsid w:val="005D52CE"/>
    <w:rsid w:val="005D7D3C"/>
    <w:rsid w:val="005E4A9D"/>
    <w:rsid w:val="005E70FC"/>
    <w:rsid w:val="005F0124"/>
    <w:rsid w:val="005F3273"/>
    <w:rsid w:val="005F3F5F"/>
    <w:rsid w:val="005F79D6"/>
    <w:rsid w:val="00605581"/>
    <w:rsid w:val="00610F1B"/>
    <w:rsid w:val="006234D9"/>
    <w:rsid w:val="00625404"/>
    <w:rsid w:val="006317F6"/>
    <w:rsid w:val="00633988"/>
    <w:rsid w:val="00635D50"/>
    <w:rsid w:val="00636F8B"/>
    <w:rsid w:val="00640374"/>
    <w:rsid w:val="00650756"/>
    <w:rsid w:val="006507EB"/>
    <w:rsid w:val="0065202D"/>
    <w:rsid w:val="00656DB2"/>
    <w:rsid w:val="00660B0B"/>
    <w:rsid w:val="0066547F"/>
    <w:rsid w:val="00665733"/>
    <w:rsid w:val="006715F2"/>
    <w:rsid w:val="00675F7A"/>
    <w:rsid w:val="006765E5"/>
    <w:rsid w:val="00677CD7"/>
    <w:rsid w:val="00682BAB"/>
    <w:rsid w:val="006866C3"/>
    <w:rsid w:val="00692201"/>
    <w:rsid w:val="00694470"/>
    <w:rsid w:val="006A071A"/>
    <w:rsid w:val="006A366B"/>
    <w:rsid w:val="006A3C3E"/>
    <w:rsid w:val="006A5D66"/>
    <w:rsid w:val="006A6DD3"/>
    <w:rsid w:val="006A73A7"/>
    <w:rsid w:val="006A73AF"/>
    <w:rsid w:val="006B3901"/>
    <w:rsid w:val="006B3FF6"/>
    <w:rsid w:val="006B6B87"/>
    <w:rsid w:val="006C3646"/>
    <w:rsid w:val="006D1033"/>
    <w:rsid w:val="006D7C8A"/>
    <w:rsid w:val="006E14C2"/>
    <w:rsid w:val="006E3412"/>
    <w:rsid w:val="006E3678"/>
    <w:rsid w:val="006E4093"/>
    <w:rsid w:val="006E5C57"/>
    <w:rsid w:val="006F375F"/>
    <w:rsid w:val="006F6B0B"/>
    <w:rsid w:val="007014C8"/>
    <w:rsid w:val="00701526"/>
    <w:rsid w:val="007046A1"/>
    <w:rsid w:val="007050B0"/>
    <w:rsid w:val="007159E4"/>
    <w:rsid w:val="007175E4"/>
    <w:rsid w:val="00726E1F"/>
    <w:rsid w:val="00734590"/>
    <w:rsid w:val="00740B09"/>
    <w:rsid w:val="007434AA"/>
    <w:rsid w:val="007646DA"/>
    <w:rsid w:val="0076492B"/>
    <w:rsid w:val="007670FE"/>
    <w:rsid w:val="00773BF7"/>
    <w:rsid w:val="00776214"/>
    <w:rsid w:val="007768CA"/>
    <w:rsid w:val="00776BC8"/>
    <w:rsid w:val="00780AE1"/>
    <w:rsid w:val="00781CF6"/>
    <w:rsid w:val="0078614E"/>
    <w:rsid w:val="00795E98"/>
    <w:rsid w:val="007A17DE"/>
    <w:rsid w:val="007A1CF9"/>
    <w:rsid w:val="007A5D0D"/>
    <w:rsid w:val="007A6B78"/>
    <w:rsid w:val="007A7788"/>
    <w:rsid w:val="007B05E9"/>
    <w:rsid w:val="007B3ED8"/>
    <w:rsid w:val="007B6015"/>
    <w:rsid w:val="007C5C9B"/>
    <w:rsid w:val="007C6C1C"/>
    <w:rsid w:val="007D215F"/>
    <w:rsid w:val="007D37FF"/>
    <w:rsid w:val="007D6915"/>
    <w:rsid w:val="007E0B80"/>
    <w:rsid w:val="007E497E"/>
    <w:rsid w:val="007E6669"/>
    <w:rsid w:val="007F2ED8"/>
    <w:rsid w:val="007F4E41"/>
    <w:rsid w:val="007F7D41"/>
    <w:rsid w:val="00800748"/>
    <w:rsid w:val="00806C40"/>
    <w:rsid w:val="00810F35"/>
    <w:rsid w:val="00811BB1"/>
    <w:rsid w:val="00816613"/>
    <w:rsid w:val="00821C87"/>
    <w:rsid w:val="00840554"/>
    <w:rsid w:val="00842AE1"/>
    <w:rsid w:val="008433C6"/>
    <w:rsid w:val="0085011A"/>
    <w:rsid w:val="008532F8"/>
    <w:rsid w:val="0085360B"/>
    <w:rsid w:val="00854511"/>
    <w:rsid w:val="008547B9"/>
    <w:rsid w:val="008563F7"/>
    <w:rsid w:val="0085717A"/>
    <w:rsid w:val="0085734F"/>
    <w:rsid w:val="00860787"/>
    <w:rsid w:val="00862799"/>
    <w:rsid w:val="00862F04"/>
    <w:rsid w:val="00865991"/>
    <w:rsid w:val="00865A55"/>
    <w:rsid w:val="00866203"/>
    <w:rsid w:val="008753D3"/>
    <w:rsid w:val="0087629A"/>
    <w:rsid w:val="0087761C"/>
    <w:rsid w:val="00880101"/>
    <w:rsid w:val="0088022C"/>
    <w:rsid w:val="00891290"/>
    <w:rsid w:val="008924A9"/>
    <w:rsid w:val="0089570A"/>
    <w:rsid w:val="00896A99"/>
    <w:rsid w:val="00896C20"/>
    <w:rsid w:val="0089730F"/>
    <w:rsid w:val="008A4FD3"/>
    <w:rsid w:val="008A64AB"/>
    <w:rsid w:val="008A7A64"/>
    <w:rsid w:val="008B0DFD"/>
    <w:rsid w:val="008B3459"/>
    <w:rsid w:val="008B4569"/>
    <w:rsid w:val="008B76B2"/>
    <w:rsid w:val="008B7E17"/>
    <w:rsid w:val="008C150F"/>
    <w:rsid w:val="008C2883"/>
    <w:rsid w:val="008C36D2"/>
    <w:rsid w:val="008C5711"/>
    <w:rsid w:val="008D5A09"/>
    <w:rsid w:val="008E45E3"/>
    <w:rsid w:val="008E7346"/>
    <w:rsid w:val="008F4CF1"/>
    <w:rsid w:val="008F6828"/>
    <w:rsid w:val="00903575"/>
    <w:rsid w:val="00904B7C"/>
    <w:rsid w:val="00911293"/>
    <w:rsid w:val="0091285C"/>
    <w:rsid w:val="00914E1E"/>
    <w:rsid w:val="009220A9"/>
    <w:rsid w:val="00924824"/>
    <w:rsid w:val="00927543"/>
    <w:rsid w:val="0093132F"/>
    <w:rsid w:val="00941507"/>
    <w:rsid w:val="0094195E"/>
    <w:rsid w:val="00946772"/>
    <w:rsid w:val="009549BE"/>
    <w:rsid w:val="00957DF4"/>
    <w:rsid w:val="00961983"/>
    <w:rsid w:val="009639B4"/>
    <w:rsid w:val="00970005"/>
    <w:rsid w:val="00970F7C"/>
    <w:rsid w:val="0097790B"/>
    <w:rsid w:val="00977CBB"/>
    <w:rsid w:val="00980207"/>
    <w:rsid w:val="00984E5C"/>
    <w:rsid w:val="00986407"/>
    <w:rsid w:val="00987A89"/>
    <w:rsid w:val="009923E0"/>
    <w:rsid w:val="00993AF4"/>
    <w:rsid w:val="00994325"/>
    <w:rsid w:val="00997477"/>
    <w:rsid w:val="009A2ABA"/>
    <w:rsid w:val="009A4A46"/>
    <w:rsid w:val="009B10DB"/>
    <w:rsid w:val="009B34E4"/>
    <w:rsid w:val="009B6EF4"/>
    <w:rsid w:val="009C19A9"/>
    <w:rsid w:val="009C4B65"/>
    <w:rsid w:val="009C5620"/>
    <w:rsid w:val="009D0A4A"/>
    <w:rsid w:val="009D1EC9"/>
    <w:rsid w:val="009D55FF"/>
    <w:rsid w:val="009D7638"/>
    <w:rsid w:val="009E2777"/>
    <w:rsid w:val="009E7E8C"/>
    <w:rsid w:val="009F2B2F"/>
    <w:rsid w:val="009F3CF9"/>
    <w:rsid w:val="009F6B41"/>
    <w:rsid w:val="00A025B6"/>
    <w:rsid w:val="00A06B29"/>
    <w:rsid w:val="00A168C1"/>
    <w:rsid w:val="00A2110E"/>
    <w:rsid w:val="00A22E48"/>
    <w:rsid w:val="00A33432"/>
    <w:rsid w:val="00A45DCD"/>
    <w:rsid w:val="00A4746E"/>
    <w:rsid w:val="00A475B3"/>
    <w:rsid w:val="00A47B06"/>
    <w:rsid w:val="00A504F1"/>
    <w:rsid w:val="00A512B5"/>
    <w:rsid w:val="00A57141"/>
    <w:rsid w:val="00A613F5"/>
    <w:rsid w:val="00A671E8"/>
    <w:rsid w:val="00A71144"/>
    <w:rsid w:val="00A816F5"/>
    <w:rsid w:val="00A832CD"/>
    <w:rsid w:val="00AB2301"/>
    <w:rsid w:val="00AB3E15"/>
    <w:rsid w:val="00AB596B"/>
    <w:rsid w:val="00AC62CC"/>
    <w:rsid w:val="00AC7DF8"/>
    <w:rsid w:val="00AD64BD"/>
    <w:rsid w:val="00B01A23"/>
    <w:rsid w:val="00B1303C"/>
    <w:rsid w:val="00B13CB7"/>
    <w:rsid w:val="00B141E7"/>
    <w:rsid w:val="00B14A86"/>
    <w:rsid w:val="00B21788"/>
    <w:rsid w:val="00B24AEE"/>
    <w:rsid w:val="00B25F2A"/>
    <w:rsid w:val="00B2608A"/>
    <w:rsid w:val="00B26281"/>
    <w:rsid w:val="00B27919"/>
    <w:rsid w:val="00B32A4A"/>
    <w:rsid w:val="00B40B68"/>
    <w:rsid w:val="00B4742E"/>
    <w:rsid w:val="00B475CC"/>
    <w:rsid w:val="00B546AA"/>
    <w:rsid w:val="00B6754C"/>
    <w:rsid w:val="00B709F8"/>
    <w:rsid w:val="00B723B5"/>
    <w:rsid w:val="00B736F5"/>
    <w:rsid w:val="00B74BC6"/>
    <w:rsid w:val="00B75FA1"/>
    <w:rsid w:val="00B86C9A"/>
    <w:rsid w:val="00B90FD6"/>
    <w:rsid w:val="00B9235C"/>
    <w:rsid w:val="00B94E72"/>
    <w:rsid w:val="00B95756"/>
    <w:rsid w:val="00B974FC"/>
    <w:rsid w:val="00B97661"/>
    <w:rsid w:val="00BA119E"/>
    <w:rsid w:val="00BA1DAA"/>
    <w:rsid w:val="00BA4F3F"/>
    <w:rsid w:val="00BA6E16"/>
    <w:rsid w:val="00BB03CD"/>
    <w:rsid w:val="00BB3293"/>
    <w:rsid w:val="00BB3B8A"/>
    <w:rsid w:val="00BC1901"/>
    <w:rsid w:val="00BC4E85"/>
    <w:rsid w:val="00BC546D"/>
    <w:rsid w:val="00BC5B42"/>
    <w:rsid w:val="00BD390A"/>
    <w:rsid w:val="00BD664B"/>
    <w:rsid w:val="00BE0F8D"/>
    <w:rsid w:val="00BE4341"/>
    <w:rsid w:val="00BE47BA"/>
    <w:rsid w:val="00BF1D9B"/>
    <w:rsid w:val="00BF57FF"/>
    <w:rsid w:val="00BF586A"/>
    <w:rsid w:val="00BF69CE"/>
    <w:rsid w:val="00BF7A71"/>
    <w:rsid w:val="00C042C8"/>
    <w:rsid w:val="00C06BF5"/>
    <w:rsid w:val="00C07295"/>
    <w:rsid w:val="00C156A0"/>
    <w:rsid w:val="00C31420"/>
    <w:rsid w:val="00C35197"/>
    <w:rsid w:val="00C351D5"/>
    <w:rsid w:val="00C3527B"/>
    <w:rsid w:val="00C3668D"/>
    <w:rsid w:val="00C5271D"/>
    <w:rsid w:val="00C528AF"/>
    <w:rsid w:val="00C562B7"/>
    <w:rsid w:val="00C61B12"/>
    <w:rsid w:val="00C656D1"/>
    <w:rsid w:val="00C668D1"/>
    <w:rsid w:val="00C674D7"/>
    <w:rsid w:val="00C71C52"/>
    <w:rsid w:val="00C80327"/>
    <w:rsid w:val="00C874C9"/>
    <w:rsid w:val="00C917ED"/>
    <w:rsid w:val="00C9263E"/>
    <w:rsid w:val="00C92EDA"/>
    <w:rsid w:val="00C95D66"/>
    <w:rsid w:val="00CA30D7"/>
    <w:rsid w:val="00CA6217"/>
    <w:rsid w:val="00CB0621"/>
    <w:rsid w:val="00CB4FB6"/>
    <w:rsid w:val="00CB68DA"/>
    <w:rsid w:val="00CC2377"/>
    <w:rsid w:val="00CC6122"/>
    <w:rsid w:val="00CD0358"/>
    <w:rsid w:val="00CE1E0D"/>
    <w:rsid w:val="00CE46B1"/>
    <w:rsid w:val="00CE7D50"/>
    <w:rsid w:val="00CF1183"/>
    <w:rsid w:val="00CF310C"/>
    <w:rsid w:val="00CF4A93"/>
    <w:rsid w:val="00D0595B"/>
    <w:rsid w:val="00D061FB"/>
    <w:rsid w:val="00D07384"/>
    <w:rsid w:val="00D1135D"/>
    <w:rsid w:val="00D123B3"/>
    <w:rsid w:val="00D1242D"/>
    <w:rsid w:val="00D159AC"/>
    <w:rsid w:val="00D163A2"/>
    <w:rsid w:val="00D178A2"/>
    <w:rsid w:val="00D22D0E"/>
    <w:rsid w:val="00D23758"/>
    <w:rsid w:val="00D24701"/>
    <w:rsid w:val="00D268EB"/>
    <w:rsid w:val="00D34CC0"/>
    <w:rsid w:val="00D36F3E"/>
    <w:rsid w:val="00D46CA9"/>
    <w:rsid w:val="00D5424F"/>
    <w:rsid w:val="00D557A6"/>
    <w:rsid w:val="00D56637"/>
    <w:rsid w:val="00D60673"/>
    <w:rsid w:val="00D627E7"/>
    <w:rsid w:val="00D66860"/>
    <w:rsid w:val="00D81EAE"/>
    <w:rsid w:val="00D8477C"/>
    <w:rsid w:val="00D92B7B"/>
    <w:rsid w:val="00D96CE0"/>
    <w:rsid w:val="00D97869"/>
    <w:rsid w:val="00D97DF6"/>
    <w:rsid w:val="00DA03B2"/>
    <w:rsid w:val="00DA253B"/>
    <w:rsid w:val="00DA2B4B"/>
    <w:rsid w:val="00DA357A"/>
    <w:rsid w:val="00DA4F2A"/>
    <w:rsid w:val="00DA580E"/>
    <w:rsid w:val="00DB0655"/>
    <w:rsid w:val="00DB32CC"/>
    <w:rsid w:val="00DB46E4"/>
    <w:rsid w:val="00DB5C92"/>
    <w:rsid w:val="00DD16ED"/>
    <w:rsid w:val="00DD3C54"/>
    <w:rsid w:val="00DD5523"/>
    <w:rsid w:val="00DE24CA"/>
    <w:rsid w:val="00DF02C0"/>
    <w:rsid w:val="00DF5520"/>
    <w:rsid w:val="00DF72A5"/>
    <w:rsid w:val="00DF7C61"/>
    <w:rsid w:val="00E07C5E"/>
    <w:rsid w:val="00E1542D"/>
    <w:rsid w:val="00E167A4"/>
    <w:rsid w:val="00E218F9"/>
    <w:rsid w:val="00E23053"/>
    <w:rsid w:val="00E268B1"/>
    <w:rsid w:val="00E4774E"/>
    <w:rsid w:val="00E53F7B"/>
    <w:rsid w:val="00E54822"/>
    <w:rsid w:val="00E66EC8"/>
    <w:rsid w:val="00E80DFF"/>
    <w:rsid w:val="00E86316"/>
    <w:rsid w:val="00E8762B"/>
    <w:rsid w:val="00E967E0"/>
    <w:rsid w:val="00EA444C"/>
    <w:rsid w:val="00EB05DF"/>
    <w:rsid w:val="00EC4285"/>
    <w:rsid w:val="00EC5D4D"/>
    <w:rsid w:val="00EC6F5F"/>
    <w:rsid w:val="00ED0A20"/>
    <w:rsid w:val="00ED0B73"/>
    <w:rsid w:val="00ED29B4"/>
    <w:rsid w:val="00ED2C7D"/>
    <w:rsid w:val="00ED6C16"/>
    <w:rsid w:val="00EE32D6"/>
    <w:rsid w:val="00EE3887"/>
    <w:rsid w:val="00EE500C"/>
    <w:rsid w:val="00EE6B18"/>
    <w:rsid w:val="00EF2A52"/>
    <w:rsid w:val="00EF6B16"/>
    <w:rsid w:val="00F02D37"/>
    <w:rsid w:val="00F03DED"/>
    <w:rsid w:val="00F11536"/>
    <w:rsid w:val="00F122D7"/>
    <w:rsid w:val="00F13B37"/>
    <w:rsid w:val="00F14527"/>
    <w:rsid w:val="00F14F38"/>
    <w:rsid w:val="00F15981"/>
    <w:rsid w:val="00F17031"/>
    <w:rsid w:val="00F205E8"/>
    <w:rsid w:val="00F3156B"/>
    <w:rsid w:val="00F32D0F"/>
    <w:rsid w:val="00F34BBC"/>
    <w:rsid w:val="00F4328E"/>
    <w:rsid w:val="00F43443"/>
    <w:rsid w:val="00F45E20"/>
    <w:rsid w:val="00F55247"/>
    <w:rsid w:val="00F64AB3"/>
    <w:rsid w:val="00F64D77"/>
    <w:rsid w:val="00F70F65"/>
    <w:rsid w:val="00F71195"/>
    <w:rsid w:val="00F76B26"/>
    <w:rsid w:val="00F804CA"/>
    <w:rsid w:val="00F837E3"/>
    <w:rsid w:val="00F84EBD"/>
    <w:rsid w:val="00F8569E"/>
    <w:rsid w:val="00F8670F"/>
    <w:rsid w:val="00F90131"/>
    <w:rsid w:val="00F95F92"/>
    <w:rsid w:val="00F96B75"/>
    <w:rsid w:val="00FA3252"/>
    <w:rsid w:val="00FA74E2"/>
    <w:rsid w:val="00FB048F"/>
    <w:rsid w:val="00FB0996"/>
    <w:rsid w:val="00FB322D"/>
    <w:rsid w:val="00FB402D"/>
    <w:rsid w:val="00FB55E5"/>
    <w:rsid w:val="00FB787D"/>
    <w:rsid w:val="00FC1076"/>
    <w:rsid w:val="00FC559F"/>
    <w:rsid w:val="00FC75CC"/>
    <w:rsid w:val="00FD1110"/>
    <w:rsid w:val="00FD277B"/>
    <w:rsid w:val="00FF33E8"/>
    <w:rsid w:val="00FF5560"/>
    <w:rsid w:val="00FF5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DC615"/>
  <w15:chartTrackingRefBased/>
  <w15:docId w15:val="{C5F401E1-573D-45B4-AD99-607A8885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Overskrift1">
    <w:name w:val="heading 1"/>
    <w:basedOn w:val="Normal"/>
    <w:next w:val="Normal"/>
    <w:link w:val="Overskrift1Tegn"/>
    <w:autoRedefine/>
    <w:uiPriority w:val="9"/>
    <w:qFormat/>
    <w:rsid w:val="007014C8"/>
    <w:pPr>
      <w:keepNext/>
      <w:keepLines/>
      <w:spacing w:before="240" w:after="120" w:line="240" w:lineRule="auto"/>
      <w:jc w:val="both"/>
      <w:outlineLvl w:val="0"/>
    </w:pPr>
    <w:rPr>
      <w:rFonts w:ascii="Garamond" w:eastAsia="Times New Roman" w:hAnsi="Garamond" w:cs="Times New Roman"/>
      <w:b/>
      <w:bCs/>
      <w:sz w:val="24"/>
      <w:szCs w:val="24"/>
    </w:rPr>
  </w:style>
  <w:style w:type="paragraph" w:styleId="Overskrift2">
    <w:name w:val="heading 2"/>
    <w:basedOn w:val="Normal"/>
    <w:next w:val="Normal"/>
    <w:link w:val="Overskrift2Tegn"/>
    <w:autoRedefine/>
    <w:uiPriority w:val="9"/>
    <w:qFormat/>
    <w:rsid w:val="00F205E8"/>
    <w:pPr>
      <w:keepNext/>
      <w:keepLines/>
      <w:numPr>
        <w:ilvl w:val="1"/>
        <w:numId w:val="16"/>
      </w:numPr>
      <w:spacing w:before="120" w:after="80"/>
      <w:outlineLvl w:val="1"/>
    </w:pPr>
    <w:rPr>
      <w:rFonts w:eastAsia="Times New Roman" w:cs="Times New Roman"/>
      <w:b/>
      <w:sz w:val="26"/>
      <w:szCs w:val="26"/>
    </w:rPr>
  </w:style>
  <w:style w:type="paragraph" w:styleId="Overskrift3">
    <w:name w:val="heading 3"/>
    <w:basedOn w:val="Normal"/>
    <w:next w:val="Normal"/>
    <w:link w:val="Overskrift3Tegn"/>
    <w:autoRedefine/>
    <w:uiPriority w:val="9"/>
    <w:unhideWhenUsed/>
    <w:qFormat/>
    <w:rsid w:val="006234D9"/>
    <w:pPr>
      <w:keepNext/>
      <w:numPr>
        <w:ilvl w:val="2"/>
        <w:numId w:val="7"/>
      </w:numPr>
      <w:spacing w:before="240" w:after="60"/>
      <w:outlineLvl w:val="2"/>
    </w:pPr>
    <w:rPr>
      <w:rFonts w:eastAsia="Times New Roman" w:cs="Times New Roman"/>
      <w:b/>
      <w:bCs/>
      <w:i/>
      <w:sz w:val="24"/>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Listeafsnit1">
    <w:name w:val="Listeafsnit1"/>
    <w:basedOn w:val="Normal"/>
    <w:uiPriority w:val="34"/>
    <w:qFormat/>
    <w:rsid w:val="00E53F7B"/>
    <w:pPr>
      <w:ind w:left="720"/>
      <w:contextualSpacing/>
    </w:pPr>
  </w:style>
  <w:style w:type="character" w:customStyle="1" w:styleId="Overskrift1Tegn">
    <w:name w:val="Overskrift 1 Tegn"/>
    <w:link w:val="Overskrift1"/>
    <w:uiPriority w:val="9"/>
    <w:rsid w:val="007014C8"/>
    <w:rPr>
      <w:rFonts w:ascii="Garamond" w:eastAsia="Times New Roman" w:hAnsi="Garamond" w:cs="Times New Roman"/>
      <w:b/>
      <w:bCs/>
      <w:sz w:val="24"/>
      <w:szCs w:val="24"/>
      <w:lang w:eastAsia="en-US"/>
    </w:rPr>
  </w:style>
  <w:style w:type="paragraph" w:customStyle="1" w:styleId="Default">
    <w:name w:val="Default"/>
    <w:rsid w:val="002B4F86"/>
    <w:pPr>
      <w:autoSpaceDE w:val="0"/>
      <w:autoSpaceDN w:val="0"/>
      <w:adjustRightInd w:val="0"/>
    </w:pPr>
    <w:rPr>
      <w:rFonts w:ascii="Times New Roman" w:hAnsi="Times New Roman" w:cs="Times New Roman"/>
      <w:color w:val="000000"/>
      <w:sz w:val="24"/>
      <w:szCs w:val="24"/>
      <w:lang w:eastAsia="en-US"/>
    </w:rPr>
  </w:style>
  <w:style w:type="character" w:customStyle="1" w:styleId="Overskrift2Tegn">
    <w:name w:val="Overskrift 2 Tegn"/>
    <w:link w:val="Overskrift2"/>
    <w:uiPriority w:val="9"/>
    <w:rsid w:val="00F205E8"/>
    <w:rPr>
      <w:rFonts w:eastAsia="Times New Roman" w:cs="Times New Roman"/>
      <w:b/>
      <w:sz w:val="26"/>
      <w:szCs w:val="26"/>
      <w:lang w:eastAsia="en-US"/>
    </w:rPr>
  </w:style>
  <w:style w:type="character" w:styleId="Hyperlink">
    <w:name w:val="Hyperlink"/>
    <w:uiPriority w:val="99"/>
    <w:unhideWhenUsed/>
    <w:rsid w:val="00E1542D"/>
    <w:rPr>
      <w:color w:val="0000FF"/>
      <w:u w:val="single"/>
    </w:rPr>
  </w:style>
  <w:style w:type="character" w:customStyle="1" w:styleId="UnresolvedMention1">
    <w:name w:val="Unresolved Mention1"/>
    <w:uiPriority w:val="99"/>
    <w:semiHidden/>
    <w:unhideWhenUsed/>
    <w:rsid w:val="00E1542D"/>
    <w:rPr>
      <w:color w:val="605E5C"/>
      <w:shd w:val="clear" w:color="auto" w:fill="E1DFDD"/>
    </w:rPr>
  </w:style>
  <w:style w:type="paragraph" w:styleId="Fodnotetekst">
    <w:name w:val="footnote text"/>
    <w:basedOn w:val="Normal"/>
    <w:link w:val="FodnotetekstTegn"/>
    <w:uiPriority w:val="99"/>
    <w:semiHidden/>
    <w:unhideWhenUsed/>
    <w:rsid w:val="00E1542D"/>
    <w:pPr>
      <w:spacing w:after="0" w:line="240" w:lineRule="auto"/>
    </w:pPr>
    <w:rPr>
      <w:sz w:val="20"/>
      <w:szCs w:val="20"/>
    </w:rPr>
  </w:style>
  <w:style w:type="character" w:customStyle="1" w:styleId="FodnotetekstTegn">
    <w:name w:val="Fodnotetekst Tegn"/>
    <w:link w:val="Fodnotetekst"/>
    <w:uiPriority w:val="99"/>
    <w:semiHidden/>
    <w:rsid w:val="00E1542D"/>
    <w:rPr>
      <w:sz w:val="20"/>
      <w:szCs w:val="20"/>
      <w:lang w:val="en-GB"/>
    </w:rPr>
  </w:style>
  <w:style w:type="character" w:styleId="Fodnotehenvisning">
    <w:name w:val="footnote reference"/>
    <w:uiPriority w:val="99"/>
    <w:semiHidden/>
    <w:unhideWhenUsed/>
    <w:rsid w:val="00E1542D"/>
    <w:rPr>
      <w:vertAlign w:val="superscript"/>
    </w:rPr>
  </w:style>
  <w:style w:type="paragraph" w:styleId="Sidehoved">
    <w:name w:val="header"/>
    <w:basedOn w:val="Normal"/>
    <w:link w:val="SidehovedTegn"/>
    <w:uiPriority w:val="99"/>
    <w:unhideWhenUsed/>
    <w:rsid w:val="005E4A9D"/>
    <w:pPr>
      <w:tabs>
        <w:tab w:val="center" w:pos="4819"/>
        <w:tab w:val="right" w:pos="9638"/>
      </w:tabs>
      <w:spacing w:after="0" w:line="240" w:lineRule="auto"/>
    </w:pPr>
  </w:style>
  <w:style w:type="character" w:customStyle="1" w:styleId="SidehovedTegn">
    <w:name w:val="Sidehoved Tegn"/>
    <w:link w:val="Sidehoved"/>
    <w:uiPriority w:val="99"/>
    <w:rsid w:val="005E4A9D"/>
    <w:rPr>
      <w:lang w:val="en-GB"/>
    </w:rPr>
  </w:style>
  <w:style w:type="paragraph" w:styleId="Sidefod">
    <w:name w:val="footer"/>
    <w:basedOn w:val="Normal"/>
    <w:link w:val="SidefodTegn"/>
    <w:uiPriority w:val="99"/>
    <w:unhideWhenUsed/>
    <w:rsid w:val="005E4A9D"/>
    <w:pPr>
      <w:tabs>
        <w:tab w:val="center" w:pos="4819"/>
        <w:tab w:val="right" w:pos="9638"/>
      </w:tabs>
      <w:spacing w:after="0" w:line="240" w:lineRule="auto"/>
    </w:pPr>
  </w:style>
  <w:style w:type="character" w:customStyle="1" w:styleId="SidefodTegn">
    <w:name w:val="Sidefod Tegn"/>
    <w:link w:val="Sidefod"/>
    <w:uiPriority w:val="99"/>
    <w:rsid w:val="005E4A9D"/>
    <w:rPr>
      <w:lang w:val="en-GB"/>
    </w:rPr>
  </w:style>
  <w:style w:type="paragraph" w:styleId="Billedtekst">
    <w:name w:val="caption"/>
    <w:basedOn w:val="Normal"/>
    <w:next w:val="Normal"/>
    <w:uiPriority w:val="35"/>
    <w:qFormat/>
    <w:rsid w:val="00ED0A20"/>
    <w:pPr>
      <w:spacing w:line="240" w:lineRule="auto"/>
    </w:pPr>
    <w:rPr>
      <w:i/>
      <w:iCs/>
      <w:color w:val="1F497D"/>
      <w:sz w:val="18"/>
      <w:szCs w:val="18"/>
    </w:rPr>
  </w:style>
  <w:style w:type="paragraph" w:customStyle="1" w:styleId="Overskrift10">
    <w:name w:val="Overskrift1"/>
    <w:basedOn w:val="Overskrift1"/>
    <w:next w:val="Normal"/>
    <w:uiPriority w:val="39"/>
    <w:qFormat/>
    <w:rsid w:val="00ED0A20"/>
    <w:pPr>
      <w:spacing w:after="0" w:line="259" w:lineRule="auto"/>
      <w:outlineLvl w:val="9"/>
    </w:pPr>
    <w:rPr>
      <w:rFonts w:ascii="Cambria" w:hAnsi="Cambria"/>
      <w:b w:val="0"/>
      <w:color w:val="365F91"/>
      <w:lang w:val="en-US"/>
    </w:rPr>
  </w:style>
  <w:style w:type="paragraph" w:styleId="Indholdsfortegnelse1">
    <w:name w:val="toc 1"/>
    <w:basedOn w:val="Normal"/>
    <w:next w:val="Normal"/>
    <w:autoRedefine/>
    <w:uiPriority w:val="39"/>
    <w:unhideWhenUsed/>
    <w:rsid w:val="00ED0A20"/>
    <w:pPr>
      <w:spacing w:after="100"/>
    </w:pPr>
  </w:style>
  <w:style w:type="paragraph" w:styleId="Indholdsfortegnelse2">
    <w:name w:val="toc 2"/>
    <w:basedOn w:val="Normal"/>
    <w:next w:val="Normal"/>
    <w:autoRedefine/>
    <w:uiPriority w:val="39"/>
    <w:unhideWhenUsed/>
    <w:rsid w:val="00ED0A20"/>
    <w:pPr>
      <w:spacing w:after="100"/>
      <w:ind w:left="220"/>
    </w:pPr>
  </w:style>
  <w:style w:type="character" w:styleId="Kommentarhenvisning">
    <w:name w:val="annotation reference"/>
    <w:uiPriority w:val="99"/>
    <w:semiHidden/>
    <w:unhideWhenUsed/>
    <w:rsid w:val="00F11536"/>
    <w:rPr>
      <w:sz w:val="16"/>
      <w:szCs w:val="16"/>
    </w:rPr>
  </w:style>
  <w:style w:type="paragraph" w:styleId="Kommentartekst">
    <w:name w:val="annotation text"/>
    <w:basedOn w:val="Normal"/>
    <w:link w:val="KommentartekstTegn"/>
    <w:uiPriority w:val="99"/>
    <w:semiHidden/>
    <w:unhideWhenUsed/>
    <w:rsid w:val="00F11536"/>
    <w:rPr>
      <w:sz w:val="20"/>
      <w:szCs w:val="20"/>
    </w:rPr>
  </w:style>
  <w:style w:type="character" w:customStyle="1" w:styleId="KommentartekstTegn">
    <w:name w:val="Kommentartekst Tegn"/>
    <w:link w:val="Kommentartekst"/>
    <w:uiPriority w:val="99"/>
    <w:semiHidden/>
    <w:rsid w:val="00F11536"/>
    <w:rPr>
      <w:lang w:eastAsia="en-US"/>
    </w:rPr>
  </w:style>
  <w:style w:type="paragraph" w:styleId="Kommentaremne">
    <w:name w:val="annotation subject"/>
    <w:basedOn w:val="Kommentartekst"/>
    <w:next w:val="Kommentartekst"/>
    <w:link w:val="KommentaremneTegn"/>
    <w:uiPriority w:val="99"/>
    <w:semiHidden/>
    <w:unhideWhenUsed/>
    <w:rsid w:val="00F11536"/>
    <w:rPr>
      <w:b/>
      <w:bCs/>
    </w:rPr>
  </w:style>
  <w:style w:type="character" w:customStyle="1" w:styleId="KommentaremneTegn">
    <w:name w:val="Kommentaremne Tegn"/>
    <w:link w:val="Kommentaremne"/>
    <w:uiPriority w:val="99"/>
    <w:semiHidden/>
    <w:rsid w:val="00F11536"/>
    <w:rPr>
      <w:b/>
      <w:bCs/>
      <w:lang w:eastAsia="en-US"/>
    </w:rPr>
  </w:style>
  <w:style w:type="paragraph" w:styleId="Markeringsbobletekst">
    <w:name w:val="Balloon Text"/>
    <w:basedOn w:val="Normal"/>
    <w:link w:val="MarkeringsbobletekstTegn"/>
    <w:uiPriority w:val="99"/>
    <w:semiHidden/>
    <w:unhideWhenUsed/>
    <w:rsid w:val="00DA03B2"/>
    <w:pPr>
      <w:spacing w:after="0" w:line="240" w:lineRule="auto"/>
    </w:pPr>
    <w:rPr>
      <w:rFonts w:ascii="Segoe UI" w:hAnsi="Segoe UI" w:cs="Segoe UI"/>
      <w:sz w:val="18"/>
      <w:szCs w:val="18"/>
    </w:rPr>
  </w:style>
  <w:style w:type="character" w:customStyle="1" w:styleId="MarkeringsbobletekstTegn">
    <w:name w:val="Markeringsbobletekst Tegn"/>
    <w:link w:val="Markeringsbobletekst"/>
    <w:uiPriority w:val="99"/>
    <w:semiHidden/>
    <w:rsid w:val="00DA03B2"/>
    <w:rPr>
      <w:rFonts w:ascii="Segoe UI" w:hAnsi="Segoe UI" w:cs="Segoe UI"/>
      <w:sz w:val="18"/>
      <w:szCs w:val="18"/>
      <w:lang w:val="en-GB" w:eastAsia="en-US"/>
    </w:rPr>
  </w:style>
  <w:style w:type="character" w:customStyle="1" w:styleId="Overskrift3Tegn">
    <w:name w:val="Overskrift 3 Tegn"/>
    <w:link w:val="Overskrift3"/>
    <w:uiPriority w:val="9"/>
    <w:rsid w:val="006234D9"/>
    <w:rPr>
      <w:rFonts w:eastAsia="Times New Roman" w:cs="Times New Roman"/>
      <w:b/>
      <w:bCs/>
      <w:i/>
      <w:sz w:val="24"/>
      <w:szCs w:val="26"/>
      <w:lang w:eastAsia="en-US"/>
    </w:rPr>
  </w:style>
  <w:style w:type="paragraph" w:styleId="Indholdsfortegnelse3">
    <w:name w:val="toc 3"/>
    <w:basedOn w:val="Normal"/>
    <w:next w:val="Normal"/>
    <w:autoRedefine/>
    <w:uiPriority w:val="39"/>
    <w:unhideWhenUsed/>
    <w:rsid w:val="000A41E5"/>
    <w:pPr>
      <w:ind w:left="440"/>
    </w:pPr>
  </w:style>
  <w:style w:type="paragraph" w:styleId="Listeafsnit">
    <w:name w:val="List Paragraph"/>
    <w:basedOn w:val="Normal"/>
    <w:uiPriority w:val="34"/>
    <w:qFormat/>
    <w:rsid w:val="00840554"/>
    <w:pPr>
      <w:ind w:left="720"/>
    </w:pPr>
  </w:style>
  <w:style w:type="table" w:styleId="Tabel-Gitter">
    <w:name w:val="Table Grid"/>
    <w:basedOn w:val="Tabel-Normal"/>
    <w:uiPriority w:val="59"/>
    <w:rsid w:val="00795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EF2A52"/>
    <w:rPr>
      <w:sz w:val="22"/>
      <w:szCs w:val="22"/>
      <w:lang w:eastAsia="en-US"/>
    </w:rPr>
  </w:style>
  <w:style w:type="character" w:styleId="BesgtLink">
    <w:name w:val="FollowedHyperlink"/>
    <w:basedOn w:val="Standardskrifttypeiafsnit"/>
    <w:uiPriority w:val="99"/>
    <w:semiHidden/>
    <w:unhideWhenUsed/>
    <w:rsid w:val="005055E0"/>
    <w:rPr>
      <w:color w:val="954F72" w:themeColor="followedHyperlink"/>
      <w:u w:val="single"/>
    </w:rPr>
  </w:style>
  <w:style w:type="paragraph" w:styleId="NormalWeb">
    <w:name w:val="Normal (Web)"/>
    <w:basedOn w:val="Normal"/>
    <w:uiPriority w:val="99"/>
    <w:unhideWhenUsed/>
    <w:rsid w:val="00F837E3"/>
    <w:pPr>
      <w:spacing w:before="100" w:beforeAutospacing="1" w:after="100" w:afterAutospacing="1" w:line="240" w:lineRule="auto"/>
    </w:pPr>
    <w:rPr>
      <w:rFonts w:ascii="Times New Roman" w:eastAsiaTheme="minorHAnsi" w:hAnsi="Times New Roman" w:cs="Times New Roman"/>
      <w:sz w:val="24"/>
      <w:szCs w:val="24"/>
      <w:lang w:val="da-DK" w:eastAsia="da-DK"/>
    </w:rPr>
  </w:style>
  <w:style w:type="paragraph" w:customStyle="1" w:styleId="BoxBox">
    <w:name w:val="Box Box"/>
    <w:basedOn w:val="Ingenafstand"/>
    <w:link w:val="BoxBoxChar"/>
    <w:qFormat/>
    <w:rsid w:val="00860787"/>
    <w:pPr>
      <w:spacing w:before="60" w:after="120"/>
    </w:pPr>
    <w:rPr>
      <w:rFonts w:ascii="Bierstadt" w:hAnsi="Bierstadt"/>
      <w:bCs/>
    </w:rPr>
  </w:style>
  <w:style w:type="character" w:customStyle="1" w:styleId="BoxBoxChar">
    <w:name w:val="Box Box Char"/>
    <w:basedOn w:val="Standardskrifttypeiafsnit"/>
    <w:link w:val="BoxBox"/>
    <w:rsid w:val="00860787"/>
    <w:rPr>
      <w:rFonts w:ascii="Bierstadt" w:hAnsi="Bierstadt"/>
      <w:bCs/>
      <w:sz w:val="22"/>
      <w:szCs w:val="22"/>
      <w:lang w:eastAsia="en-US"/>
    </w:rPr>
  </w:style>
  <w:style w:type="paragraph" w:styleId="Ingenafstand">
    <w:name w:val="No Spacing"/>
    <w:uiPriority w:val="1"/>
    <w:qFormat/>
    <w:rsid w:val="00860787"/>
    <w:rPr>
      <w:sz w:val="22"/>
      <w:szCs w:val="22"/>
      <w:lang w:eastAsia="en-US"/>
    </w:rPr>
  </w:style>
  <w:style w:type="character" w:styleId="Strk">
    <w:name w:val="Strong"/>
    <w:basedOn w:val="Standardskrifttypeiafsnit"/>
    <w:uiPriority w:val="22"/>
    <w:qFormat/>
    <w:rsid w:val="00EC4285"/>
    <w:rPr>
      <w:b/>
      <w:bCs/>
    </w:rPr>
  </w:style>
  <w:style w:type="character" w:styleId="Ulstomtale">
    <w:name w:val="Unresolved Mention"/>
    <w:basedOn w:val="Standardskrifttypeiafsnit"/>
    <w:uiPriority w:val="99"/>
    <w:semiHidden/>
    <w:unhideWhenUsed/>
    <w:rsid w:val="00BD3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159613">
      <w:bodyDiv w:val="1"/>
      <w:marLeft w:val="0"/>
      <w:marRight w:val="0"/>
      <w:marTop w:val="0"/>
      <w:marBottom w:val="0"/>
      <w:divBdr>
        <w:top w:val="none" w:sz="0" w:space="0" w:color="auto"/>
        <w:left w:val="none" w:sz="0" w:space="0" w:color="auto"/>
        <w:bottom w:val="none" w:sz="0" w:space="0" w:color="auto"/>
        <w:right w:val="none" w:sz="0" w:space="0" w:color="auto"/>
      </w:divBdr>
    </w:div>
    <w:div w:id="1099838786">
      <w:bodyDiv w:val="1"/>
      <w:marLeft w:val="0"/>
      <w:marRight w:val="0"/>
      <w:marTop w:val="0"/>
      <w:marBottom w:val="0"/>
      <w:divBdr>
        <w:top w:val="none" w:sz="0" w:space="0" w:color="auto"/>
        <w:left w:val="none" w:sz="0" w:space="0" w:color="auto"/>
        <w:bottom w:val="none" w:sz="0" w:space="0" w:color="auto"/>
        <w:right w:val="none" w:sz="0" w:space="0" w:color="auto"/>
      </w:divBdr>
    </w:div>
    <w:div w:id="1266309778">
      <w:bodyDiv w:val="1"/>
      <w:marLeft w:val="0"/>
      <w:marRight w:val="0"/>
      <w:marTop w:val="0"/>
      <w:marBottom w:val="0"/>
      <w:divBdr>
        <w:top w:val="none" w:sz="0" w:space="0" w:color="auto"/>
        <w:left w:val="none" w:sz="0" w:space="0" w:color="auto"/>
        <w:bottom w:val="none" w:sz="0" w:space="0" w:color="auto"/>
        <w:right w:val="none" w:sz="0" w:space="0" w:color="auto"/>
      </w:divBdr>
    </w:div>
    <w:div w:id="1747335408">
      <w:bodyDiv w:val="1"/>
      <w:marLeft w:val="0"/>
      <w:marRight w:val="0"/>
      <w:marTop w:val="0"/>
      <w:marBottom w:val="0"/>
      <w:divBdr>
        <w:top w:val="none" w:sz="0" w:space="0" w:color="auto"/>
        <w:left w:val="none" w:sz="0" w:space="0" w:color="auto"/>
        <w:bottom w:val="none" w:sz="0" w:space="0" w:color="auto"/>
        <w:right w:val="none" w:sz="0" w:space="0" w:color="auto"/>
      </w:divBdr>
    </w:div>
    <w:div w:id="1773284442">
      <w:bodyDiv w:val="1"/>
      <w:marLeft w:val="0"/>
      <w:marRight w:val="0"/>
      <w:marTop w:val="0"/>
      <w:marBottom w:val="0"/>
      <w:divBdr>
        <w:top w:val="none" w:sz="0" w:space="0" w:color="auto"/>
        <w:left w:val="none" w:sz="0" w:space="0" w:color="auto"/>
        <w:bottom w:val="none" w:sz="0" w:space="0" w:color="auto"/>
        <w:right w:val="none" w:sz="0" w:space="0" w:color="auto"/>
      </w:divBdr>
    </w:div>
    <w:div w:id="1827814686">
      <w:bodyDiv w:val="1"/>
      <w:marLeft w:val="0"/>
      <w:marRight w:val="0"/>
      <w:marTop w:val="0"/>
      <w:marBottom w:val="0"/>
      <w:divBdr>
        <w:top w:val="none" w:sz="0" w:space="0" w:color="auto"/>
        <w:left w:val="none" w:sz="0" w:space="0" w:color="auto"/>
        <w:bottom w:val="none" w:sz="0" w:space="0" w:color="auto"/>
        <w:right w:val="none" w:sz="0" w:space="0" w:color="auto"/>
      </w:divBdr>
    </w:div>
    <w:div w:id="205403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flac.awsassets.panda.org/downloads/rio_marker___revised_climate_marker_handbook_final.pdf?utm_source=chatgp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m.dk/en/danida/strategies-and-priorities/government-priorities-danish-development-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B210F-E32C-4D70-927F-841ECF1E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7310</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Tracking the amounts of climate finance resulting from the MFA’s strategic partnership agreements in 2020</vt:lpstr>
      <vt:lpstr>Tracking the amounts of climate finance resulting from the MFA’s strategic partnership agreements in 2020</vt:lpstr>
    </vt:vector>
  </TitlesOfParts>
  <Company/>
  <LinksUpToDate>false</LinksUpToDate>
  <CharactersWithSpaces>8575</CharactersWithSpaces>
  <SharedDoc>false</SharedDoc>
  <HLinks>
    <vt:vector size="72" baseType="variant">
      <vt:variant>
        <vt:i4>1703997</vt:i4>
      </vt:variant>
      <vt:variant>
        <vt:i4>62</vt:i4>
      </vt:variant>
      <vt:variant>
        <vt:i4>0</vt:i4>
      </vt:variant>
      <vt:variant>
        <vt:i4>5</vt:i4>
      </vt:variant>
      <vt:variant>
        <vt:lpwstr/>
      </vt:variant>
      <vt:variant>
        <vt:lpwstr>_Toc98928255</vt:lpwstr>
      </vt:variant>
      <vt:variant>
        <vt:i4>1769533</vt:i4>
      </vt:variant>
      <vt:variant>
        <vt:i4>56</vt:i4>
      </vt:variant>
      <vt:variant>
        <vt:i4>0</vt:i4>
      </vt:variant>
      <vt:variant>
        <vt:i4>5</vt:i4>
      </vt:variant>
      <vt:variant>
        <vt:lpwstr/>
      </vt:variant>
      <vt:variant>
        <vt:lpwstr>_Toc98928254</vt:lpwstr>
      </vt:variant>
      <vt:variant>
        <vt:i4>1835069</vt:i4>
      </vt:variant>
      <vt:variant>
        <vt:i4>50</vt:i4>
      </vt:variant>
      <vt:variant>
        <vt:i4>0</vt:i4>
      </vt:variant>
      <vt:variant>
        <vt:i4>5</vt:i4>
      </vt:variant>
      <vt:variant>
        <vt:lpwstr/>
      </vt:variant>
      <vt:variant>
        <vt:lpwstr>_Toc98928253</vt:lpwstr>
      </vt:variant>
      <vt:variant>
        <vt:i4>1966141</vt:i4>
      </vt:variant>
      <vt:variant>
        <vt:i4>44</vt:i4>
      </vt:variant>
      <vt:variant>
        <vt:i4>0</vt:i4>
      </vt:variant>
      <vt:variant>
        <vt:i4>5</vt:i4>
      </vt:variant>
      <vt:variant>
        <vt:lpwstr/>
      </vt:variant>
      <vt:variant>
        <vt:lpwstr>_Toc98928251</vt:lpwstr>
      </vt:variant>
      <vt:variant>
        <vt:i4>1441852</vt:i4>
      </vt:variant>
      <vt:variant>
        <vt:i4>38</vt:i4>
      </vt:variant>
      <vt:variant>
        <vt:i4>0</vt:i4>
      </vt:variant>
      <vt:variant>
        <vt:i4>5</vt:i4>
      </vt:variant>
      <vt:variant>
        <vt:lpwstr/>
      </vt:variant>
      <vt:variant>
        <vt:lpwstr>_Toc98928249</vt:lpwstr>
      </vt:variant>
      <vt:variant>
        <vt:i4>1507388</vt:i4>
      </vt:variant>
      <vt:variant>
        <vt:i4>32</vt:i4>
      </vt:variant>
      <vt:variant>
        <vt:i4>0</vt:i4>
      </vt:variant>
      <vt:variant>
        <vt:i4>5</vt:i4>
      </vt:variant>
      <vt:variant>
        <vt:lpwstr/>
      </vt:variant>
      <vt:variant>
        <vt:lpwstr>_Toc98928248</vt:lpwstr>
      </vt:variant>
      <vt:variant>
        <vt:i4>1572924</vt:i4>
      </vt:variant>
      <vt:variant>
        <vt:i4>26</vt:i4>
      </vt:variant>
      <vt:variant>
        <vt:i4>0</vt:i4>
      </vt:variant>
      <vt:variant>
        <vt:i4>5</vt:i4>
      </vt:variant>
      <vt:variant>
        <vt:lpwstr/>
      </vt:variant>
      <vt:variant>
        <vt:lpwstr>_Toc98928247</vt:lpwstr>
      </vt:variant>
      <vt:variant>
        <vt:i4>1638460</vt:i4>
      </vt:variant>
      <vt:variant>
        <vt:i4>20</vt:i4>
      </vt:variant>
      <vt:variant>
        <vt:i4>0</vt:i4>
      </vt:variant>
      <vt:variant>
        <vt:i4>5</vt:i4>
      </vt:variant>
      <vt:variant>
        <vt:lpwstr/>
      </vt:variant>
      <vt:variant>
        <vt:lpwstr>_Toc98928246</vt:lpwstr>
      </vt:variant>
      <vt:variant>
        <vt:i4>1769532</vt:i4>
      </vt:variant>
      <vt:variant>
        <vt:i4>14</vt:i4>
      </vt:variant>
      <vt:variant>
        <vt:i4>0</vt:i4>
      </vt:variant>
      <vt:variant>
        <vt:i4>5</vt:i4>
      </vt:variant>
      <vt:variant>
        <vt:lpwstr/>
      </vt:variant>
      <vt:variant>
        <vt:lpwstr>_Toc98928244</vt:lpwstr>
      </vt:variant>
      <vt:variant>
        <vt:i4>1835068</vt:i4>
      </vt:variant>
      <vt:variant>
        <vt:i4>8</vt:i4>
      </vt:variant>
      <vt:variant>
        <vt:i4>0</vt:i4>
      </vt:variant>
      <vt:variant>
        <vt:i4>5</vt:i4>
      </vt:variant>
      <vt:variant>
        <vt:lpwstr/>
      </vt:variant>
      <vt:variant>
        <vt:lpwstr>_Toc98928243</vt:lpwstr>
      </vt:variant>
      <vt:variant>
        <vt:i4>1900604</vt:i4>
      </vt:variant>
      <vt:variant>
        <vt:i4>2</vt:i4>
      </vt:variant>
      <vt:variant>
        <vt:i4>0</vt:i4>
      </vt:variant>
      <vt:variant>
        <vt:i4>5</vt:i4>
      </vt:variant>
      <vt:variant>
        <vt:lpwstr/>
      </vt:variant>
      <vt:variant>
        <vt:lpwstr>_Toc98928242</vt:lpwstr>
      </vt:variant>
      <vt:variant>
        <vt:i4>1638464</vt:i4>
      </vt:variant>
      <vt:variant>
        <vt:i4>0</vt:i4>
      </vt:variant>
      <vt:variant>
        <vt:i4>0</vt:i4>
      </vt:variant>
      <vt:variant>
        <vt:i4>5</vt:i4>
      </vt:variant>
      <vt:variant>
        <vt:lpwstr>https://www.oecd.org/officialdocuments/publicdisplaydocumentpdf/?cote=DCD/DAC/STAT(2020)44/ADD2/FINAL&amp;docLanguage=En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Tracking the amounts of climate finance resulting from the MFA’s strategic partnership agreements in 2020</dc:title>
  <dc:subject/>
  <dc:creator>Andrew Hattle</dc:creator>
  <cp:keywords/>
  <dc:description/>
  <cp:lastModifiedBy>Tina Reidl</cp:lastModifiedBy>
  <cp:revision>2</cp:revision>
  <cp:lastPrinted>2024-05-17T11:59:00Z</cp:lastPrinted>
  <dcterms:created xsi:type="dcterms:W3CDTF">2026-03-18T14:36:00Z</dcterms:created>
  <dcterms:modified xsi:type="dcterms:W3CDTF">2026-03-18T14:36:00Z</dcterms:modified>
</cp:coreProperties>
</file>