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FFF35" w14:textId="37D70746" w:rsidR="00077B6D" w:rsidRPr="00006FFC" w:rsidRDefault="00A053CA" w:rsidP="00A053CA">
      <w:pPr>
        <w:rPr>
          <w:rFonts w:cstheme="minorHAnsi"/>
          <w:b/>
          <w:bCs/>
          <w:color w:val="C00000"/>
          <w:sz w:val="28"/>
          <w:szCs w:val="28"/>
          <w:lang w:val="en-GB"/>
        </w:rPr>
      </w:pPr>
      <w:bookmarkStart w:id="0" w:name="_Toc362252490"/>
      <w:r w:rsidRPr="00006FFC">
        <w:rPr>
          <w:rFonts w:cstheme="minorHAnsi"/>
          <w:b/>
          <w:bCs/>
          <w:color w:val="C00000"/>
          <w:sz w:val="28"/>
          <w:szCs w:val="28"/>
          <w:lang w:val="en-GB"/>
        </w:rPr>
        <w:t>Template for Process Action Plan (PAP)</w:t>
      </w:r>
      <w:bookmarkEnd w:id="0"/>
      <w:r w:rsidR="004E7A65" w:rsidRPr="00006FFC">
        <w:rPr>
          <w:rFonts w:cstheme="minorHAnsi"/>
          <w:b/>
          <w:bCs/>
          <w:color w:val="C00000"/>
          <w:sz w:val="28"/>
          <w:szCs w:val="28"/>
          <w:lang w:val="en-GB"/>
        </w:rPr>
        <w:t xml:space="preserve"> for </w:t>
      </w:r>
      <w:r w:rsidR="0055307B" w:rsidRPr="00006FFC">
        <w:rPr>
          <w:rFonts w:cstheme="minorHAnsi"/>
          <w:b/>
          <w:bCs/>
          <w:color w:val="C00000"/>
          <w:sz w:val="28"/>
          <w:szCs w:val="28"/>
          <w:lang w:val="en-GB"/>
        </w:rPr>
        <w:t xml:space="preserve">Programmes and </w:t>
      </w:r>
      <w:r w:rsidR="005174CC" w:rsidRPr="00006FFC">
        <w:rPr>
          <w:rFonts w:cstheme="minorHAnsi"/>
          <w:b/>
          <w:bCs/>
          <w:color w:val="C00000"/>
          <w:sz w:val="28"/>
          <w:szCs w:val="28"/>
          <w:lang w:val="en-GB"/>
        </w:rPr>
        <w:t xml:space="preserve">Projects </w:t>
      </w:r>
      <w:r w:rsidR="00B9466C" w:rsidRPr="00006FFC">
        <w:rPr>
          <w:rFonts w:cstheme="minorHAnsi"/>
          <w:b/>
          <w:bCs/>
          <w:color w:val="C00000"/>
          <w:sz w:val="28"/>
          <w:szCs w:val="28"/>
          <w:lang w:val="en-GB"/>
        </w:rPr>
        <w:t>–implementation phase</w:t>
      </w:r>
    </w:p>
    <w:tbl>
      <w:tblPr>
        <w:tblStyle w:val="Tabel-Gitter"/>
        <w:tblpPr w:leftFromText="141" w:rightFromText="141" w:vertAnchor="text" w:tblpY="1"/>
        <w:tblOverlap w:val="never"/>
        <w:tblW w:w="0" w:type="auto"/>
        <w:tblLook w:val="04A0" w:firstRow="1" w:lastRow="0" w:firstColumn="1" w:lastColumn="0" w:noHBand="0" w:noVBand="1"/>
      </w:tblPr>
      <w:tblGrid>
        <w:gridCol w:w="2422"/>
        <w:gridCol w:w="2125"/>
        <w:gridCol w:w="2558"/>
        <w:gridCol w:w="2523"/>
      </w:tblGrid>
      <w:tr w:rsidR="00D566A5" w:rsidRPr="00ED5E4F" w14:paraId="607FC04A" w14:textId="77777777" w:rsidTr="00077B6D">
        <w:trPr>
          <w:tblHeader/>
        </w:trPr>
        <w:tc>
          <w:tcPr>
            <w:tcW w:w="2422" w:type="dxa"/>
            <w:shd w:val="clear" w:color="auto" w:fill="C2D69B" w:themeFill="accent3" w:themeFillTint="99"/>
          </w:tcPr>
          <w:p w14:paraId="0B0E8B2B" w14:textId="77777777" w:rsidR="006A6199" w:rsidRPr="0076208A" w:rsidRDefault="006A6199" w:rsidP="00500EC1">
            <w:pPr>
              <w:rPr>
                <w:b/>
                <w:bCs/>
                <w:sz w:val="24"/>
                <w:szCs w:val="24"/>
                <w:lang w:val="en-GB"/>
              </w:rPr>
            </w:pPr>
            <w:r w:rsidRPr="0076208A">
              <w:rPr>
                <w:b/>
                <w:bCs/>
                <w:sz w:val="24"/>
                <w:szCs w:val="24"/>
                <w:lang w:val="en-GB"/>
              </w:rPr>
              <w:t>Action</w:t>
            </w:r>
            <w:r w:rsidR="00500EC1" w:rsidRPr="0076208A">
              <w:rPr>
                <w:b/>
                <w:bCs/>
                <w:sz w:val="24"/>
                <w:szCs w:val="24"/>
                <w:lang w:val="en-GB"/>
              </w:rPr>
              <w:t>/product</w:t>
            </w:r>
          </w:p>
        </w:tc>
        <w:tc>
          <w:tcPr>
            <w:tcW w:w="2125" w:type="dxa"/>
            <w:shd w:val="clear" w:color="auto" w:fill="C2D69B" w:themeFill="accent3" w:themeFillTint="99"/>
          </w:tcPr>
          <w:p w14:paraId="47FDAE49" w14:textId="77777777" w:rsidR="006A6199" w:rsidRPr="0076208A" w:rsidRDefault="006A6199" w:rsidP="00500EC1">
            <w:pPr>
              <w:rPr>
                <w:b/>
                <w:bCs/>
                <w:sz w:val="24"/>
                <w:szCs w:val="24"/>
                <w:lang w:val="en-GB"/>
              </w:rPr>
            </w:pPr>
            <w:r w:rsidRPr="0076208A">
              <w:rPr>
                <w:b/>
                <w:bCs/>
                <w:sz w:val="24"/>
                <w:szCs w:val="24"/>
                <w:lang w:val="en-GB"/>
              </w:rPr>
              <w:t>Deadlines</w:t>
            </w:r>
          </w:p>
        </w:tc>
        <w:tc>
          <w:tcPr>
            <w:tcW w:w="2558" w:type="dxa"/>
            <w:shd w:val="clear" w:color="auto" w:fill="C2D69B" w:themeFill="accent3" w:themeFillTint="99"/>
          </w:tcPr>
          <w:p w14:paraId="5AA6299E" w14:textId="77777777" w:rsidR="0076208A" w:rsidRDefault="006A6199" w:rsidP="00500EC1">
            <w:pPr>
              <w:rPr>
                <w:b/>
                <w:bCs/>
                <w:sz w:val="24"/>
                <w:szCs w:val="24"/>
                <w:lang w:val="en-GB"/>
              </w:rPr>
            </w:pPr>
            <w:r w:rsidRPr="0076208A">
              <w:rPr>
                <w:b/>
                <w:bCs/>
                <w:sz w:val="24"/>
                <w:szCs w:val="24"/>
                <w:lang w:val="en-GB"/>
              </w:rPr>
              <w:t>Responsible</w:t>
            </w:r>
            <w:r w:rsidR="007B5CAC" w:rsidRPr="0076208A">
              <w:rPr>
                <w:b/>
                <w:bCs/>
                <w:sz w:val="24"/>
                <w:szCs w:val="24"/>
                <w:lang w:val="en-GB"/>
              </w:rPr>
              <w:t>/</w:t>
            </w:r>
          </w:p>
          <w:p w14:paraId="1F301AA3" w14:textId="5B655CCE" w:rsidR="006A6199" w:rsidRPr="0076208A" w:rsidRDefault="007B5CAC" w:rsidP="00500EC1">
            <w:pPr>
              <w:rPr>
                <w:b/>
                <w:bCs/>
                <w:sz w:val="24"/>
                <w:szCs w:val="24"/>
                <w:lang w:val="en-GB"/>
              </w:rPr>
            </w:pPr>
            <w:r w:rsidRPr="0076208A">
              <w:rPr>
                <w:b/>
                <w:bCs/>
                <w:sz w:val="24"/>
                <w:szCs w:val="24"/>
                <w:lang w:val="en-GB"/>
              </w:rPr>
              <w:t>involved units</w:t>
            </w:r>
          </w:p>
        </w:tc>
        <w:tc>
          <w:tcPr>
            <w:tcW w:w="2523" w:type="dxa"/>
            <w:shd w:val="clear" w:color="auto" w:fill="C2D69B" w:themeFill="accent3" w:themeFillTint="99"/>
          </w:tcPr>
          <w:p w14:paraId="137A93AB" w14:textId="77777777" w:rsidR="006A6199" w:rsidRPr="0076208A" w:rsidRDefault="006A6199" w:rsidP="00500EC1">
            <w:pPr>
              <w:rPr>
                <w:b/>
                <w:bCs/>
                <w:sz w:val="24"/>
                <w:szCs w:val="24"/>
                <w:lang w:val="en-GB"/>
              </w:rPr>
            </w:pPr>
            <w:r w:rsidRPr="0076208A">
              <w:rPr>
                <w:b/>
                <w:bCs/>
                <w:sz w:val="24"/>
                <w:szCs w:val="24"/>
                <w:lang w:val="en-GB"/>
              </w:rPr>
              <w:t>Comment/status</w:t>
            </w:r>
          </w:p>
        </w:tc>
      </w:tr>
      <w:tr w:rsidR="004E55EF" w:rsidRPr="00006FFC" w14:paraId="791487A6" w14:textId="77777777" w:rsidTr="00621FFB">
        <w:tc>
          <w:tcPr>
            <w:tcW w:w="9628" w:type="dxa"/>
            <w:gridSpan w:val="4"/>
          </w:tcPr>
          <w:p w14:paraId="74338F7C" w14:textId="0E3551EF" w:rsidR="004E55EF" w:rsidRPr="00497EF8" w:rsidRDefault="004E55EF" w:rsidP="004E55EF">
            <w:pPr>
              <w:rPr>
                <w:b/>
                <w:sz w:val="20"/>
                <w:lang w:val="en-GB"/>
              </w:rPr>
            </w:pPr>
            <w:r>
              <w:rPr>
                <w:b/>
                <w:sz w:val="20"/>
                <w:lang w:val="en-GB"/>
              </w:rPr>
              <w:t xml:space="preserve">Initial actions following the </w:t>
            </w:r>
            <w:r w:rsidR="0055307B">
              <w:rPr>
                <w:b/>
                <w:sz w:val="20"/>
                <w:lang w:val="en-GB"/>
              </w:rPr>
              <w:t xml:space="preserve">grant </w:t>
            </w:r>
            <w:r>
              <w:rPr>
                <w:b/>
                <w:sz w:val="20"/>
                <w:lang w:val="en-GB"/>
              </w:rPr>
              <w:t>approval</w:t>
            </w:r>
          </w:p>
        </w:tc>
      </w:tr>
      <w:tr w:rsidR="004E55EF" w:rsidRPr="0054390E" w14:paraId="0AF328BD" w14:textId="77777777" w:rsidTr="00077B6D">
        <w:tc>
          <w:tcPr>
            <w:tcW w:w="2422" w:type="dxa"/>
          </w:tcPr>
          <w:p w14:paraId="6C6AE972" w14:textId="231371D4" w:rsidR="004E55EF" w:rsidRPr="00ED5E4F" w:rsidRDefault="004E55EF" w:rsidP="004E55EF">
            <w:pPr>
              <w:rPr>
                <w:sz w:val="20"/>
                <w:lang w:val="en-GB"/>
              </w:rPr>
            </w:pPr>
            <w:r w:rsidRPr="00ED5E4F">
              <w:rPr>
                <w:sz w:val="20"/>
                <w:lang w:val="en-GB"/>
              </w:rPr>
              <w:t xml:space="preserve">Signing of Government-to-government agreement(s) and/or other legally binding agreements </w:t>
            </w:r>
            <w:r>
              <w:rPr>
                <w:sz w:val="20"/>
                <w:lang w:val="en-GB"/>
              </w:rPr>
              <w:t xml:space="preserve">(commitments) with </w:t>
            </w:r>
            <w:r w:rsidR="0055307B">
              <w:rPr>
                <w:sz w:val="20"/>
                <w:lang w:val="en-GB"/>
              </w:rPr>
              <w:t xml:space="preserve">implementing </w:t>
            </w:r>
            <w:r>
              <w:rPr>
                <w:sz w:val="20"/>
                <w:lang w:val="en-GB"/>
              </w:rPr>
              <w:t>partner</w:t>
            </w:r>
            <w:r w:rsidR="00BE050A">
              <w:rPr>
                <w:sz w:val="20"/>
                <w:lang w:val="en-GB"/>
              </w:rPr>
              <w:t>(s)</w:t>
            </w:r>
          </w:p>
        </w:tc>
        <w:tc>
          <w:tcPr>
            <w:tcW w:w="2125" w:type="dxa"/>
          </w:tcPr>
          <w:p w14:paraId="5C8AB405" w14:textId="0B46D920" w:rsidR="004E55EF" w:rsidRPr="00ED5E4F" w:rsidRDefault="004E55EF" w:rsidP="004E55EF">
            <w:pPr>
              <w:rPr>
                <w:sz w:val="20"/>
                <w:lang w:val="en-GB"/>
              </w:rPr>
            </w:pPr>
            <w:r w:rsidRPr="00ED5E4F">
              <w:rPr>
                <w:sz w:val="20"/>
                <w:lang w:val="en-GB"/>
              </w:rPr>
              <w:t>After approval</w:t>
            </w:r>
            <w:r w:rsidR="0055307B">
              <w:rPr>
                <w:sz w:val="20"/>
                <w:lang w:val="en-GB"/>
              </w:rPr>
              <w:t xml:space="preserve"> by relevant authority</w:t>
            </w:r>
          </w:p>
        </w:tc>
        <w:tc>
          <w:tcPr>
            <w:tcW w:w="2558" w:type="dxa"/>
          </w:tcPr>
          <w:p w14:paraId="50291C86" w14:textId="51BBA0F7" w:rsidR="004E55EF" w:rsidRPr="00ED5E4F" w:rsidRDefault="00462038" w:rsidP="004E55EF">
            <w:pPr>
              <w:rPr>
                <w:sz w:val="20"/>
                <w:lang w:val="en-GB"/>
              </w:rPr>
            </w:pPr>
            <w:r>
              <w:rPr>
                <w:sz w:val="20"/>
                <w:lang w:val="en-GB"/>
              </w:rPr>
              <w:t>Responsible unit</w:t>
            </w:r>
          </w:p>
        </w:tc>
        <w:tc>
          <w:tcPr>
            <w:tcW w:w="2523" w:type="dxa"/>
          </w:tcPr>
          <w:p w14:paraId="5438326C" w14:textId="77777777" w:rsidR="004E55EF" w:rsidRPr="00ED5E4F" w:rsidRDefault="004E55EF" w:rsidP="004E55EF">
            <w:pPr>
              <w:rPr>
                <w:sz w:val="20"/>
                <w:lang w:val="en-GB"/>
              </w:rPr>
            </w:pPr>
          </w:p>
        </w:tc>
      </w:tr>
      <w:tr w:rsidR="004E55EF" w:rsidRPr="00462038" w14:paraId="1CCE2082" w14:textId="77777777" w:rsidTr="00077B6D">
        <w:tc>
          <w:tcPr>
            <w:tcW w:w="2422" w:type="dxa"/>
          </w:tcPr>
          <w:p w14:paraId="2D6E836C" w14:textId="3ED94EF6" w:rsidR="004E55EF" w:rsidRPr="00ED5E4F" w:rsidRDefault="004E55EF" w:rsidP="004E55EF">
            <w:pPr>
              <w:rPr>
                <w:sz w:val="20"/>
                <w:lang w:val="en-GB"/>
              </w:rPr>
            </w:pPr>
            <w:r>
              <w:rPr>
                <w:sz w:val="20"/>
                <w:lang w:val="en-GB"/>
              </w:rPr>
              <w:t>Register</w:t>
            </w:r>
            <w:r w:rsidRPr="00ED5E4F">
              <w:rPr>
                <w:sz w:val="20"/>
                <w:lang w:val="en-GB"/>
              </w:rPr>
              <w:t xml:space="preserve"> commitment</w:t>
            </w:r>
            <w:r w:rsidR="00BE050A">
              <w:rPr>
                <w:sz w:val="20"/>
                <w:lang w:val="en-GB"/>
              </w:rPr>
              <w:t>(s)</w:t>
            </w:r>
            <w:r w:rsidRPr="00ED5E4F">
              <w:rPr>
                <w:sz w:val="20"/>
                <w:lang w:val="en-GB"/>
              </w:rPr>
              <w:t xml:space="preserve"> in MFA’s financial </w:t>
            </w:r>
            <w:r>
              <w:rPr>
                <w:sz w:val="20"/>
                <w:lang w:val="en-GB"/>
              </w:rPr>
              <w:t>systems within the planned quarter</w:t>
            </w:r>
          </w:p>
        </w:tc>
        <w:tc>
          <w:tcPr>
            <w:tcW w:w="2125" w:type="dxa"/>
          </w:tcPr>
          <w:p w14:paraId="03B498E2" w14:textId="77777777" w:rsidR="004E55EF" w:rsidRPr="00ED5E4F" w:rsidRDefault="004E55EF" w:rsidP="004E55EF">
            <w:pPr>
              <w:rPr>
                <w:sz w:val="20"/>
                <w:lang w:val="en-GB"/>
              </w:rPr>
            </w:pPr>
            <w:r w:rsidRPr="00ED5E4F">
              <w:rPr>
                <w:sz w:val="20"/>
                <w:lang w:val="en-GB"/>
              </w:rPr>
              <w:t>After agreement(s) are signed</w:t>
            </w:r>
          </w:p>
        </w:tc>
        <w:tc>
          <w:tcPr>
            <w:tcW w:w="2558" w:type="dxa"/>
          </w:tcPr>
          <w:p w14:paraId="4259D6FD" w14:textId="4BAC5576" w:rsidR="004E55EF" w:rsidRPr="00ED5E4F" w:rsidRDefault="00462038" w:rsidP="004E55EF">
            <w:pPr>
              <w:rPr>
                <w:sz w:val="20"/>
                <w:lang w:val="en-GB"/>
              </w:rPr>
            </w:pPr>
            <w:r>
              <w:rPr>
                <w:sz w:val="20"/>
                <w:lang w:val="en-GB"/>
              </w:rPr>
              <w:t xml:space="preserve">Responsible unit </w:t>
            </w:r>
          </w:p>
        </w:tc>
        <w:tc>
          <w:tcPr>
            <w:tcW w:w="2523" w:type="dxa"/>
          </w:tcPr>
          <w:p w14:paraId="0B998D4B" w14:textId="77777777" w:rsidR="004E55EF" w:rsidRPr="00ED5E4F" w:rsidRDefault="004E55EF" w:rsidP="004E55EF">
            <w:pPr>
              <w:rPr>
                <w:sz w:val="20"/>
                <w:lang w:val="en-GB"/>
              </w:rPr>
            </w:pPr>
          </w:p>
        </w:tc>
      </w:tr>
      <w:tr w:rsidR="0095024D" w:rsidRPr="00006FFC" w14:paraId="2859C002" w14:textId="77777777" w:rsidTr="0044144B">
        <w:tc>
          <w:tcPr>
            <w:tcW w:w="9628" w:type="dxa"/>
            <w:gridSpan w:val="4"/>
          </w:tcPr>
          <w:p w14:paraId="40AF83A2" w14:textId="1332347C" w:rsidR="0095024D" w:rsidRPr="00ED5E4F" w:rsidRDefault="0095024D" w:rsidP="004E55EF">
            <w:pPr>
              <w:rPr>
                <w:sz w:val="20"/>
                <w:lang w:val="en-GB"/>
              </w:rPr>
            </w:pPr>
            <w:r w:rsidRPr="0095024D">
              <w:rPr>
                <w:b/>
                <w:sz w:val="20"/>
                <w:lang w:val="en-GB"/>
              </w:rPr>
              <w:t>Implementation phase</w:t>
            </w:r>
            <w:r w:rsidR="00B9466C" w:rsidRPr="00B9466C">
              <w:rPr>
                <w:bCs/>
                <w:sz w:val="20"/>
                <w:lang w:val="en-GB"/>
              </w:rPr>
              <w:t>*</w:t>
            </w:r>
            <w:r w:rsidR="00B9466C">
              <w:rPr>
                <w:b/>
                <w:sz w:val="20"/>
                <w:lang w:val="en-GB"/>
              </w:rPr>
              <w:t xml:space="preserve"> </w:t>
            </w:r>
            <w:r w:rsidR="00B9466C" w:rsidRPr="00B9466C">
              <w:rPr>
                <w:bCs/>
                <w:i/>
                <w:iCs/>
                <w:sz w:val="20"/>
                <w:lang w:val="en-GB"/>
              </w:rPr>
              <w:t>[examples of activities inserted</w:t>
            </w:r>
            <w:r w:rsidR="00B9466C">
              <w:rPr>
                <w:bCs/>
                <w:i/>
                <w:iCs/>
                <w:sz w:val="20"/>
                <w:lang w:val="en-GB"/>
              </w:rPr>
              <w:t xml:space="preserve"> – to be adjusted according to programme or project</w:t>
            </w:r>
            <w:r w:rsidR="00896DEC">
              <w:rPr>
                <w:bCs/>
                <w:i/>
                <w:iCs/>
                <w:sz w:val="20"/>
                <w:lang w:val="en-GB"/>
              </w:rPr>
              <w:t>, and inserted for each year of implementation</w:t>
            </w:r>
            <w:r w:rsidR="00B9466C">
              <w:rPr>
                <w:bCs/>
                <w:i/>
                <w:iCs/>
                <w:sz w:val="20"/>
                <w:lang w:val="en-GB"/>
              </w:rPr>
              <w:t>]</w:t>
            </w:r>
          </w:p>
        </w:tc>
      </w:tr>
      <w:tr w:rsidR="00B9466C" w:rsidRPr="00B9466C" w14:paraId="7C238C11" w14:textId="77777777" w:rsidTr="00077B6D">
        <w:tc>
          <w:tcPr>
            <w:tcW w:w="2422" w:type="dxa"/>
          </w:tcPr>
          <w:p w14:paraId="18A31AC5" w14:textId="3E8BE745" w:rsidR="00B9466C" w:rsidRDefault="00896DEC" w:rsidP="004E55EF">
            <w:pPr>
              <w:rPr>
                <w:sz w:val="20"/>
                <w:lang w:val="en-GB"/>
              </w:rPr>
            </w:pPr>
            <w:r>
              <w:rPr>
                <w:sz w:val="20"/>
                <w:lang w:val="en-GB"/>
              </w:rPr>
              <w:t>Inception report</w:t>
            </w:r>
          </w:p>
        </w:tc>
        <w:tc>
          <w:tcPr>
            <w:tcW w:w="2125" w:type="dxa"/>
          </w:tcPr>
          <w:p w14:paraId="4446B755" w14:textId="77777777" w:rsidR="00B9466C" w:rsidRPr="00ED5E4F" w:rsidRDefault="00B9466C" w:rsidP="004E55EF">
            <w:pPr>
              <w:rPr>
                <w:sz w:val="20"/>
                <w:lang w:val="en-GB"/>
              </w:rPr>
            </w:pPr>
          </w:p>
        </w:tc>
        <w:tc>
          <w:tcPr>
            <w:tcW w:w="2558" w:type="dxa"/>
          </w:tcPr>
          <w:p w14:paraId="67F40175" w14:textId="77777777" w:rsidR="00B9466C" w:rsidRDefault="00B9466C" w:rsidP="004E55EF">
            <w:pPr>
              <w:rPr>
                <w:sz w:val="20"/>
                <w:lang w:val="en-GB"/>
              </w:rPr>
            </w:pPr>
          </w:p>
        </w:tc>
        <w:tc>
          <w:tcPr>
            <w:tcW w:w="2523" w:type="dxa"/>
          </w:tcPr>
          <w:p w14:paraId="16E8CD95" w14:textId="77777777" w:rsidR="00B9466C" w:rsidRPr="00ED5E4F" w:rsidRDefault="00B9466C" w:rsidP="004E55EF">
            <w:pPr>
              <w:rPr>
                <w:sz w:val="20"/>
                <w:lang w:val="en-GB"/>
              </w:rPr>
            </w:pPr>
          </w:p>
        </w:tc>
      </w:tr>
      <w:tr w:rsidR="00B9466C" w:rsidRPr="00006FFC" w14:paraId="3FC76EF4" w14:textId="77777777" w:rsidTr="00077B6D">
        <w:tc>
          <w:tcPr>
            <w:tcW w:w="2422" w:type="dxa"/>
          </w:tcPr>
          <w:p w14:paraId="3640B20B" w14:textId="56CC25CC" w:rsidR="00B9466C" w:rsidRDefault="00B9466C" w:rsidP="004E55EF">
            <w:pPr>
              <w:rPr>
                <w:sz w:val="20"/>
                <w:lang w:val="en-GB"/>
              </w:rPr>
            </w:pPr>
            <w:r>
              <w:rPr>
                <w:sz w:val="20"/>
                <w:lang w:val="en-GB"/>
              </w:rPr>
              <w:t>Half-yearly narrative and financial reports</w:t>
            </w:r>
          </w:p>
        </w:tc>
        <w:tc>
          <w:tcPr>
            <w:tcW w:w="2125" w:type="dxa"/>
          </w:tcPr>
          <w:p w14:paraId="6AFB18E6" w14:textId="77777777" w:rsidR="00B9466C" w:rsidRPr="00ED5E4F" w:rsidRDefault="00B9466C" w:rsidP="004E55EF">
            <w:pPr>
              <w:rPr>
                <w:sz w:val="20"/>
                <w:lang w:val="en-GB"/>
              </w:rPr>
            </w:pPr>
          </w:p>
        </w:tc>
        <w:tc>
          <w:tcPr>
            <w:tcW w:w="2558" w:type="dxa"/>
          </w:tcPr>
          <w:p w14:paraId="3DF725A4" w14:textId="77777777" w:rsidR="00B9466C" w:rsidRDefault="00B9466C" w:rsidP="004E55EF">
            <w:pPr>
              <w:rPr>
                <w:sz w:val="20"/>
                <w:lang w:val="en-GB"/>
              </w:rPr>
            </w:pPr>
          </w:p>
        </w:tc>
        <w:tc>
          <w:tcPr>
            <w:tcW w:w="2523" w:type="dxa"/>
          </w:tcPr>
          <w:p w14:paraId="4D6BE89B" w14:textId="77777777" w:rsidR="00B9466C" w:rsidRPr="00ED5E4F" w:rsidRDefault="00B9466C" w:rsidP="004E55EF">
            <w:pPr>
              <w:rPr>
                <w:sz w:val="20"/>
                <w:lang w:val="en-GB"/>
              </w:rPr>
            </w:pPr>
          </w:p>
        </w:tc>
      </w:tr>
      <w:tr w:rsidR="00896DEC" w:rsidRPr="00B9466C" w14:paraId="424F0B38" w14:textId="77777777" w:rsidTr="00077B6D">
        <w:tc>
          <w:tcPr>
            <w:tcW w:w="2422" w:type="dxa"/>
          </w:tcPr>
          <w:p w14:paraId="2FB5B2C0" w14:textId="6276C04B" w:rsidR="00896DEC" w:rsidRDefault="00896DEC" w:rsidP="004E55EF">
            <w:pPr>
              <w:rPr>
                <w:sz w:val="20"/>
                <w:lang w:val="en-GB"/>
              </w:rPr>
            </w:pPr>
            <w:r>
              <w:rPr>
                <w:sz w:val="20"/>
                <w:lang w:val="en-GB"/>
              </w:rPr>
              <w:t>Annual/semi-annual disbursement</w:t>
            </w:r>
          </w:p>
        </w:tc>
        <w:tc>
          <w:tcPr>
            <w:tcW w:w="2125" w:type="dxa"/>
          </w:tcPr>
          <w:p w14:paraId="68974098" w14:textId="77777777" w:rsidR="00896DEC" w:rsidRPr="00ED5E4F" w:rsidRDefault="00896DEC" w:rsidP="004E55EF">
            <w:pPr>
              <w:rPr>
                <w:sz w:val="20"/>
                <w:lang w:val="en-GB"/>
              </w:rPr>
            </w:pPr>
          </w:p>
        </w:tc>
        <w:tc>
          <w:tcPr>
            <w:tcW w:w="2558" w:type="dxa"/>
          </w:tcPr>
          <w:p w14:paraId="0D96070D" w14:textId="77777777" w:rsidR="00896DEC" w:rsidRDefault="00896DEC" w:rsidP="004E55EF">
            <w:pPr>
              <w:rPr>
                <w:sz w:val="20"/>
                <w:lang w:val="en-GB"/>
              </w:rPr>
            </w:pPr>
          </w:p>
        </w:tc>
        <w:tc>
          <w:tcPr>
            <w:tcW w:w="2523" w:type="dxa"/>
          </w:tcPr>
          <w:p w14:paraId="4F992C8D" w14:textId="77777777" w:rsidR="00896DEC" w:rsidRPr="00ED5E4F" w:rsidRDefault="00896DEC" w:rsidP="004E55EF">
            <w:pPr>
              <w:rPr>
                <w:sz w:val="20"/>
                <w:lang w:val="en-GB"/>
              </w:rPr>
            </w:pPr>
          </w:p>
        </w:tc>
      </w:tr>
      <w:tr w:rsidR="0095024D" w:rsidRPr="00006FFC" w14:paraId="30C9147C" w14:textId="77777777" w:rsidTr="00077B6D">
        <w:tc>
          <w:tcPr>
            <w:tcW w:w="2422" w:type="dxa"/>
          </w:tcPr>
          <w:p w14:paraId="5ACA19C0" w14:textId="18682005" w:rsidR="0095024D" w:rsidRDefault="00B9466C" w:rsidP="004E55EF">
            <w:pPr>
              <w:rPr>
                <w:sz w:val="20"/>
                <w:lang w:val="en-GB"/>
              </w:rPr>
            </w:pPr>
            <w:r w:rsidRPr="00B9466C">
              <w:rPr>
                <w:sz w:val="20"/>
                <w:lang w:val="en-GB"/>
              </w:rPr>
              <w:t>Annual narrative and financial reports</w:t>
            </w:r>
            <w:r w:rsidR="00896DEC" w:rsidRPr="00896DEC">
              <w:rPr>
                <w:sz w:val="20"/>
                <w:lang w:val="en-GB"/>
              </w:rPr>
              <w:t xml:space="preserve"> incl. audited financial statements</w:t>
            </w:r>
          </w:p>
        </w:tc>
        <w:tc>
          <w:tcPr>
            <w:tcW w:w="2125" w:type="dxa"/>
          </w:tcPr>
          <w:p w14:paraId="164AB843" w14:textId="77777777" w:rsidR="0095024D" w:rsidRPr="00ED5E4F" w:rsidRDefault="0095024D" w:rsidP="004E55EF">
            <w:pPr>
              <w:rPr>
                <w:sz w:val="20"/>
                <w:lang w:val="en-GB"/>
              </w:rPr>
            </w:pPr>
          </w:p>
        </w:tc>
        <w:tc>
          <w:tcPr>
            <w:tcW w:w="2558" w:type="dxa"/>
          </w:tcPr>
          <w:p w14:paraId="4B8BB031" w14:textId="77777777" w:rsidR="0095024D" w:rsidRDefault="0095024D" w:rsidP="004E55EF">
            <w:pPr>
              <w:rPr>
                <w:sz w:val="20"/>
                <w:lang w:val="en-GB"/>
              </w:rPr>
            </w:pPr>
          </w:p>
        </w:tc>
        <w:tc>
          <w:tcPr>
            <w:tcW w:w="2523" w:type="dxa"/>
          </w:tcPr>
          <w:p w14:paraId="48F31713" w14:textId="77777777" w:rsidR="0095024D" w:rsidRPr="00ED5E4F" w:rsidRDefault="0095024D" w:rsidP="004E55EF">
            <w:pPr>
              <w:rPr>
                <w:sz w:val="20"/>
                <w:lang w:val="en-GB"/>
              </w:rPr>
            </w:pPr>
          </w:p>
        </w:tc>
      </w:tr>
      <w:tr w:rsidR="00896DEC" w:rsidRPr="00B9466C" w14:paraId="0B019C68" w14:textId="77777777" w:rsidTr="00077B6D">
        <w:tc>
          <w:tcPr>
            <w:tcW w:w="2422" w:type="dxa"/>
          </w:tcPr>
          <w:p w14:paraId="7A0C031C" w14:textId="14F50FB4" w:rsidR="00896DEC" w:rsidRDefault="00896DEC" w:rsidP="004E55EF">
            <w:pPr>
              <w:rPr>
                <w:sz w:val="20"/>
                <w:lang w:val="en-GB"/>
              </w:rPr>
            </w:pPr>
            <w:r>
              <w:rPr>
                <w:sz w:val="20"/>
                <w:lang w:val="en-GB"/>
              </w:rPr>
              <w:t>Steering committee meeting(s)</w:t>
            </w:r>
          </w:p>
        </w:tc>
        <w:tc>
          <w:tcPr>
            <w:tcW w:w="2125" w:type="dxa"/>
          </w:tcPr>
          <w:p w14:paraId="39E034B2" w14:textId="77777777" w:rsidR="00896DEC" w:rsidRPr="00ED5E4F" w:rsidRDefault="00896DEC" w:rsidP="004E55EF">
            <w:pPr>
              <w:rPr>
                <w:sz w:val="20"/>
                <w:lang w:val="en-GB"/>
              </w:rPr>
            </w:pPr>
          </w:p>
        </w:tc>
        <w:tc>
          <w:tcPr>
            <w:tcW w:w="2558" w:type="dxa"/>
          </w:tcPr>
          <w:p w14:paraId="69525D50" w14:textId="77777777" w:rsidR="00896DEC" w:rsidRDefault="00896DEC" w:rsidP="004E55EF">
            <w:pPr>
              <w:rPr>
                <w:sz w:val="20"/>
                <w:lang w:val="en-GB"/>
              </w:rPr>
            </w:pPr>
          </w:p>
        </w:tc>
        <w:tc>
          <w:tcPr>
            <w:tcW w:w="2523" w:type="dxa"/>
          </w:tcPr>
          <w:p w14:paraId="17D2BF4D" w14:textId="77777777" w:rsidR="00896DEC" w:rsidRPr="00ED5E4F" w:rsidRDefault="00896DEC" w:rsidP="004E55EF">
            <w:pPr>
              <w:rPr>
                <w:sz w:val="20"/>
                <w:lang w:val="en-GB"/>
              </w:rPr>
            </w:pPr>
          </w:p>
        </w:tc>
      </w:tr>
      <w:tr w:rsidR="00B9466C" w:rsidRPr="00B9466C" w14:paraId="1C8C9FD8" w14:textId="77777777" w:rsidTr="00077B6D">
        <w:tc>
          <w:tcPr>
            <w:tcW w:w="2422" w:type="dxa"/>
          </w:tcPr>
          <w:p w14:paraId="36577351" w14:textId="59A9C2D0" w:rsidR="00B9466C" w:rsidRDefault="00B9466C" w:rsidP="004E55EF">
            <w:pPr>
              <w:rPr>
                <w:sz w:val="20"/>
                <w:lang w:val="en-GB"/>
              </w:rPr>
            </w:pPr>
            <w:r>
              <w:rPr>
                <w:sz w:val="20"/>
                <w:lang w:val="en-GB"/>
              </w:rPr>
              <w:t>Annual partner meeting</w:t>
            </w:r>
          </w:p>
        </w:tc>
        <w:tc>
          <w:tcPr>
            <w:tcW w:w="2125" w:type="dxa"/>
          </w:tcPr>
          <w:p w14:paraId="53EFAC36" w14:textId="77777777" w:rsidR="00B9466C" w:rsidRPr="00ED5E4F" w:rsidRDefault="00B9466C" w:rsidP="004E55EF">
            <w:pPr>
              <w:rPr>
                <w:sz w:val="20"/>
                <w:lang w:val="en-GB"/>
              </w:rPr>
            </w:pPr>
          </w:p>
        </w:tc>
        <w:tc>
          <w:tcPr>
            <w:tcW w:w="2558" w:type="dxa"/>
          </w:tcPr>
          <w:p w14:paraId="2CAE7FE4" w14:textId="77777777" w:rsidR="00B9466C" w:rsidRDefault="00B9466C" w:rsidP="004E55EF">
            <w:pPr>
              <w:rPr>
                <w:sz w:val="20"/>
                <w:lang w:val="en-GB"/>
              </w:rPr>
            </w:pPr>
          </w:p>
        </w:tc>
        <w:tc>
          <w:tcPr>
            <w:tcW w:w="2523" w:type="dxa"/>
          </w:tcPr>
          <w:p w14:paraId="3D6D135D" w14:textId="77777777" w:rsidR="00B9466C" w:rsidRPr="00ED5E4F" w:rsidRDefault="00B9466C" w:rsidP="004E55EF">
            <w:pPr>
              <w:rPr>
                <w:sz w:val="20"/>
                <w:lang w:val="en-GB"/>
              </w:rPr>
            </w:pPr>
          </w:p>
        </w:tc>
      </w:tr>
      <w:tr w:rsidR="00B9466C" w:rsidRPr="0055307B" w14:paraId="123ACA2E" w14:textId="77777777" w:rsidTr="00077B6D">
        <w:tc>
          <w:tcPr>
            <w:tcW w:w="2422" w:type="dxa"/>
          </w:tcPr>
          <w:p w14:paraId="57B68F47" w14:textId="0AD78B76" w:rsidR="00B9466C" w:rsidRDefault="00B9466C" w:rsidP="004E55EF">
            <w:pPr>
              <w:rPr>
                <w:sz w:val="20"/>
                <w:lang w:val="en-GB"/>
              </w:rPr>
            </w:pPr>
            <w:r>
              <w:rPr>
                <w:sz w:val="20"/>
                <w:lang w:val="en-GB"/>
              </w:rPr>
              <w:t>Annual stock-taking</w:t>
            </w:r>
            <w:r w:rsidR="00896DEC">
              <w:rPr>
                <w:sz w:val="20"/>
                <w:lang w:val="en-GB"/>
              </w:rPr>
              <w:t xml:space="preserve"> </w:t>
            </w:r>
            <w:r>
              <w:rPr>
                <w:sz w:val="20"/>
                <w:lang w:val="en-GB"/>
              </w:rPr>
              <w:t>report</w:t>
            </w:r>
          </w:p>
        </w:tc>
        <w:tc>
          <w:tcPr>
            <w:tcW w:w="2125" w:type="dxa"/>
          </w:tcPr>
          <w:p w14:paraId="11A38697" w14:textId="77777777" w:rsidR="00B9466C" w:rsidRPr="00ED5E4F" w:rsidRDefault="00B9466C" w:rsidP="004E55EF">
            <w:pPr>
              <w:rPr>
                <w:sz w:val="20"/>
                <w:lang w:val="en-GB"/>
              </w:rPr>
            </w:pPr>
          </w:p>
        </w:tc>
        <w:tc>
          <w:tcPr>
            <w:tcW w:w="2558" w:type="dxa"/>
          </w:tcPr>
          <w:p w14:paraId="496F02A1" w14:textId="77777777" w:rsidR="00B9466C" w:rsidRDefault="00B9466C" w:rsidP="004E55EF">
            <w:pPr>
              <w:rPr>
                <w:sz w:val="20"/>
                <w:lang w:val="en-GB"/>
              </w:rPr>
            </w:pPr>
          </w:p>
        </w:tc>
        <w:tc>
          <w:tcPr>
            <w:tcW w:w="2523" w:type="dxa"/>
          </w:tcPr>
          <w:p w14:paraId="42C4C809" w14:textId="77777777" w:rsidR="00B9466C" w:rsidRPr="00ED5E4F" w:rsidRDefault="00B9466C" w:rsidP="004E55EF">
            <w:pPr>
              <w:rPr>
                <w:sz w:val="20"/>
                <w:lang w:val="en-GB"/>
              </w:rPr>
            </w:pPr>
          </w:p>
        </w:tc>
      </w:tr>
      <w:tr w:rsidR="00B9466C" w:rsidRPr="0055307B" w14:paraId="03C8B6F7" w14:textId="77777777" w:rsidTr="00077B6D">
        <w:tc>
          <w:tcPr>
            <w:tcW w:w="2422" w:type="dxa"/>
          </w:tcPr>
          <w:p w14:paraId="746AF012" w14:textId="77777777" w:rsidR="00B9466C" w:rsidRDefault="00B9466C" w:rsidP="004E55EF">
            <w:pPr>
              <w:rPr>
                <w:sz w:val="20"/>
                <w:lang w:val="en-GB"/>
              </w:rPr>
            </w:pPr>
          </w:p>
        </w:tc>
        <w:tc>
          <w:tcPr>
            <w:tcW w:w="2125" w:type="dxa"/>
          </w:tcPr>
          <w:p w14:paraId="4588C691" w14:textId="77777777" w:rsidR="00B9466C" w:rsidRPr="00ED5E4F" w:rsidRDefault="00B9466C" w:rsidP="004E55EF">
            <w:pPr>
              <w:rPr>
                <w:sz w:val="20"/>
                <w:lang w:val="en-GB"/>
              </w:rPr>
            </w:pPr>
          </w:p>
        </w:tc>
        <w:tc>
          <w:tcPr>
            <w:tcW w:w="2558" w:type="dxa"/>
          </w:tcPr>
          <w:p w14:paraId="2B369566" w14:textId="77777777" w:rsidR="00B9466C" w:rsidRDefault="00B9466C" w:rsidP="004E55EF">
            <w:pPr>
              <w:rPr>
                <w:sz w:val="20"/>
                <w:lang w:val="en-GB"/>
              </w:rPr>
            </w:pPr>
          </w:p>
        </w:tc>
        <w:tc>
          <w:tcPr>
            <w:tcW w:w="2523" w:type="dxa"/>
          </w:tcPr>
          <w:p w14:paraId="680E3308" w14:textId="77777777" w:rsidR="00B9466C" w:rsidRPr="00ED5E4F" w:rsidRDefault="00B9466C" w:rsidP="004E55EF">
            <w:pPr>
              <w:rPr>
                <w:sz w:val="20"/>
                <w:lang w:val="en-GB"/>
              </w:rPr>
            </w:pPr>
          </w:p>
        </w:tc>
      </w:tr>
      <w:tr w:rsidR="00B9466C" w:rsidRPr="00B9466C" w14:paraId="011DD6DC" w14:textId="77777777" w:rsidTr="00077B6D">
        <w:tc>
          <w:tcPr>
            <w:tcW w:w="2422" w:type="dxa"/>
          </w:tcPr>
          <w:p w14:paraId="461FDB46" w14:textId="7B988968" w:rsidR="00B9466C" w:rsidRDefault="00896DEC" w:rsidP="004E55EF">
            <w:pPr>
              <w:rPr>
                <w:sz w:val="20"/>
                <w:lang w:val="en-GB"/>
              </w:rPr>
            </w:pPr>
            <w:r>
              <w:rPr>
                <w:sz w:val="20"/>
                <w:lang w:val="en-GB"/>
              </w:rPr>
              <w:t>Mid-term review</w:t>
            </w:r>
          </w:p>
        </w:tc>
        <w:tc>
          <w:tcPr>
            <w:tcW w:w="2125" w:type="dxa"/>
          </w:tcPr>
          <w:p w14:paraId="4F2BF973" w14:textId="77777777" w:rsidR="00B9466C" w:rsidRPr="00ED5E4F" w:rsidRDefault="00B9466C" w:rsidP="004E55EF">
            <w:pPr>
              <w:rPr>
                <w:sz w:val="20"/>
                <w:lang w:val="en-GB"/>
              </w:rPr>
            </w:pPr>
          </w:p>
        </w:tc>
        <w:tc>
          <w:tcPr>
            <w:tcW w:w="2558" w:type="dxa"/>
          </w:tcPr>
          <w:p w14:paraId="650D95A1" w14:textId="77777777" w:rsidR="00B9466C" w:rsidRDefault="00B9466C" w:rsidP="004E55EF">
            <w:pPr>
              <w:rPr>
                <w:sz w:val="20"/>
                <w:lang w:val="en-GB"/>
              </w:rPr>
            </w:pPr>
          </w:p>
        </w:tc>
        <w:tc>
          <w:tcPr>
            <w:tcW w:w="2523" w:type="dxa"/>
          </w:tcPr>
          <w:p w14:paraId="55322E0F" w14:textId="77777777" w:rsidR="00B9466C" w:rsidRPr="00ED5E4F" w:rsidRDefault="00B9466C" w:rsidP="004E55EF">
            <w:pPr>
              <w:rPr>
                <w:sz w:val="20"/>
                <w:lang w:val="en-GB"/>
              </w:rPr>
            </w:pPr>
          </w:p>
        </w:tc>
      </w:tr>
      <w:tr w:rsidR="00B9466C" w:rsidRPr="00B9466C" w14:paraId="5F2F4D39" w14:textId="77777777" w:rsidTr="00077B6D">
        <w:tc>
          <w:tcPr>
            <w:tcW w:w="2422" w:type="dxa"/>
          </w:tcPr>
          <w:p w14:paraId="70C86E7D" w14:textId="2006AD49" w:rsidR="00B9466C" w:rsidRDefault="00896DEC" w:rsidP="004E55EF">
            <w:pPr>
              <w:rPr>
                <w:sz w:val="20"/>
                <w:lang w:val="en-GB"/>
              </w:rPr>
            </w:pPr>
            <w:r>
              <w:rPr>
                <w:sz w:val="20"/>
                <w:lang w:val="en-GB"/>
              </w:rPr>
              <w:t>Etc.</w:t>
            </w:r>
          </w:p>
        </w:tc>
        <w:tc>
          <w:tcPr>
            <w:tcW w:w="2125" w:type="dxa"/>
          </w:tcPr>
          <w:p w14:paraId="5443B6EF" w14:textId="77777777" w:rsidR="00B9466C" w:rsidRPr="00ED5E4F" w:rsidRDefault="00B9466C" w:rsidP="004E55EF">
            <w:pPr>
              <w:rPr>
                <w:sz w:val="20"/>
                <w:lang w:val="en-GB"/>
              </w:rPr>
            </w:pPr>
          </w:p>
        </w:tc>
        <w:tc>
          <w:tcPr>
            <w:tcW w:w="2558" w:type="dxa"/>
          </w:tcPr>
          <w:p w14:paraId="44CDC810" w14:textId="77777777" w:rsidR="00B9466C" w:rsidRDefault="00B9466C" w:rsidP="004E55EF">
            <w:pPr>
              <w:rPr>
                <w:sz w:val="20"/>
                <w:lang w:val="en-GB"/>
              </w:rPr>
            </w:pPr>
          </w:p>
        </w:tc>
        <w:tc>
          <w:tcPr>
            <w:tcW w:w="2523" w:type="dxa"/>
          </w:tcPr>
          <w:p w14:paraId="2580F477" w14:textId="77777777" w:rsidR="00B9466C" w:rsidRPr="00ED5E4F" w:rsidRDefault="00B9466C" w:rsidP="004E55EF">
            <w:pPr>
              <w:rPr>
                <w:sz w:val="20"/>
                <w:lang w:val="en-GB"/>
              </w:rPr>
            </w:pPr>
          </w:p>
        </w:tc>
      </w:tr>
      <w:tr w:rsidR="00B9466C" w:rsidRPr="00B9466C" w14:paraId="70966E16" w14:textId="77777777" w:rsidTr="00077B6D">
        <w:tc>
          <w:tcPr>
            <w:tcW w:w="2422" w:type="dxa"/>
          </w:tcPr>
          <w:p w14:paraId="59DCD8C4" w14:textId="77777777" w:rsidR="00B9466C" w:rsidRDefault="00B9466C" w:rsidP="004E55EF">
            <w:pPr>
              <w:rPr>
                <w:sz w:val="20"/>
                <w:lang w:val="en-GB"/>
              </w:rPr>
            </w:pPr>
          </w:p>
        </w:tc>
        <w:tc>
          <w:tcPr>
            <w:tcW w:w="2125" w:type="dxa"/>
          </w:tcPr>
          <w:p w14:paraId="0874B2FE" w14:textId="77777777" w:rsidR="00B9466C" w:rsidRPr="00ED5E4F" w:rsidRDefault="00B9466C" w:rsidP="004E55EF">
            <w:pPr>
              <w:rPr>
                <w:sz w:val="20"/>
                <w:lang w:val="en-GB"/>
              </w:rPr>
            </w:pPr>
          </w:p>
        </w:tc>
        <w:tc>
          <w:tcPr>
            <w:tcW w:w="2558" w:type="dxa"/>
          </w:tcPr>
          <w:p w14:paraId="0003814F" w14:textId="77777777" w:rsidR="00B9466C" w:rsidRDefault="00B9466C" w:rsidP="004E55EF">
            <w:pPr>
              <w:rPr>
                <w:sz w:val="20"/>
                <w:lang w:val="en-GB"/>
              </w:rPr>
            </w:pPr>
          </w:p>
        </w:tc>
        <w:tc>
          <w:tcPr>
            <w:tcW w:w="2523" w:type="dxa"/>
          </w:tcPr>
          <w:p w14:paraId="21846EAC" w14:textId="77777777" w:rsidR="00B9466C" w:rsidRPr="00ED5E4F" w:rsidRDefault="00B9466C" w:rsidP="004E55EF">
            <w:pPr>
              <w:rPr>
                <w:sz w:val="20"/>
                <w:lang w:val="en-GB"/>
              </w:rPr>
            </w:pPr>
          </w:p>
        </w:tc>
      </w:tr>
    </w:tbl>
    <w:p w14:paraId="790679A2" w14:textId="77777777" w:rsidR="00B9466C" w:rsidRDefault="00B9466C" w:rsidP="00B9466C">
      <w:pPr>
        <w:spacing w:after="80"/>
        <w:contextualSpacing/>
        <w:jc w:val="both"/>
        <w:rPr>
          <w:lang w:val="en-GB"/>
        </w:rPr>
      </w:pPr>
    </w:p>
    <w:p w14:paraId="68A2D2C0" w14:textId="3760536E" w:rsidR="00B9466C" w:rsidRPr="0055307B" w:rsidRDefault="00B9466C" w:rsidP="00B9466C">
      <w:pPr>
        <w:spacing w:after="80"/>
        <w:contextualSpacing/>
        <w:rPr>
          <w:rFonts w:ascii="Garamond" w:eastAsia="Calibri" w:hAnsi="Garamond" w:cs="Times New Roman"/>
          <w:sz w:val="26"/>
          <w:szCs w:val="26"/>
          <w:lang w:val="en-GB"/>
        </w:rPr>
      </w:pPr>
      <w:r>
        <w:rPr>
          <w:lang w:val="en-GB"/>
        </w:rPr>
        <w:t xml:space="preserve">*From bilateral guidelines, p. </w:t>
      </w:r>
      <w:r w:rsidR="0076208A">
        <w:rPr>
          <w:lang w:val="en-GB"/>
        </w:rPr>
        <w:t>17</w:t>
      </w:r>
      <w:r>
        <w:rPr>
          <w:lang w:val="en-GB"/>
        </w:rPr>
        <w:t xml:space="preserve"> under ‘Finalisation of formulation’:</w:t>
      </w:r>
      <w:r w:rsidR="00500EC1">
        <w:rPr>
          <w:lang w:val="en-GB"/>
        </w:rPr>
        <w:br w:type="textWrapping" w:clear="all"/>
      </w:r>
      <w:r w:rsidR="0055307B" w:rsidRPr="00017D79">
        <w:rPr>
          <w:rFonts w:eastAsia="Calibri" w:cstheme="minorHAnsi"/>
          <w:b/>
          <w:bCs/>
          <w:iCs/>
          <w:lang w:val="en-GB"/>
        </w:rPr>
        <w:t>By the end of the formulation before the appraisal, the Process Action Plan (PAP) should be updated</w:t>
      </w:r>
      <w:r w:rsidR="0055307B" w:rsidRPr="00017D79">
        <w:rPr>
          <w:rFonts w:eastAsia="Calibri" w:cstheme="minorHAnsi"/>
          <w:lang w:val="en-GB"/>
        </w:rPr>
        <w:t xml:space="preserve"> with key actions to prepare the initial phase of implementation and for the implementation phase itself until exit. This includes signing of the agreement, partner meetings, recruitment and procurement activities, inception reviews if relevant, disbursements, etc. The PAP should thus include the concrete monitoring plan for the full project or programme period. Depending on the size and nature of the project or programme, allow 2-6 months for the start-up phase before full-fledged implementation can start</w:t>
      </w:r>
      <w:r w:rsidR="0055307B" w:rsidRPr="0055307B">
        <w:rPr>
          <w:rFonts w:ascii="Garamond" w:eastAsia="Calibri" w:hAnsi="Garamond" w:cs="Times New Roman"/>
          <w:sz w:val="26"/>
          <w:szCs w:val="26"/>
          <w:lang w:val="en-GB"/>
        </w:rPr>
        <w:t>.</w:t>
      </w:r>
    </w:p>
    <w:p w14:paraId="6AB30393" w14:textId="497BEBE9" w:rsidR="00263418" w:rsidRPr="00A053CA" w:rsidRDefault="00263418">
      <w:pPr>
        <w:rPr>
          <w:lang w:val="en-GB"/>
        </w:rPr>
      </w:pPr>
    </w:p>
    <w:sectPr w:rsidR="00263418" w:rsidRPr="00A053CA">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819C" w14:textId="77777777" w:rsidR="00B9466C" w:rsidRDefault="00B9466C" w:rsidP="00B9466C">
      <w:pPr>
        <w:spacing w:after="0" w:line="240" w:lineRule="auto"/>
      </w:pPr>
      <w:r>
        <w:separator/>
      </w:r>
    </w:p>
  </w:endnote>
  <w:endnote w:type="continuationSeparator" w:id="0">
    <w:p w14:paraId="00521389" w14:textId="77777777" w:rsidR="00B9466C" w:rsidRDefault="00B9466C" w:rsidP="00B9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065FB" w14:textId="77777777" w:rsidR="00B9466C" w:rsidRDefault="00B9466C" w:rsidP="00B9466C">
      <w:pPr>
        <w:spacing w:after="0" w:line="240" w:lineRule="auto"/>
      </w:pPr>
      <w:r>
        <w:separator/>
      </w:r>
    </w:p>
  </w:footnote>
  <w:footnote w:type="continuationSeparator" w:id="0">
    <w:p w14:paraId="4E85AC66" w14:textId="77777777" w:rsidR="00B9466C" w:rsidRDefault="00B9466C" w:rsidP="00B94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C4300"/>
    <w:multiLevelType w:val="hybridMultilevel"/>
    <w:tmpl w:val="BA2CBA44"/>
    <w:lvl w:ilvl="0" w:tplc="F1DE6A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BAB4FA7"/>
    <w:multiLevelType w:val="hybridMultilevel"/>
    <w:tmpl w:val="A0544930"/>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53"/>
    <w:rsid w:val="00005465"/>
    <w:rsid w:val="00006FFC"/>
    <w:rsid w:val="00017D79"/>
    <w:rsid w:val="000315E6"/>
    <w:rsid w:val="00034894"/>
    <w:rsid w:val="00041260"/>
    <w:rsid w:val="00046780"/>
    <w:rsid w:val="00052FFF"/>
    <w:rsid w:val="000563A8"/>
    <w:rsid w:val="00077B6D"/>
    <w:rsid w:val="0008620D"/>
    <w:rsid w:val="0009096B"/>
    <w:rsid w:val="00096AC6"/>
    <w:rsid w:val="000A6FAF"/>
    <w:rsid w:val="000B35D4"/>
    <w:rsid w:val="000D1DA9"/>
    <w:rsid w:val="000E0BA7"/>
    <w:rsid w:val="000E2880"/>
    <w:rsid w:val="000E298B"/>
    <w:rsid w:val="000F075D"/>
    <w:rsid w:val="00101BDC"/>
    <w:rsid w:val="0010545C"/>
    <w:rsid w:val="0012412D"/>
    <w:rsid w:val="001278BE"/>
    <w:rsid w:val="00134B6A"/>
    <w:rsid w:val="00142644"/>
    <w:rsid w:val="001504EF"/>
    <w:rsid w:val="001635C9"/>
    <w:rsid w:val="00182A3C"/>
    <w:rsid w:val="001927F5"/>
    <w:rsid w:val="001A3F15"/>
    <w:rsid w:val="001F19F8"/>
    <w:rsid w:val="001F2DDE"/>
    <w:rsid w:val="001F3EF8"/>
    <w:rsid w:val="00207B57"/>
    <w:rsid w:val="00211D79"/>
    <w:rsid w:val="002305A9"/>
    <w:rsid w:val="00240DED"/>
    <w:rsid w:val="0024378F"/>
    <w:rsid w:val="002462BA"/>
    <w:rsid w:val="00263418"/>
    <w:rsid w:val="0027320F"/>
    <w:rsid w:val="002971C4"/>
    <w:rsid w:val="002A07F3"/>
    <w:rsid w:val="002B3C9F"/>
    <w:rsid w:val="002B42DA"/>
    <w:rsid w:val="002D1531"/>
    <w:rsid w:val="002D175F"/>
    <w:rsid w:val="002D353B"/>
    <w:rsid w:val="002D5C40"/>
    <w:rsid w:val="002E5891"/>
    <w:rsid w:val="002E58AD"/>
    <w:rsid w:val="002E6B71"/>
    <w:rsid w:val="002F1E22"/>
    <w:rsid w:val="002F5307"/>
    <w:rsid w:val="003040D0"/>
    <w:rsid w:val="00312E4F"/>
    <w:rsid w:val="00332DA2"/>
    <w:rsid w:val="00364CBE"/>
    <w:rsid w:val="00376309"/>
    <w:rsid w:val="003866D7"/>
    <w:rsid w:val="003A49C6"/>
    <w:rsid w:val="003A6AC0"/>
    <w:rsid w:val="003D22A7"/>
    <w:rsid w:val="003D723A"/>
    <w:rsid w:val="003E7B45"/>
    <w:rsid w:val="003F1B53"/>
    <w:rsid w:val="003F352B"/>
    <w:rsid w:val="00411003"/>
    <w:rsid w:val="00412A84"/>
    <w:rsid w:val="00424431"/>
    <w:rsid w:val="004314CE"/>
    <w:rsid w:val="00444A94"/>
    <w:rsid w:val="00455A98"/>
    <w:rsid w:val="00462038"/>
    <w:rsid w:val="00463203"/>
    <w:rsid w:val="00467041"/>
    <w:rsid w:val="00471458"/>
    <w:rsid w:val="00474A00"/>
    <w:rsid w:val="00497EF8"/>
    <w:rsid w:val="004A35EF"/>
    <w:rsid w:val="004B4705"/>
    <w:rsid w:val="004C1B1E"/>
    <w:rsid w:val="004C7D83"/>
    <w:rsid w:val="004E55EF"/>
    <w:rsid w:val="004E7A65"/>
    <w:rsid w:val="004F6A66"/>
    <w:rsid w:val="00500EC1"/>
    <w:rsid w:val="00503EBE"/>
    <w:rsid w:val="005170AB"/>
    <w:rsid w:val="005174CC"/>
    <w:rsid w:val="00521E90"/>
    <w:rsid w:val="005224A4"/>
    <w:rsid w:val="00542881"/>
    <w:rsid w:val="0054390E"/>
    <w:rsid w:val="0055307B"/>
    <w:rsid w:val="00556526"/>
    <w:rsid w:val="00567041"/>
    <w:rsid w:val="0056719A"/>
    <w:rsid w:val="005773A9"/>
    <w:rsid w:val="00590BC9"/>
    <w:rsid w:val="005A3169"/>
    <w:rsid w:val="005C3267"/>
    <w:rsid w:val="005C6FC0"/>
    <w:rsid w:val="005F0239"/>
    <w:rsid w:val="005F2887"/>
    <w:rsid w:val="0060023A"/>
    <w:rsid w:val="006053EA"/>
    <w:rsid w:val="006171D7"/>
    <w:rsid w:val="006171DF"/>
    <w:rsid w:val="00627D24"/>
    <w:rsid w:val="00627FE9"/>
    <w:rsid w:val="006307A5"/>
    <w:rsid w:val="00633333"/>
    <w:rsid w:val="00642B17"/>
    <w:rsid w:val="006457CB"/>
    <w:rsid w:val="00651182"/>
    <w:rsid w:val="00683EB9"/>
    <w:rsid w:val="00691FB2"/>
    <w:rsid w:val="0069620B"/>
    <w:rsid w:val="006A0778"/>
    <w:rsid w:val="006A6199"/>
    <w:rsid w:val="006B1C61"/>
    <w:rsid w:val="006B4ED5"/>
    <w:rsid w:val="006C00D3"/>
    <w:rsid w:val="006C7886"/>
    <w:rsid w:val="006D302C"/>
    <w:rsid w:val="006D3267"/>
    <w:rsid w:val="006E4A7A"/>
    <w:rsid w:val="006E6637"/>
    <w:rsid w:val="006F0741"/>
    <w:rsid w:val="006F3793"/>
    <w:rsid w:val="00713112"/>
    <w:rsid w:val="00717344"/>
    <w:rsid w:val="0072347A"/>
    <w:rsid w:val="00743382"/>
    <w:rsid w:val="00750E77"/>
    <w:rsid w:val="007570B8"/>
    <w:rsid w:val="0076208A"/>
    <w:rsid w:val="00773BFD"/>
    <w:rsid w:val="00790F36"/>
    <w:rsid w:val="007A2B17"/>
    <w:rsid w:val="007B56EB"/>
    <w:rsid w:val="007B5CAC"/>
    <w:rsid w:val="007C1729"/>
    <w:rsid w:val="007C5896"/>
    <w:rsid w:val="007C6C54"/>
    <w:rsid w:val="007D1847"/>
    <w:rsid w:val="007E186A"/>
    <w:rsid w:val="007E1EEA"/>
    <w:rsid w:val="007F1D48"/>
    <w:rsid w:val="007F3C0B"/>
    <w:rsid w:val="007F46F2"/>
    <w:rsid w:val="00802698"/>
    <w:rsid w:val="00815CB5"/>
    <w:rsid w:val="00816D8D"/>
    <w:rsid w:val="00820434"/>
    <w:rsid w:val="00830FF3"/>
    <w:rsid w:val="00836532"/>
    <w:rsid w:val="00844886"/>
    <w:rsid w:val="0085610D"/>
    <w:rsid w:val="00861CE8"/>
    <w:rsid w:val="00862788"/>
    <w:rsid w:val="008669A9"/>
    <w:rsid w:val="0087619B"/>
    <w:rsid w:val="00876E07"/>
    <w:rsid w:val="0088605E"/>
    <w:rsid w:val="00896DEC"/>
    <w:rsid w:val="008B52E9"/>
    <w:rsid w:val="008C7002"/>
    <w:rsid w:val="009019EC"/>
    <w:rsid w:val="00940F7F"/>
    <w:rsid w:val="0095024D"/>
    <w:rsid w:val="009622EA"/>
    <w:rsid w:val="009734C3"/>
    <w:rsid w:val="00977CFE"/>
    <w:rsid w:val="00980D1D"/>
    <w:rsid w:val="009853AE"/>
    <w:rsid w:val="0099285B"/>
    <w:rsid w:val="009A5792"/>
    <w:rsid w:val="009D0128"/>
    <w:rsid w:val="009D2773"/>
    <w:rsid w:val="009D76FE"/>
    <w:rsid w:val="009F1F0D"/>
    <w:rsid w:val="00A053CA"/>
    <w:rsid w:val="00A0790B"/>
    <w:rsid w:val="00A1505A"/>
    <w:rsid w:val="00A242D1"/>
    <w:rsid w:val="00A30443"/>
    <w:rsid w:val="00A307FD"/>
    <w:rsid w:val="00A30874"/>
    <w:rsid w:val="00A51186"/>
    <w:rsid w:val="00A527EB"/>
    <w:rsid w:val="00A544A5"/>
    <w:rsid w:val="00A61F5C"/>
    <w:rsid w:val="00A70C2D"/>
    <w:rsid w:val="00A71584"/>
    <w:rsid w:val="00A75543"/>
    <w:rsid w:val="00AA4786"/>
    <w:rsid w:val="00AC6CA8"/>
    <w:rsid w:val="00AD2F1A"/>
    <w:rsid w:val="00AE1ED0"/>
    <w:rsid w:val="00AE7A62"/>
    <w:rsid w:val="00AF2792"/>
    <w:rsid w:val="00B14EF1"/>
    <w:rsid w:val="00B33310"/>
    <w:rsid w:val="00B44B02"/>
    <w:rsid w:val="00B53F54"/>
    <w:rsid w:val="00B64CC1"/>
    <w:rsid w:val="00B84F22"/>
    <w:rsid w:val="00B85F2A"/>
    <w:rsid w:val="00B903B8"/>
    <w:rsid w:val="00B9466C"/>
    <w:rsid w:val="00BB1806"/>
    <w:rsid w:val="00BB27F3"/>
    <w:rsid w:val="00BB46A4"/>
    <w:rsid w:val="00BC7AE9"/>
    <w:rsid w:val="00BD309D"/>
    <w:rsid w:val="00BE050A"/>
    <w:rsid w:val="00BF09A7"/>
    <w:rsid w:val="00BF17C7"/>
    <w:rsid w:val="00C163A8"/>
    <w:rsid w:val="00C1708A"/>
    <w:rsid w:val="00C1738F"/>
    <w:rsid w:val="00C275C2"/>
    <w:rsid w:val="00C34882"/>
    <w:rsid w:val="00C81770"/>
    <w:rsid w:val="00C819AA"/>
    <w:rsid w:val="00C82807"/>
    <w:rsid w:val="00CB0024"/>
    <w:rsid w:val="00CB392B"/>
    <w:rsid w:val="00CC0B37"/>
    <w:rsid w:val="00CE2E35"/>
    <w:rsid w:val="00CE4C28"/>
    <w:rsid w:val="00D10CC5"/>
    <w:rsid w:val="00D1183F"/>
    <w:rsid w:val="00D17450"/>
    <w:rsid w:val="00D208EB"/>
    <w:rsid w:val="00D25823"/>
    <w:rsid w:val="00D3073C"/>
    <w:rsid w:val="00D32DEF"/>
    <w:rsid w:val="00D4121B"/>
    <w:rsid w:val="00D44C4D"/>
    <w:rsid w:val="00D47AA2"/>
    <w:rsid w:val="00D540A2"/>
    <w:rsid w:val="00D566A5"/>
    <w:rsid w:val="00D7174A"/>
    <w:rsid w:val="00D856AE"/>
    <w:rsid w:val="00DA1F65"/>
    <w:rsid w:val="00DA7A9E"/>
    <w:rsid w:val="00DC3A7F"/>
    <w:rsid w:val="00DD212D"/>
    <w:rsid w:val="00DD5896"/>
    <w:rsid w:val="00DD78D1"/>
    <w:rsid w:val="00DF2D32"/>
    <w:rsid w:val="00DF397E"/>
    <w:rsid w:val="00E11C4B"/>
    <w:rsid w:val="00E123AB"/>
    <w:rsid w:val="00E32DA3"/>
    <w:rsid w:val="00E4248B"/>
    <w:rsid w:val="00E5371A"/>
    <w:rsid w:val="00E552C8"/>
    <w:rsid w:val="00E6416C"/>
    <w:rsid w:val="00E74D70"/>
    <w:rsid w:val="00E83758"/>
    <w:rsid w:val="00E876C2"/>
    <w:rsid w:val="00E93D83"/>
    <w:rsid w:val="00EB2D21"/>
    <w:rsid w:val="00ED635A"/>
    <w:rsid w:val="00ED7AE3"/>
    <w:rsid w:val="00EF08B6"/>
    <w:rsid w:val="00EF3850"/>
    <w:rsid w:val="00EF3DD9"/>
    <w:rsid w:val="00F0280D"/>
    <w:rsid w:val="00F268D1"/>
    <w:rsid w:val="00F55E05"/>
    <w:rsid w:val="00F65C11"/>
    <w:rsid w:val="00F67EA1"/>
    <w:rsid w:val="00F74ABB"/>
    <w:rsid w:val="00F83833"/>
    <w:rsid w:val="00F978A5"/>
    <w:rsid w:val="00FA1891"/>
    <w:rsid w:val="00FB192D"/>
    <w:rsid w:val="00FC0499"/>
    <w:rsid w:val="00FC7CD6"/>
    <w:rsid w:val="00FD0CCE"/>
    <w:rsid w:val="00FD2B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9B31"/>
  <w15:docId w15:val="{A458D3BB-9FC8-4FEE-AD08-BD43CA8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CA"/>
    <w:rPr>
      <w:rFonts w:eastAsiaTheme="minorEastAsia"/>
      <w:lang w:eastAsia="da-DK"/>
    </w:rPr>
  </w:style>
  <w:style w:type="paragraph" w:styleId="Overskrift3">
    <w:name w:val="heading 3"/>
    <w:basedOn w:val="Normal"/>
    <w:next w:val="Normal"/>
    <w:link w:val="Overskrift3Tegn"/>
    <w:qFormat/>
    <w:rsid w:val="00A053CA"/>
    <w:pPr>
      <w:keepNext/>
      <w:spacing w:before="240" w:after="60" w:line="240" w:lineRule="auto"/>
      <w:jc w:val="both"/>
      <w:outlineLvl w:val="2"/>
    </w:pPr>
    <w:rPr>
      <w:rFonts w:ascii="Cambria" w:eastAsia="SimSun" w:hAnsi="Cambria" w:cs="Times New Roman"/>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A053CA"/>
    <w:rPr>
      <w:rFonts w:ascii="Cambria" w:eastAsia="SimSun" w:hAnsi="Cambria" w:cs="Times New Roman"/>
      <w:b/>
      <w:bCs/>
      <w:sz w:val="26"/>
      <w:szCs w:val="26"/>
      <w:lang w:eastAsia="da-DK"/>
    </w:rPr>
  </w:style>
  <w:style w:type="paragraph" w:styleId="Listeafsnit">
    <w:name w:val="List Paragraph"/>
    <w:basedOn w:val="Normal"/>
    <w:uiPriority w:val="34"/>
    <w:qFormat/>
    <w:rsid w:val="00A053CA"/>
    <w:pPr>
      <w:ind w:left="720"/>
      <w:contextualSpacing/>
    </w:pPr>
  </w:style>
  <w:style w:type="table" w:styleId="Tabel-Gitter">
    <w:name w:val="Table Grid"/>
    <w:basedOn w:val="Tabel-Normal"/>
    <w:uiPriority w:val="59"/>
    <w:rsid w:val="00A053CA"/>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32DE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32DEF"/>
    <w:rPr>
      <w:rFonts w:ascii="Segoe UI" w:eastAsiaTheme="minorEastAsia" w:hAnsi="Segoe UI" w:cs="Segoe UI"/>
      <w:sz w:val="18"/>
      <w:szCs w:val="18"/>
      <w:lang w:eastAsia="da-DK"/>
    </w:rPr>
  </w:style>
  <w:style w:type="character" w:styleId="Kommentarhenvisning">
    <w:name w:val="annotation reference"/>
    <w:basedOn w:val="Standardskrifttypeiafsnit"/>
    <w:uiPriority w:val="99"/>
    <w:semiHidden/>
    <w:unhideWhenUsed/>
    <w:rsid w:val="00D566A5"/>
    <w:rPr>
      <w:sz w:val="16"/>
      <w:szCs w:val="16"/>
    </w:rPr>
  </w:style>
  <w:style w:type="paragraph" w:styleId="Kommentartekst">
    <w:name w:val="annotation text"/>
    <w:basedOn w:val="Normal"/>
    <w:link w:val="KommentartekstTegn"/>
    <w:uiPriority w:val="99"/>
    <w:semiHidden/>
    <w:unhideWhenUsed/>
    <w:rsid w:val="00D566A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566A5"/>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D566A5"/>
    <w:rPr>
      <w:b/>
      <w:bCs/>
    </w:rPr>
  </w:style>
  <w:style w:type="character" w:customStyle="1" w:styleId="KommentaremneTegn">
    <w:name w:val="Kommentaremne Tegn"/>
    <w:basedOn w:val="KommentartekstTegn"/>
    <w:link w:val="Kommentaremne"/>
    <w:uiPriority w:val="99"/>
    <w:semiHidden/>
    <w:rsid w:val="00D566A5"/>
    <w:rPr>
      <w:rFonts w:eastAsiaTheme="minorEastAsia"/>
      <w:b/>
      <w:bCs/>
      <w:sz w:val="20"/>
      <w:szCs w:val="20"/>
      <w:lang w:eastAsia="da-DK"/>
    </w:rPr>
  </w:style>
  <w:style w:type="paragraph" w:styleId="Slutnotetekst">
    <w:name w:val="endnote text"/>
    <w:basedOn w:val="Normal"/>
    <w:link w:val="SlutnotetekstTegn"/>
    <w:uiPriority w:val="99"/>
    <w:semiHidden/>
    <w:unhideWhenUsed/>
    <w:rsid w:val="00B9466C"/>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B9466C"/>
    <w:rPr>
      <w:rFonts w:eastAsiaTheme="minorEastAsia"/>
      <w:sz w:val="20"/>
      <w:szCs w:val="20"/>
      <w:lang w:eastAsia="da-DK"/>
    </w:rPr>
  </w:style>
  <w:style w:type="character" w:styleId="Slutnotehenvisning">
    <w:name w:val="endnote reference"/>
    <w:basedOn w:val="Standardskrifttypeiafsnit"/>
    <w:uiPriority w:val="99"/>
    <w:semiHidden/>
    <w:unhideWhenUsed/>
    <w:rsid w:val="00B94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co\AppData\Local\Microsoft\Windows\Temporary%20Internet%20Files\Content.IE5\BA4LG0E1\Template%20for%20Process%20Action%20Pla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C2A07-BB6F-4DD2-ABA3-32692864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Process Action Plan</Template>
  <TotalTime>3</TotalTime>
  <Pages>1</Pages>
  <Words>249</Words>
  <Characters>1423</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Corlin</dc:creator>
  <cp:lastModifiedBy>Lone Hansen</cp:lastModifiedBy>
  <cp:revision>4</cp:revision>
  <cp:lastPrinted>2024-07-03T12:34:00Z</cp:lastPrinted>
  <dcterms:created xsi:type="dcterms:W3CDTF">2026-01-30T08:33:00Z</dcterms:created>
  <dcterms:modified xsi:type="dcterms:W3CDTF">2026-02-02T14:30:00Z</dcterms:modified>
</cp:coreProperties>
</file>