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FF35" w14:textId="77777777" w:rsidR="00077B6D" w:rsidRPr="00077B6D" w:rsidRDefault="00A053CA" w:rsidP="00A053CA">
      <w:pPr>
        <w:rPr>
          <w:rFonts w:asciiTheme="majorHAnsi" w:eastAsia="SimSun" w:hAnsiTheme="majorHAnsi" w:cs="Arial"/>
          <w:b/>
          <w:bCs/>
          <w:sz w:val="26"/>
          <w:szCs w:val="26"/>
          <w:lang w:val="en-GB"/>
        </w:rPr>
      </w:pPr>
      <w:bookmarkStart w:id="0" w:name="_Toc362252490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</w:t>
      </w:r>
      <w:r w:rsidR="005174CC">
        <w:rPr>
          <w:rStyle w:val="Overskrift3Tegn"/>
          <w:rFonts w:asciiTheme="majorHAnsi" w:hAnsiTheme="majorHAnsi" w:cs="Arial"/>
          <w:lang w:val="en-GB"/>
        </w:rPr>
        <w:t xml:space="preserve">Projects </w:t>
      </w:r>
      <w:r w:rsidR="004E7A65">
        <w:rPr>
          <w:rStyle w:val="Overskrift3Tegn"/>
          <w:rFonts w:asciiTheme="majorHAnsi" w:hAnsiTheme="majorHAnsi" w:cs="Arial"/>
          <w:lang w:val="en-GB"/>
        </w:rPr>
        <w:t>above 3</w:t>
      </w:r>
      <w:r w:rsidR="005174CC">
        <w:rPr>
          <w:rStyle w:val="Overskrift3Tegn"/>
          <w:rFonts w:asciiTheme="majorHAnsi" w:hAnsiTheme="majorHAnsi" w:cs="Arial"/>
          <w:lang w:val="en-GB"/>
        </w:rPr>
        <w:t>9</w:t>
      </w:r>
      <w:r w:rsidR="000563A8">
        <w:rPr>
          <w:rStyle w:val="Overskrift3Tegn"/>
          <w:rFonts w:asciiTheme="majorHAnsi" w:hAnsiTheme="majorHAnsi" w:cs="Arial"/>
          <w:lang w:val="en-GB"/>
        </w:rPr>
        <w:t xml:space="preserve"> mill. DKK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2"/>
        <w:gridCol w:w="2125"/>
        <w:gridCol w:w="2558"/>
        <w:gridCol w:w="2523"/>
      </w:tblGrid>
      <w:tr w:rsidR="00D566A5" w:rsidRPr="00ED5E4F" w14:paraId="607FC04A" w14:textId="77777777" w:rsidTr="00077B6D">
        <w:trPr>
          <w:tblHeader/>
        </w:trPr>
        <w:tc>
          <w:tcPr>
            <w:tcW w:w="2422" w:type="dxa"/>
            <w:shd w:val="clear" w:color="auto" w:fill="C2D69B" w:themeFill="accent3" w:themeFillTint="99"/>
          </w:tcPr>
          <w:p w14:paraId="0B0E8B2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47FDAE49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558" w:type="dxa"/>
            <w:shd w:val="clear" w:color="auto" w:fill="C2D69B" w:themeFill="accent3" w:themeFillTint="99"/>
          </w:tcPr>
          <w:p w14:paraId="6A14132A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14:paraId="1F301AA3" w14:textId="77777777"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23" w:type="dxa"/>
            <w:shd w:val="clear" w:color="auto" w:fill="C2D69B" w:themeFill="accent3" w:themeFillTint="99"/>
          </w:tcPr>
          <w:p w14:paraId="137A93AB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1A3F15" w14:paraId="336D7301" w14:textId="77777777" w:rsidTr="00077B6D">
        <w:tc>
          <w:tcPr>
            <w:tcW w:w="2422" w:type="dxa"/>
          </w:tcPr>
          <w:p w14:paraId="2000C76D" w14:textId="77777777" w:rsidR="006A6199" w:rsidRPr="00ED5E4F" w:rsidRDefault="006A6199" w:rsidP="005A3169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 xml:space="preserve">  programme</w:t>
            </w:r>
            <w:r w:rsidR="005A3169">
              <w:rPr>
                <w:sz w:val="20"/>
                <w:lang w:val="en-GB"/>
              </w:rPr>
              <w:t xml:space="preserve"> budget is approved</w:t>
            </w:r>
          </w:p>
        </w:tc>
        <w:tc>
          <w:tcPr>
            <w:tcW w:w="2125" w:type="dxa"/>
          </w:tcPr>
          <w:p w14:paraId="58EF73B1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</w:t>
            </w:r>
            <w:r w:rsidR="00C34882">
              <w:rPr>
                <w:sz w:val="20"/>
                <w:lang w:val="en-GB"/>
              </w:rPr>
              <w:t>in. 14</w:t>
            </w:r>
            <w:r w:rsidRPr="00ED5E4F">
              <w:rPr>
                <w:sz w:val="20"/>
                <w:lang w:val="en-GB"/>
              </w:rPr>
              <w:t xml:space="preserve"> months prior to the minister’s approval of the </w:t>
            </w:r>
            <w:r>
              <w:rPr>
                <w:sz w:val="20"/>
                <w:lang w:val="en-GB"/>
              </w:rPr>
              <w:t xml:space="preserve">  programme</w:t>
            </w:r>
          </w:p>
        </w:tc>
        <w:tc>
          <w:tcPr>
            <w:tcW w:w="2558" w:type="dxa"/>
          </w:tcPr>
          <w:p w14:paraId="753637FF" w14:textId="77777777" w:rsidR="006A6199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Responsible: Person/unit</w:t>
            </w:r>
          </w:p>
          <w:p w14:paraId="3C0F24A7" w14:textId="77777777" w:rsidR="00980D1D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Involved: Person/unit</w:t>
            </w:r>
          </w:p>
          <w:p w14:paraId="2BFDED9D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47917CC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077B6D" w:rsidRPr="001A3F15" w14:paraId="577BD4E2" w14:textId="77777777" w:rsidTr="00E95C49">
        <w:tc>
          <w:tcPr>
            <w:tcW w:w="9628" w:type="dxa"/>
            <w:gridSpan w:val="4"/>
          </w:tcPr>
          <w:p w14:paraId="08E1BF7D" w14:textId="77777777" w:rsidR="00077B6D" w:rsidRPr="00077B6D" w:rsidRDefault="00077B6D" w:rsidP="00500EC1">
            <w:pPr>
              <w:rPr>
                <w:b/>
                <w:sz w:val="20"/>
                <w:lang w:val="en-GB"/>
              </w:rPr>
            </w:pPr>
            <w:r w:rsidRPr="00077B6D">
              <w:rPr>
                <w:b/>
                <w:sz w:val="20"/>
                <w:lang w:val="en-GB"/>
              </w:rPr>
              <w:t>Identification, concept note and programme committee</w:t>
            </w:r>
          </w:p>
        </w:tc>
      </w:tr>
      <w:tr w:rsidR="006A6199" w:rsidRPr="001A3F15" w14:paraId="7BA2DD76" w14:textId="77777777" w:rsidTr="00077B6D">
        <w:tc>
          <w:tcPr>
            <w:tcW w:w="2422" w:type="dxa"/>
          </w:tcPr>
          <w:p w14:paraId="44A2BDF7" w14:textId="77777777" w:rsidR="006A6199" w:rsidRPr="00ED5E4F" w:rsidRDefault="006A6199" w:rsidP="001F2DDE">
            <w:pPr>
              <w:rPr>
                <w:sz w:val="20"/>
                <w:lang w:val="en-GB"/>
              </w:rPr>
            </w:pPr>
            <w:r w:rsidRPr="003A49C6">
              <w:rPr>
                <w:b/>
                <w:sz w:val="20"/>
                <w:lang w:val="en-GB"/>
              </w:rPr>
              <w:t>Process Action Plan</w:t>
            </w:r>
            <w:r>
              <w:rPr>
                <w:sz w:val="20"/>
                <w:lang w:val="en-GB"/>
              </w:rPr>
              <w:t xml:space="preserve">. </w:t>
            </w:r>
            <w:r w:rsidR="001F2DDE">
              <w:rPr>
                <w:sz w:val="20"/>
                <w:lang w:val="en-GB"/>
              </w:rPr>
              <w:t>Addressing p</w:t>
            </w:r>
            <w:r w:rsidRPr="00ED5E4F">
              <w:rPr>
                <w:sz w:val="20"/>
                <w:lang w:val="en-GB"/>
              </w:rPr>
              <w:t>lanning of design</w:t>
            </w:r>
            <w:r>
              <w:rPr>
                <w:sz w:val="20"/>
                <w:lang w:val="en-GB"/>
              </w:rPr>
              <w:t>, formulation, appraisal and approval</w:t>
            </w:r>
            <w:r w:rsidRPr="00ED5E4F">
              <w:rPr>
                <w:sz w:val="20"/>
                <w:lang w:val="en-GB"/>
              </w:rPr>
              <w:t>.</w:t>
            </w:r>
          </w:p>
        </w:tc>
        <w:tc>
          <w:tcPr>
            <w:tcW w:w="2125" w:type="dxa"/>
          </w:tcPr>
          <w:p w14:paraId="325E7ABB" w14:textId="77777777" w:rsidR="006A6199" w:rsidRPr="00ED5E4F" w:rsidRDefault="006A6199" w:rsidP="00077B6D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</w:t>
            </w:r>
            <w:r w:rsidR="00C34882">
              <w:rPr>
                <w:sz w:val="20"/>
                <w:lang w:val="en-GB"/>
              </w:rPr>
              <w:t>in. 14</w:t>
            </w:r>
            <w:r w:rsidRPr="00ED5E4F">
              <w:rPr>
                <w:sz w:val="20"/>
                <w:lang w:val="en-GB"/>
              </w:rPr>
              <w:t xml:space="preserve"> months prior to the minister’s approval </w:t>
            </w:r>
          </w:p>
        </w:tc>
        <w:tc>
          <w:tcPr>
            <w:tcW w:w="2558" w:type="dxa"/>
          </w:tcPr>
          <w:p w14:paraId="6D973524" w14:textId="77777777" w:rsidR="006A6199" w:rsidRPr="00ED5E4F" w:rsidRDefault="00B84F22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consultation with partner and TQS</w:t>
            </w:r>
          </w:p>
        </w:tc>
        <w:tc>
          <w:tcPr>
            <w:tcW w:w="2523" w:type="dxa"/>
          </w:tcPr>
          <w:p w14:paraId="5CDEA4C8" w14:textId="77777777" w:rsidR="006A6199" w:rsidRDefault="006A6199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Consult PAP with Partner and </w:t>
            </w:r>
            <w:r w:rsidR="00B84F22">
              <w:rPr>
                <w:sz w:val="20"/>
                <w:lang w:val="en-GB"/>
              </w:rPr>
              <w:t>TQS</w:t>
            </w:r>
          </w:p>
          <w:p w14:paraId="64646C7D" w14:textId="77777777" w:rsidR="00D566A5" w:rsidRPr="00ED5E4F" w:rsidRDefault="00D566A5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PAP should as needed include budget for external consultant to support the process.</w:t>
            </w:r>
          </w:p>
        </w:tc>
      </w:tr>
      <w:tr w:rsidR="006A6199" w:rsidRPr="001A3F15" w14:paraId="7AAB9734" w14:textId="77777777" w:rsidTr="00077B6D">
        <w:tc>
          <w:tcPr>
            <w:tcW w:w="2422" w:type="dxa"/>
          </w:tcPr>
          <w:p w14:paraId="3216E0D8" w14:textId="77777777" w:rsidR="006A6199" w:rsidRPr="00ED5E4F" w:rsidRDefault="00077B6D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Analysis of context, id. of partners and engagements, </w:t>
            </w:r>
          </w:p>
        </w:tc>
        <w:tc>
          <w:tcPr>
            <w:tcW w:w="2125" w:type="dxa"/>
          </w:tcPr>
          <w:p w14:paraId="32BC8461" w14:textId="77777777" w:rsidR="006A6199" w:rsidRPr="00ED5E4F" w:rsidRDefault="00556526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</w:t>
            </w:r>
            <w:r w:rsidR="00C34882">
              <w:rPr>
                <w:sz w:val="20"/>
                <w:lang w:val="en-GB"/>
              </w:rPr>
              <w:t>13</w:t>
            </w:r>
            <w:r w:rsidR="00B14EF1">
              <w:rPr>
                <w:sz w:val="20"/>
                <w:lang w:val="en-GB"/>
              </w:rPr>
              <w:t xml:space="preserve"> </w:t>
            </w:r>
            <w:r w:rsidR="006A6199" w:rsidRPr="00ED5E4F">
              <w:rPr>
                <w:sz w:val="20"/>
                <w:lang w:val="en-GB"/>
              </w:rPr>
              <w:t xml:space="preserve">months prior to the minister’s approval </w:t>
            </w:r>
          </w:p>
        </w:tc>
        <w:tc>
          <w:tcPr>
            <w:tcW w:w="2558" w:type="dxa"/>
          </w:tcPr>
          <w:p w14:paraId="052F42C7" w14:textId="77777777" w:rsidR="006A6199" w:rsidRPr="00ED5E4F" w:rsidRDefault="00B84F2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consultation with partner. Consultant contracted as needed</w:t>
            </w:r>
          </w:p>
        </w:tc>
        <w:tc>
          <w:tcPr>
            <w:tcW w:w="2523" w:type="dxa"/>
          </w:tcPr>
          <w:p w14:paraId="01216EFD" w14:textId="77777777" w:rsidR="006A6199" w:rsidRPr="00ED5E4F" w:rsidRDefault="00AF2792" w:rsidP="0082043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external consultant can be of major support for responsible unit</w:t>
            </w:r>
            <w:r w:rsidR="00820434">
              <w:rPr>
                <w:sz w:val="20"/>
                <w:lang w:val="en-GB"/>
              </w:rPr>
              <w:t xml:space="preserve">s </w:t>
            </w:r>
            <w:r>
              <w:rPr>
                <w:sz w:val="20"/>
                <w:lang w:val="en-GB"/>
              </w:rPr>
              <w:t xml:space="preserve">at embassies and HQ in the </w:t>
            </w:r>
            <w:r w:rsidR="00820434">
              <w:rPr>
                <w:sz w:val="20"/>
                <w:lang w:val="en-GB"/>
              </w:rPr>
              <w:t>preparation</w:t>
            </w:r>
            <w:r>
              <w:rPr>
                <w:sz w:val="20"/>
                <w:lang w:val="en-GB"/>
              </w:rPr>
              <w:t xml:space="preserve"> of </w:t>
            </w:r>
            <w:r w:rsidR="00820434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>initial analysis and concepts and in the formulation of the programme document.</w:t>
            </w:r>
          </w:p>
        </w:tc>
      </w:tr>
      <w:tr w:rsidR="006A6199" w:rsidRPr="001A3F15" w14:paraId="2A4DFF51" w14:textId="77777777" w:rsidTr="00077B6D">
        <w:trPr>
          <w:trHeight w:val="1159"/>
        </w:trPr>
        <w:tc>
          <w:tcPr>
            <w:tcW w:w="2422" w:type="dxa"/>
          </w:tcPr>
          <w:p w14:paraId="23D4A80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3A49C6">
              <w:rPr>
                <w:b/>
                <w:sz w:val="20"/>
                <w:lang w:val="en-GB"/>
              </w:rPr>
              <w:t>Draft Concept note</w:t>
            </w:r>
            <w:r w:rsidRPr="00ED5E4F">
              <w:rPr>
                <w:sz w:val="20"/>
                <w:lang w:val="en-GB"/>
              </w:rPr>
              <w:t xml:space="preserve"> and annexes</w:t>
            </w:r>
          </w:p>
        </w:tc>
        <w:tc>
          <w:tcPr>
            <w:tcW w:w="2125" w:type="dxa"/>
          </w:tcPr>
          <w:p w14:paraId="303F80A5" w14:textId="77777777" w:rsidR="006A6199" w:rsidRPr="00ED5E4F" w:rsidRDefault="00C34882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11</w:t>
            </w:r>
            <w:r w:rsidR="006A6199" w:rsidRPr="00ED5E4F">
              <w:rPr>
                <w:sz w:val="20"/>
                <w:lang w:val="en-GB"/>
              </w:rPr>
              <w:t xml:space="preserve"> months prior to the minister’s approval </w:t>
            </w:r>
          </w:p>
        </w:tc>
        <w:tc>
          <w:tcPr>
            <w:tcW w:w="2558" w:type="dxa"/>
          </w:tcPr>
          <w:p w14:paraId="0F36FAD5" w14:textId="77777777" w:rsidR="006A6199" w:rsidRPr="00ED5E4F" w:rsidRDefault="00B84F2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dialogue with partner. Support from consultant as needed.</w:t>
            </w:r>
          </w:p>
        </w:tc>
        <w:tc>
          <w:tcPr>
            <w:tcW w:w="2523" w:type="dxa"/>
          </w:tcPr>
          <w:p w14:paraId="4B417C65" w14:textId="77777777" w:rsidR="006A6199" w:rsidRPr="00ED5E4F" w:rsidRDefault="00AF2792" w:rsidP="00AF279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Early dialogue with partner can save time in the end and increase probability of ownership. </w:t>
            </w:r>
          </w:p>
        </w:tc>
      </w:tr>
      <w:tr w:rsidR="006A6199" w:rsidRPr="005A3169" w14:paraId="60100A9A" w14:textId="77777777" w:rsidTr="00077B6D">
        <w:trPr>
          <w:trHeight w:val="1472"/>
        </w:trPr>
        <w:tc>
          <w:tcPr>
            <w:tcW w:w="2422" w:type="dxa"/>
          </w:tcPr>
          <w:p w14:paraId="0D488AFD" w14:textId="77777777" w:rsidR="00C81770" w:rsidRDefault="006A6199" w:rsidP="00C81770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Forward </w:t>
            </w:r>
            <w:r>
              <w:rPr>
                <w:sz w:val="20"/>
                <w:lang w:val="en-GB"/>
              </w:rPr>
              <w:t>Concept</w:t>
            </w:r>
            <w:r w:rsidRPr="00ED5E4F">
              <w:rPr>
                <w:sz w:val="20"/>
                <w:lang w:val="en-GB"/>
              </w:rPr>
              <w:t xml:space="preserve"> note </w:t>
            </w:r>
            <w:r w:rsidR="00C81770">
              <w:rPr>
                <w:sz w:val="20"/>
                <w:lang w:val="en-GB"/>
              </w:rPr>
              <w:t xml:space="preserve">and annexes </w:t>
            </w:r>
            <w:r w:rsidRPr="00ED5E4F">
              <w:rPr>
                <w:sz w:val="20"/>
                <w:lang w:val="en-GB"/>
              </w:rPr>
              <w:t xml:space="preserve">to </w:t>
            </w:r>
            <w:r w:rsidR="00ED635A">
              <w:rPr>
                <w:sz w:val="20"/>
                <w:lang w:val="en-GB"/>
              </w:rPr>
              <w:t>T</w:t>
            </w:r>
            <w:r w:rsidR="00B84F22">
              <w:rPr>
                <w:sz w:val="20"/>
                <w:lang w:val="en-GB"/>
              </w:rPr>
              <w:t>QS</w:t>
            </w:r>
            <w:r w:rsidRPr="00ED5E4F">
              <w:rPr>
                <w:sz w:val="20"/>
                <w:lang w:val="en-GB"/>
              </w:rPr>
              <w:t xml:space="preserve"> </w:t>
            </w:r>
          </w:p>
          <w:p w14:paraId="3308C71B" w14:textId="77777777" w:rsidR="001F2DDE" w:rsidRPr="00ED5E4F" w:rsidRDefault="001F2DDE" w:rsidP="00C81770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Public consultation of </w:t>
            </w:r>
            <w:r>
              <w:rPr>
                <w:sz w:val="20"/>
                <w:lang w:val="en-GB"/>
              </w:rPr>
              <w:t>Concept</w:t>
            </w:r>
            <w:r w:rsidRPr="00ED5E4F">
              <w:rPr>
                <w:sz w:val="20"/>
                <w:lang w:val="en-GB"/>
              </w:rPr>
              <w:t xml:space="preserve"> note. </w:t>
            </w:r>
          </w:p>
        </w:tc>
        <w:tc>
          <w:tcPr>
            <w:tcW w:w="2125" w:type="dxa"/>
          </w:tcPr>
          <w:p w14:paraId="72CB1D50" w14:textId="77777777" w:rsidR="006A6199" w:rsidRDefault="00C81770" w:rsidP="00C8177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 days</w:t>
            </w:r>
            <w:r w:rsidRPr="00ED5E4F">
              <w:rPr>
                <w:sz w:val="20"/>
                <w:lang w:val="en-GB"/>
              </w:rPr>
              <w:t xml:space="preserve"> in advance of meeting in Danida Programme Committee</w:t>
            </w:r>
          </w:p>
        </w:tc>
        <w:tc>
          <w:tcPr>
            <w:tcW w:w="2558" w:type="dxa"/>
          </w:tcPr>
          <w:p w14:paraId="75308357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12B956B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C34882" w14:paraId="154E3428" w14:textId="77777777" w:rsidTr="00077B6D">
        <w:tc>
          <w:tcPr>
            <w:tcW w:w="2422" w:type="dxa"/>
          </w:tcPr>
          <w:p w14:paraId="6273A2E4" w14:textId="77777777" w:rsidR="006A6199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Meeting in Danida Programme Committee. </w:t>
            </w:r>
          </w:p>
          <w:p w14:paraId="093CE2B8" w14:textId="77777777" w:rsidR="00A75543" w:rsidRDefault="00A75543" w:rsidP="00500EC1">
            <w:pPr>
              <w:rPr>
                <w:sz w:val="20"/>
                <w:lang w:val="en-GB"/>
              </w:rPr>
            </w:pPr>
          </w:p>
          <w:p w14:paraId="7FD250CE" w14:textId="77777777" w:rsidR="00A75543" w:rsidRPr="00ED5E4F" w:rsidRDefault="00A75543" w:rsidP="00500EC1">
            <w:pPr>
              <w:rPr>
                <w:sz w:val="20"/>
                <w:lang w:val="en-GB"/>
              </w:rPr>
            </w:pPr>
            <w:r w:rsidRPr="00C81770">
              <w:rPr>
                <w:sz w:val="20"/>
                <w:highlight w:val="yellow"/>
                <w:lang w:val="en-GB"/>
              </w:rPr>
              <w:t>List of received responses from the consultation and summary conclusions from Danida Programme Committee.</w:t>
            </w:r>
          </w:p>
        </w:tc>
        <w:tc>
          <w:tcPr>
            <w:tcW w:w="2125" w:type="dxa"/>
          </w:tcPr>
          <w:p w14:paraId="4272F63B" w14:textId="77777777" w:rsidR="006A6199" w:rsidRDefault="00C34882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10</w:t>
            </w:r>
            <w:r w:rsidR="006A6199" w:rsidRPr="00ED5E4F">
              <w:rPr>
                <w:sz w:val="20"/>
                <w:lang w:val="en-GB"/>
              </w:rPr>
              <w:t xml:space="preserve"> months prior to the minister’s approval of the </w:t>
            </w:r>
            <w:r w:rsidR="006A6199"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4F5D17F7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TQS and responsible unit</w:t>
            </w:r>
          </w:p>
        </w:tc>
        <w:tc>
          <w:tcPr>
            <w:tcW w:w="2523" w:type="dxa"/>
          </w:tcPr>
          <w:p w14:paraId="416D331A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497EF8" w:rsidRPr="00C34882" w14:paraId="791487A6" w14:textId="77777777" w:rsidTr="00621FFB">
        <w:tc>
          <w:tcPr>
            <w:tcW w:w="9628" w:type="dxa"/>
            <w:gridSpan w:val="4"/>
          </w:tcPr>
          <w:p w14:paraId="74338F7C" w14:textId="77777777" w:rsidR="00497EF8" w:rsidRPr="00497EF8" w:rsidRDefault="00497EF8" w:rsidP="00500EC1">
            <w:pPr>
              <w:rPr>
                <w:b/>
                <w:sz w:val="20"/>
                <w:lang w:val="en-GB"/>
              </w:rPr>
            </w:pPr>
            <w:r w:rsidRPr="00497EF8">
              <w:rPr>
                <w:b/>
                <w:sz w:val="20"/>
                <w:lang w:val="en-GB"/>
              </w:rPr>
              <w:t>Formulation</w:t>
            </w:r>
          </w:p>
        </w:tc>
      </w:tr>
      <w:tr w:rsidR="006A6199" w:rsidRPr="001A3F15" w14:paraId="2BA82894" w14:textId="77777777" w:rsidTr="00077B6D">
        <w:trPr>
          <w:trHeight w:val="996"/>
        </w:trPr>
        <w:tc>
          <w:tcPr>
            <w:tcW w:w="2422" w:type="dxa"/>
          </w:tcPr>
          <w:p w14:paraId="23A4D209" w14:textId="77777777" w:rsidR="006A6199" w:rsidRPr="00ED5E4F" w:rsidRDefault="00556526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Initiate d</w:t>
            </w:r>
            <w:r w:rsidR="006A6199">
              <w:rPr>
                <w:sz w:val="20"/>
                <w:lang w:val="en-GB"/>
              </w:rPr>
              <w:t>evelopment</w:t>
            </w:r>
            <w:r w:rsidR="006A6199" w:rsidRPr="00ED5E4F">
              <w:rPr>
                <w:sz w:val="20"/>
                <w:lang w:val="en-GB"/>
              </w:rPr>
              <w:t xml:space="preserve"> of </w:t>
            </w:r>
            <w:r w:rsidR="006A6199">
              <w:rPr>
                <w:sz w:val="20"/>
                <w:lang w:val="en-GB"/>
              </w:rPr>
              <w:t xml:space="preserve"> Programme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Document</w:t>
            </w:r>
            <w:r w:rsidR="009734C3">
              <w:rPr>
                <w:sz w:val="20"/>
                <w:lang w:val="en-GB"/>
              </w:rPr>
              <w:t>s (and if</w:t>
            </w:r>
            <w:r w:rsidR="00B84F22">
              <w:rPr>
                <w:sz w:val="20"/>
                <w:lang w:val="en-GB"/>
              </w:rPr>
              <w:t xml:space="preserve"> relevant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Development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engagement</w:t>
            </w:r>
            <w:r w:rsidR="006A6199" w:rsidRPr="00ED5E4F">
              <w:rPr>
                <w:sz w:val="20"/>
                <w:lang w:val="en-GB"/>
              </w:rPr>
              <w:t xml:space="preserve"> </w:t>
            </w:r>
            <w:r w:rsidR="006A6199">
              <w:rPr>
                <w:sz w:val="20"/>
                <w:lang w:val="en-GB"/>
              </w:rPr>
              <w:t>Documents</w:t>
            </w:r>
            <w:r w:rsidR="00B84F22">
              <w:rPr>
                <w:sz w:val="20"/>
                <w:lang w:val="en-GB"/>
              </w:rPr>
              <w:t>)</w:t>
            </w:r>
          </w:p>
        </w:tc>
        <w:tc>
          <w:tcPr>
            <w:tcW w:w="2125" w:type="dxa"/>
          </w:tcPr>
          <w:p w14:paraId="051A57F3" w14:textId="77777777" w:rsidR="006A6199" w:rsidRPr="00ED5E4F" w:rsidRDefault="00C34882" w:rsidP="00C3488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10 </w:t>
            </w:r>
            <w:r w:rsidR="006A6199" w:rsidRPr="00ED5E4F">
              <w:rPr>
                <w:sz w:val="20"/>
                <w:lang w:val="en-GB"/>
              </w:rPr>
              <w:t xml:space="preserve">months prior to the minister’s approval of the </w:t>
            </w:r>
            <w:r w:rsidR="006A6199"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5EACACFD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cooperation with partner and as needed supported by consultant.</w:t>
            </w:r>
          </w:p>
        </w:tc>
        <w:tc>
          <w:tcPr>
            <w:tcW w:w="2523" w:type="dxa"/>
          </w:tcPr>
          <w:p w14:paraId="21754A17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1A3F15" w14:paraId="088EAB18" w14:textId="77777777" w:rsidTr="00497EF8">
        <w:trPr>
          <w:trHeight w:val="1181"/>
        </w:trPr>
        <w:tc>
          <w:tcPr>
            <w:tcW w:w="2422" w:type="dxa"/>
          </w:tcPr>
          <w:p w14:paraId="6D296F88" w14:textId="77777777" w:rsidR="00556526" w:rsidRDefault="00556526" w:rsidP="00500EC1">
            <w:pPr>
              <w:rPr>
                <w:sz w:val="20"/>
                <w:lang w:val="en-GB"/>
              </w:rPr>
            </w:pPr>
            <w:r w:rsidRPr="003A49C6">
              <w:rPr>
                <w:b/>
                <w:sz w:val="20"/>
                <w:lang w:val="en-GB"/>
              </w:rPr>
              <w:t>Draft Programme Document</w:t>
            </w:r>
            <w:r>
              <w:rPr>
                <w:sz w:val="20"/>
                <w:lang w:val="en-GB"/>
              </w:rPr>
              <w:t xml:space="preserve"> </w:t>
            </w:r>
            <w:r w:rsidR="009734C3">
              <w:rPr>
                <w:sz w:val="20"/>
                <w:lang w:val="en-GB"/>
              </w:rPr>
              <w:t>(</w:t>
            </w:r>
            <w:r>
              <w:rPr>
                <w:sz w:val="20"/>
                <w:lang w:val="en-GB"/>
              </w:rPr>
              <w:t>and</w:t>
            </w:r>
            <w:r w:rsidR="009734C3">
              <w:rPr>
                <w:sz w:val="20"/>
                <w:lang w:val="en-GB"/>
              </w:rPr>
              <w:t xml:space="preserve"> if relevant</w:t>
            </w:r>
            <w:r>
              <w:rPr>
                <w:sz w:val="20"/>
                <w:lang w:val="en-GB"/>
              </w:rPr>
              <w:t xml:space="preserve"> Development Engagement Document</w:t>
            </w:r>
            <w:r w:rsidR="009734C3">
              <w:rPr>
                <w:sz w:val="20"/>
                <w:lang w:val="en-GB"/>
              </w:rPr>
              <w:t>)</w:t>
            </w:r>
          </w:p>
        </w:tc>
        <w:tc>
          <w:tcPr>
            <w:tcW w:w="2125" w:type="dxa"/>
          </w:tcPr>
          <w:p w14:paraId="69A8B654" w14:textId="77777777" w:rsidR="00556526" w:rsidRPr="00ED5E4F" w:rsidRDefault="00C3488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  <w:r w:rsidR="00A75543">
              <w:rPr>
                <w:sz w:val="20"/>
                <w:lang w:val="en-GB"/>
              </w:rPr>
              <w:t xml:space="preserve"> months</w:t>
            </w:r>
            <w:r w:rsidR="00C81770" w:rsidRPr="00ED5E4F">
              <w:rPr>
                <w:sz w:val="20"/>
                <w:lang w:val="en-GB"/>
              </w:rPr>
              <w:t xml:space="preserve"> prior to the minister’s approval of the </w:t>
            </w:r>
            <w:r w:rsidR="00C81770"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0867B386" w14:textId="77777777" w:rsidR="00556526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consultation with partner</w:t>
            </w:r>
          </w:p>
        </w:tc>
        <w:tc>
          <w:tcPr>
            <w:tcW w:w="2523" w:type="dxa"/>
          </w:tcPr>
          <w:p w14:paraId="0D5ECA97" w14:textId="77777777"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497EF8" w:rsidRPr="00077B6D" w14:paraId="7FA76B02" w14:textId="77777777" w:rsidTr="003E48D2">
        <w:trPr>
          <w:trHeight w:val="996"/>
        </w:trPr>
        <w:tc>
          <w:tcPr>
            <w:tcW w:w="9628" w:type="dxa"/>
            <w:gridSpan w:val="4"/>
          </w:tcPr>
          <w:p w14:paraId="64467FF3" w14:textId="77777777" w:rsidR="00497EF8" w:rsidRPr="00497EF8" w:rsidRDefault="00497EF8" w:rsidP="00500EC1">
            <w:pPr>
              <w:rPr>
                <w:b/>
                <w:sz w:val="20"/>
                <w:lang w:val="en-GB"/>
              </w:rPr>
            </w:pPr>
            <w:r w:rsidRPr="00497EF8">
              <w:rPr>
                <w:b/>
                <w:sz w:val="20"/>
                <w:lang w:val="en-GB"/>
              </w:rPr>
              <w:lastRenderedPageBreak/>
              <w:t>Appraisal</w:t>
            </w:r>
          </w:p>
        </w:tc>
      </w:tr>
      <w:tr w:rsidR="006A6199" w:rsidRPr="001A3F15" w14:paraId="59CCFBF5" w14:textId="77777777" w:rsidTr="00077B6D">
        <w:tc>
          <w:tcPr>
            <w:tcW w:w="2422" w:type="dxa"/>
          </w:tcPr>
          <w:p w14:paraId="54C134D8" w14:textId="77777777" w:rsidR="00C81770" w:rsidRDefault="009734C3" w:rsidP="00C8177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Request for appraisal forwarded to TQS</w:t>
            </w:r>
            <w:r w:rsidR="00C81770">
              <w:rPr>
                <w:sz w:val="20"/>
                <w:lang w:val="en-GB"/>
              </w:rPr>
              <w:t xml:space="preserve"> including:</w:t>
            </w:r>
            <w:r>
              <w:rPr>
                <w:sz w:val="20"/>
                <w:lang w:val="en-GB"/>
              </w:rPr>
              <w:t xml:space="preserve"> Draft TOR for appraisal, revised draft PAP and </w:t>
            </w:r>
          </w:p>
          <w:p w14:paraId="13152BE5" w14:textId="77777777" w:rsidR="00D32DEF" w:rsidRPr="00ED5E4F" w:rsidRDefault="00C81770" w:rsidP="00D32D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Draft Program </w:t>
            </w:r>
            <w:r>
              <w:rPr>
                <w:sz w:val="20"/>
                <w:lang w:val="en-GB"/>
              </w:rPr>
              <w:t>Document</w:t>
            </w:r>
            <w:r w:rsidR="009734C3">
              <w:rPr>
                <w:sz w:val="20"/>
                <w:lang w:val="en-GB"/>
              </w:rPr>
              <w:t xml:space="preserve"> (if relevant</w:t>
            </w:r>
            <w:r w:rsidR="00D32DEF" w:rsidRPr="00ED5E4F">
              <w:rPr>
                <w:sz w:val="20"/>
                <w:lang w:val="en-GB"/>
              </w:rPr>
              <w:t xml:space="preserve"> incl. </w:t>
            </w:r>
            <w:r w:rsidR="00D32DEF">
              <w:rPr>
                <w:sz w:val="20"/>
                <w:lang w:val="en-GB"/>
              </w:rPr>
              <w:t>Development</w:t>
            </w:r>
            <w:r w:rsidR="00D32DEF" w:rsidRPr="00ED5E4F">
              <w:rPr>
                <w:sz w:val="20"/>
                <w:lang w:val="en-GB"/>
              </w:rPr>
              <w:t xml:space="preserve"> </w:t>
            </w:r>
            <w:r w:rsidR="00D32DEF">
              <w:rPr>
                <w:sz w:val="20"/>
                <w:lang w:val="en-GB"/>
              </w:rPr>
              <w:t>engagement</w:t>
            </w:r>
            <w:r w:rsidR="00D32DEF" w:rsidRPr="00ED5E4F">
              <w:rPr>
                <w:sz w:val="20"/>
                <w:lang w:val="en-GB"/>
              </w:rPr>
              <w:t xml:space="preserve"> </w:t>
            </w:r>
            <w:r w:rsidR="00D32DEF">
              <w:rPr>
                <w:sz w:val="20"/>
                <w:lang w:val="en-GB"/>
              </w:rPr>
              <w:t>Documents</w:t>
            </w:r>
            <w:r w:rsidR="009734C3">
              <w:rPr>
                <w:sz w:val="20"/>
                <w:lang w:val="en-GB"/>
              </w:rPr>
              <w:t>)</w:t>
            </w:r>
            <w:r w:rsidR="00D32DEF" w:rsidRPr="00ED5E4F">
              <w:rPr>
                <w:sz w:val="20"/>
                <w:lang w:val="en-GB"/>
              </w:rPr>
              <w:t xml:space="preserve"> and associated partner </w:t>
            </w:r>
            <w:r w:rsidR="00D32DEF">
              <w:rPr>
                <w:sz w:val="20"/>
                <w:lang w:val="en-GB"/>
              </w:rPr>
              <w:t>document</w:t>
            </w:r>
            <w:r w:rsidR="00D32DEF" w:rsidRPr="00ED5E4F">
              <w:rPr>
                <w:sz w:val="20"/>
                <w:lang w:val="en-GB"/>
              </w:rPr>
              <w:t>ation</w:t>
            </w:r>
          </w:p>
          <w:p w14:paraId="2E41B979" w14:textId="77777777"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25" w:type="dxa"/>
          </w:tcPr>
          <w:p w14:paraId="2A752329" w14:textId="77777777" w:rsidR="006A6199" w:rsidRPr="00ED5E4F" w:rsidRDefault="00A75543" w:rsidP="00C34882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Min </w:t>
            </w:r>
            <w:r w:rsidR="00C34882">
              <w:rPr>
                <w:sz w:val="20"/>
                <w:lang w:val="en-GB"/>
              </w:rPr>
              <w:t>10</w:t>
            </w:r>
            <w:r>
              <w:rPr>
                <w:sz w:val="20"/>
                <w:lang w:val="en-GB"/>
              </w:rPr>
              <w:t xml:space="preserve"> </w:t>
            </w:r>
            <w:r w:rsidRPr="00ED5E4F">
              <w:rPr>
                <w:sz w:val="20"/>
                <w:lang w:val="en-GB"/>
              </w:rPr>
              <w:t xml:space="preserve">months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6AD2AB51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2F0330F2" w14:textId="77777777" w:rsidR="00CB392B" w:rsidRDefault="003A49C6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Initiate appraisal process as early as possible. </w:t>
            </w:r>
          </w:p>
          <w:p w14:paraId="28798AC2" w14:textId="77777777" w:rsidR="006A6199" w:rsidRPr="00ED5E4F" w:rsidRDefault="003A49C6" w:rsidP="00CB392B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Tendering requires a set of terms of reference</w:t>
            </w:r>
            <w:r w:rsidR="00CB392B">
              <w:rPr>
                <w:sz w:val="20"/>
                <w:lang w:val="en-GB"/>
              </w:rPr>
              <w:t xml:space="preserve"> only</w:t>
            </w:r>
            <w:r>
              <w:rPr>
                <w:sz w:val="20"/>
                <w:lang w:val="en-GB"/>
              </w:rPr>
              <w:t xml:space="preserve"> and can be initiated</w:t>
            </w:r>
            <w:r w:rsidR="00AA4786">
              <w:rPr>
                <w:sz w:val="20"/>
                <w:lang w:val="en-GB"/>
              </w:rPr>
              <w:t>,</w:t>
            </w:r>
            <w:r>
              <w:rPr>
                <w:sz w:val="20"/>
                <w:lang w:val="en-GB"/>
              </w:rPr>
              <w:t xml:space="preserve"> while formulation is still on-going- This will save time.</w:t>
            </w:r>
          </w:p>
        </w:tc>
      </w:tr>
      <w:tr w:rsidR="00424431" w:rsidRPr="00C34882" w14:paraId="18E889CA" w14:textId="77777777" w:rsidTr="00077B6D">
        <w:tc>
          <w:tcPr>
            <w:tcW w:w="2422" w:type="dxa"/>
          </w:tcPr>
          <w:p w14:paraId="27EACAC9" w14:textId="77777777" w:rsidR="00424431" w:rsidRDefault="00424431" w:rsidP="00C8177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Tender for consultants initiated</w:t>
            </w:r>
          </w:p>
        </w:tc>
        <w:tc>
          <w:tcPr>
            <w:tcW w:w="2125" w:type="dxa"/>
          </w:tcPr>
          <w:p w14:paraId="75724042" w14:textId="77777777" w:rsidR="00424431" w:rsidRPr="00ED5E4F" w:rsidRDefault="00C34882" w:rsidP="0042443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9-10</w:t>
            </w:r>
            <w:r w:rsidR="00424431">
              <w:rPr>
                <w:sz w:val="20"/>
                <w:lang w:val="en-GB"/>
              </w:rPr>
              <w:t xml:space="preserve"> months prior to the ministers approval of the programme</w:t>
            </w:r>
          </w:p>
        </w:tc>
        <w:tc>
          <w:tcPr>
            <w:tcW w:w="2558" w:type="dxa"/>
          </w:tcPr>
          <w:p w14:paraId="3B180981" w14:textId="77777777" w:rsidR="00424431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TQS/ØKO</w:t>
            </w:r>
          </w:p>
        </w:tc>
        <w:tc>
          <w:tcPr>
            <w:tcW w:w="2523" w:type="dxa"/>
          </w:tcPr>
          <w:p w14:paraId="24317880" w14:textId="77777777" w:rsidR="00424431" w:rsidRPr="00ED5E4F" w:rsidRDefault="00424431" w:rsidP="00500EC1">
            <w:pPr>
              <w:rPr>
                <w:sz w:val="20"/>
                <w:lang w:val="en-GB"/>
              </w:rPr>
            </w:pPr>
          </w:p>
        </w:tc>
      </w:tr>
      <w:tr w:rsidR="006A6199" w:rsidRPr="00C34882" w14:paraId="641EAF78" w14:textId="77777777" w:rsidTr="00077B6D">
        <w:tc>
          <w:tcPr>
            <w:tcW w:w="2422" w:type="dxa"/>
          </w:tcPr>
          <w:p w14:paraId="2BFAC235" w14:textId="77777777" w:rsidR="006A6199" w:rsidRDefault="00424431" w:rsidP="00D32D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Contract with consultant</w:t>
            </w:r>
          </w:p>
          <w:p w14:paraId="4DF92B18" w14:textId="77777777" w:rsidR="00424431" w:rsidRDefault="00424431" w:rsidP="00D32DEF">
            <w:pPr>
              <w:rPr>
                <w:sz w:val="20"/>
                <w:lang w:val="en-US"/>
              </w:rPr>
            </w:pPr>
          </w:p>
          <w:p w14:paraId="6AF70844" w14:textId="77777777" w:rsidR="00424431" w:rsidRPr="00424431" w:rsidRDefault="00424431" w:rsidP="00D32DEF">
            <w:pPr>
              <w:rPr>
                <w:sz w:val="20"/>
                <w:lang w:val="en-US"/>
              </w:rPr>
            </w:pPr>
          </w:p>
        </w:tc>
        <w:tc>
          <w:tcPr>
            <w:tcW w:w="2125" w:type="dxa"/>
          </w:tcPr>
          <w:p w14:paraId="2204FCA9" w14:textId="77777777" w:rsidR="006A6199" w:rsidRPr="00ED5E4F" w:rsidRDefault="00C3488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  <w:r w:rsidR="00424431">
              <w:rPr>
                <w:sz w:val="20"/>
                <w:lang w:val="en-GB"/>
              </w:rPr>
              <w:t xml:space="preserve"> months</w:t>
            </w:r>
          </w:p>
        </w:tc>
        <w:tc>
          <w:tcPr>
            <w:tcW w:w="2558" w:type="dxa"/>
          </w:tcPr>
          <w:p w14:paraId="345D9EDC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TQS/ØKO</w:t>
            </w:r>
          </w:p>
        </w:tc>
        <w:tc>
          <w:tcPr>
            <w:tcW w:w="2523" w:type="dxa"/>
          </w:tcPr>
          <w:p w14:paraId="06A431FF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C34882" w:rsidRPr="00C34882" w14:paraId="163C1E66" w14:textId="77777777" w:rsidTr="00077B6D">
        <w:tc>
          <w:tcPr>
            <w:tcW w:w="2422" w:type="dxa"/>
          </w:tcPr>
          <w:p w14:paraId="083E7267" w14:textId="77777777" w:rsidR="00C34882" w:rsidRDefault="00820434" w:rsidP="00D32D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Mobilization</w:t>
            </w:r>
            <w:r w:rsidR="00AA4786">
              <w:rPr>
                <w:sz w:val="20"/>
                <w:lang w:val="en-US"/>
              </w:rPr>
              <w:t xml:space="preserve"> time for co</w:t>
            </w:r>
            <w:r w:rsidR="00C34882">
              <w:rPr>
                <w:sz w:val="20"/>
                <w:lang w:val="en-US"/>
              </w:rPr>
              <w:t>nsultant</w:t>
            </w:r>
          </w:p>
        </w:tc>
        <w:tc>
          <w:tcPr>
            <w:tcW w:w="2125" w:type="dxa"/>
          </w:tcPr>
          <w:p w14:paraId="5EB78ACB" w14:textId="77777777" w:rsidR="00C34882" w:rsidRDefault="00C3488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 months</w:t>
            </w:r>
          </w:p>
        </w:tc>
        <w:tc>
          <w:tcPr>
            <w:tcW w:w="2558" w:type="dxa"/>
          </w:tcPr>
          <w:p w14:paraId="4254827C" w14:textId="77777777" w:rsidR="00C34882" w:rsidRDefault="00C34882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3F1EA8BD" w14:textId="77777777" w:rsidR="00C34882" w:rsidRPr="00ED5E4F" w:rsidRDefault="00C34882" w:rsidP="00500EC1">
            <w:pPr>
              <w:rPr>
                <w:sz w:val="20"/>
                <w:lang w:val="en-GB"/>
              </w:rPr>
            </w:pPr>
          </w:p>
        </w:tc>
      </w:tr>
      <w:tr w:rsidR="00424431" w:rsidRPr="005A3169" w14:paraId="6ACF761A" w14:textId="77777777" w:rsidTr="00077B6D">
        <w:tc>
          <w:tcPr>
            <w:tcW w:w="2422" w:type="dxa"/>
          </w:tcPr>
          <w:p w14:paraId="1B66EA53" w14:textId="77777777" w:rsidR="00424431" w:rsidRDefault="00424431" w:rsidP="00D32DE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Appraisal initiated</w:t>
            </w:r>
          </w:p>
        </w:tc>
        <w:tc>
          <w:tcPr>
            <w:tcW w:w="2125" w:type="dxa"/>
          </w:tcPr>
          <w:p w14:paraId="56383FA1" w14:textId="77777777" w:rsidR="00424431" w:rsidRDefault="00D17450" w:rsidP="0042443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  <w:r w:rsidR="00424431">
              <w:rPr>
                <w:sz w:val="20"/>
                <w:lang w:val="en-GB"/>
              </w:rPr>
              <w:t xml:space="preserve"> months prior to the Ministers approval of the programme</w:t>
            </w:r>
          </w:p>
        </w:tc>
        <w:tc>
          <w:tcPr>
            <w:tcW w:w="2558" w:type="dxa"/>
          </w:tcPr>
          <w:p w14:paraId="46EDD649" w14:textId="77777777" w:rsidR="00424431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TQS</w:t>
            </w:r>
          </w:p>
        </w:tc>
        <w:tc>
          <w:tcPr>
            <w:tcW w:w="2523" w:type="dxa"/>
          </w:tcPr>
          <w:p w14:paraId="2D427D58" w14:textId="77777777" w:rsidR="00424431" w:rsidRPr="00ED5E4F" w:rsidRDefault="00424431" w:rsidP="00500EC1">
            <w:pPr>
              <w:rPr>
                <w:sz w:val="20"/>
                <w:lang w:val="en-GB"/>
              </w:rPr>
            </w:pPr>
          </w:p>
        </w:tc>
      </w:tr>
      <w:tr w:rsidR="009734C3" w:rsidRPr="00C34882" w14:paraId="279779EF" w14:textId="77777777" w:rsidTr="00077B6D">
        <w:tc>
          <w:tcPr>
            <w:tcW w:w="2422" w:type="dxa"/>
          </w:tcPr>
          <w:p w14:paraId="33F2BB2F" w14:textId="77777777" w:rsidR="009734C3" w:rsidRPr="00424431" w:rsidRDefault="00C34882" w:rsidP="00424431">
            <w:pPr>
              <w:rPr>
                <w:sz w:val="20"/>
                <w:lang w:val="en-US"/>
              </w:rPr>
            </w:pPr>
            <w:r>
              <w:rPr>
                <w:sz w:val="20"/>
                <w:lang w:val="en-GB"/>
              </w:rPr>
              <w:t xml:space="preserve">Draft </w:t>
            </w:r>
            <w:r w:rsidR="00424431" w:rsidRPr="00ED5E4F">
              <w:rPr>
                <w:sz w:val="20"/>
                <w:lang w:val="en-GB"/>
              </w:rPr>
              <w:t>Appraisal Report</w:t>
            </w:r>
            <w:r w:rsidR="00424431">
              <w:rPr>
                <w:sz w:val="20"/>
                <w:lang w:val="en-GB"/>
              </w:rPr>
              <w:t xml:space="preserve"> including summary of conclusions and </w:t>
            </w:r>
            <w:r w:rsidR="00424431" w:rsidRPr="00ED5E4F">
              <w:rPr>
                <w:sz w:val="20"/>
                <w:lang w:val="en-GB"/>
              </w:rPr>
              <w:t xml:space="preserve"> recommendations  </w:t>
            </w:r>
          </w:p>
        </w:tc>
        <w:tc>
          <w:tcPr>
            <w:tcW w:w="2125" w:type="dxa"/>
          </w:tcPr>
          <w:p w14:paraId="0203B7BF" w14:textId="77777777" w:rsidR="009734C3" w:rsidRDefault="00C3488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5</w:t>
            </w:r>
            <w:r w:rsidR="00424431">
              <w:rPr>
                <w:sz w:val="20"/>
                <w:lang w:val="en-GB"/>
              </w:rPr>
              <w:t xml:space="preserve"> </w:t>
            </w:r>
            <w:r w:rsidR="00424431" w:rsidRPr="00ED5E4F">
              <w:rPr>
                <w:sz w:val="20"/>
                <w:lang w:val="en-GB"/>
              </w:rPr>
              <w:t xml:space="preserve">months prior to the minister’s approval of the </w:t>
            </w:r>
            <w:r w:rsidR="00424431"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63ACBA4E" w14:textId="77777777" w:rsidR="009734C3" w:rsidRPr="00ED5E4F" w:rsidRDefault="00424431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TQS</w:t>
            </w:r>
          </w:p>
        </w:tc>
        <w:tc>
          <w:tcPr>
            <w:tcW w:w="2523" w:type="dxa"/>
          </w:tcPr>
          <w:p w14:paraId="74742AB6" w14:textId="77777777" w:rsidR="009734C3" w:rsidRPr="00ED5E4F" w:rsidRDefault="009734C3" w:rsidP="00500EC1">
            <w:pPr>
              <w:rPr>
                <w:sz w:val="20"/>
                <w:lang w:val="en-GB"/>
              </w:rPr>
            </w:pPr>
          </w:p>
        </w:tc>
      </w:tr>
      <w:tr w:rsidR="00C34882" w:rsidRPr="001A3F15" w14:paraId="5CF8DE08" w14:textId="77777777" w:rsidTr="00077B6D">
        <w:tc>
          <w:tcPr>
            <w:tcW w:w="2422" w:type="dxa"/>
          </w:tcPr>
          <w:p w14:paraId="792D9C5D" w14:textId="77777777" w:rsidR="00C34882" w:rsidRDefault="00C34882" w:rsidP="0042443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 appraisal report integrating comments from responsible unit and partner</w:t>
            </w:r>
          </w:p>
        </w:tc>
        <w:tc>
          <w:tcPr>
            <w:tcW w:w="2125" w:type="dxa"/>
          </w:tcPr>
          <w:p w14:paraId="65D4941E" w14:textId="77777777" w:rsidR="00C34882" w:rsidRDefault="00C34882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 months prior to the Minister’s approval of the programme</w:t>
            </w:r>
          </w:p>
        </w:tc>
        <w:tc>
          <w:tcPr>
            <w:tcW w:w="2558" w:type="dxa"/>
          </w:tcPr>
          <w:p w14:paraId="27433850" w14:textId="77777777" w:rsidR="00C34882" w:rsidRDefault="00C34882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58D420BD" w14:textId="77777777" w:rsidR="00C34882" w:rsidRPr="00ED5E4F" w:rsidRDefault="00C34882" w:rsidP="00500EC1">
            <w:pPr>
              <w:rPr>
                <w:sz w:val="20"/>
                <w:lang w:val="en-GB"/>
              </w:rPr>
            </w:pPr>
          </w:p>
        </w:tc>
      </w:tr>
      <w:tr w:rsidR="00A75543" w:rsidRPr="005A3169" w14:paraId="52586F9C" w14:textId="77777777" w:rsidTr="00077B6D">
        <w:tc>
          <w:tcPr>
            <w:tcW w:w="2422" w:type="dxa"/>
          </w:tcPr>
          <w:p w14:paraId="526ABDE9" w14:textId="77777777" w:rsidR="00A75543" w:rsidRPr="00ED5E4F" w:rsidRDefault="00D32DEF" w:rsidP="00ED635A">
            <w:pPr>
              <w:rPr>
                <w:sz w:val="20"/>
                <w:lang w:val="en-GB"/>
              </w:rPr>
            </w:pPr>
            <w:r w:rsidRPr="00D17450">
              <w:rPr>
                <w:sz w:val="20"/>
                <w:lang w:val="en-US"/>
              </w:rPr>
              <w:t>Final P</w:t>
            </w:r>
            <w:r w:rsidR="00A75543" w:rsidRPr="00D17450">
              <w:rPr>
                <w:sz w:val="20"/>
                <w:lang w:val="en-US"/>
              </w:rPr>
              <w:t>rogramme Document, annexes and Development engagement Documents</w:t>
            </w:r>
            <w:r w:rsidRPr="00ED5E4F">
              <w:rPr>
                <w:sz w:val="20"/>
                <w:lang w:val="en-GB"/>
              </w:rPr>
              <w:t xml:space="preserve"> forwarded to </w:t>
            </w:r>
            <w:r w:rsidR="00ED635A">
              <w:rPr>
                <w:sz w:val="20"/>
                <w:lang w:val="en-GB"/>
              </w:rPr>
              <w:t>TAS</w:t>
            </w:r>
          </w:p>
        </w:tc>
        <w:tc>
          <w:tcPr>
            <w:tcW w:w="2125" w:type="dxa"/>
          </w:tcPr>
          <w:p w14:paraId="640467CA" w14:textId="77777777" w:rsidR="00A75543" w:rsidRDefault="00500EC1" w:rsidP="00ED635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</w:t>
            </w:r>
            <w:r w:rsidR="00D32DEF">
              <w:rPr>
                <w:sz w:val="20"/>
                <w:lang w:val="en-GB"/>
              </w:rPr>
              <w:t xml:space="preserve">in. </w:t>
            </w:r>
            <w:r w:rsidR="00ED635A">
              <w:rPr>
                <w:sz w:val="20"/>
                <w:lang w:val="en-GB"/>
              </w:rPr>
              <w:t xml:space="preserve">    13 working days before meeting in Council for Development Policy</w:t>
            </w:r>
          </w:p>
        </w:tc>
        <w:tc>
          <w:tcPr>
            <w:tcW w:w="2558" w:type="dxa"/>
          </w:tcPr>
          <w:p w14:paraId="180E898D" w14:textId="77777777" w:rsidR="00A75543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00BF9F8C" w14:textId="77777777"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5A3169" w14:paraId="6257F5CC" w14:textId="77777777" w:rsidTr="00077B6D">
        <w:tc>
          <w:tcPr>
            <w:tcW w:w="2422" w:type="dxa"/>
          </w:tcPr>
          <w:p w14:paraId="25BEA4E4" w14:textId="77777777" w:rsidR="006A6199" w:rsidRPr="00ED5E4F" w:rsidRDefault="006A6199" w:rsidP="00ED635A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Presentation to the </w:t>
            </w:r>
            <w:r w:rsidR="00ED635A">
              <w:rPr>
                <w:sz w:val="20"/>
                <w:lang w:val="en-GB"/>
              </w:rPr>
              <w:t>Council for Development Policy</w:t>
            </w:r>
          </w:p>
        </w:tc>
        <w:tc>
          <w:tcPr>
            <w:tcW w:w="2125" w:type="dxa"/>
          </w:tcPr>
          <w:p w14:paraId="1DC88F61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2 </w:t>
            </w:r>
            <w:r w:rsidRPr="00ED5E4F">
              <w:rPr>
                <w:sz w:val="20"/>
                <w:lang w:val="en-GB"/>
              </w:rPr>
              <w:t>month</w:t>
            </w:r>
            <w:r>
              <w:rPr>
                <w:sz w:val="20"/>
                <w:lang w:val="en-GB"/>
              </w:rPr>
              <w:t>s</w:t>
            </w:r>
            <w:r w:rsidRPr="00ED5E4F">
              <w:rPr>
                <w:sz w:val="20"/>
                <w:lang w:val="en-GB"/>
              </w:rPr>
              <w:t xml:space="preserve"> prior to the Minister’s approval of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558" w:type="dxa"/>
          </w:tcPr>
          <w:p w14:paraId="323139D5" w14:textId="77777777" w:rsidR="006A6199" w:rsidRPr="00ED5E4F" w:rsidRDefault="00D566A5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25845FB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1A3F15" w14:paraId="6576C109" w14:textId="77777777" w:rsidTr="00077B6D">
        <w:tc>
          <w:tcPr>
            <w:tcW w:w="2422" w:type="dxa"/>
          </w:tcPr>
          <w:p w14:paraId="637D6D8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minister approves the </w:t>
            </w: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2125" w:type="dxa"/>
          </w:tcPr>
          <w:p w14:paraId="5DE076EA" w14:textId="77777777" w:rsidR="006A6199" w:rsidRPr="00ED5E4F" w:rsidRDefault="006A6199" w:rsidP="00ED635A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After </w:t>
            </w:r>
            <w:r w:rsidR="00ED635A">
              <w:rPr>
                <w:sz w:val="20"/>
                <w:lang w:val="en-GB"/>
              </w:rPr>
              <w:t xml:space="preserve">Council for Development Policy </w:t>
            </w:r>
            <w:r w:rsidRPr="00ED5E4F">
              <w:rPr>
                <w:sz w:val="20"/>
                <w:lang w:val="en-GB"/>
              </w:rPr>
              <w:t>meeting</w:t>
            </w:r>
          </w:p>
        </w:tc>
        <w:tc>
          <w:tcPr>
            <w:tcW w:w="2558" w:type="dxa"/>
          </w:tcPr>
          <w:p w14:paraId="073ECDC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0F69B5F9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14:paraId="410B5FE7" w14:textId="77777777" w:rsidTr="00077B6D">
        <w:tc>
          <w:tcPr>
            <w:tcW w:w="2422" w:type="dxa"/>
          </w:tcPr>
          <w:p w14:paraId="17D85D39" w14:textId="77777777" w:rsidR="00500EC1" w:rsidRPr="00D566A5" w:rsidRDefault="00500EC1" w:rsidP="00500EC1">
            <w:pPr>
              <w:rPr>
                <w:sz w:val="20"/>
                <w:highlight w:val="yellow"/>
                <w:lang w:val="en-GB"/>
              </w:rPr>
            </w:pPr>
            <w:r w:rsidRPr="00D566A5">
              <w:rPr>
                <w:sz w:val="20"/>
                <w:highlight w:val="yellow"/>
                <w:lang w:val="en-GB"/>
              </w:rPr>
              <w:t>Document for Finance Committee (Aktstykke)</w:t>
            </w:r>
          </w:p>
          <w:p w14:paraId="627D1D36" w14:textId="77777777" w:rsidR="00500EC1" w:rsidRPr="00D566A5" w:rsidRDefault="00500EC1" w:rsidP="00500EC1">
            <w:pPr>
              <w:rPr>
                <w:sz w:val="20"/>
                <w:highlight w:val="yellow"/>
                <w:lang w:val="en-GB"/>
              </w:rPr>
            </w:pPr>
          </w:p>
          <w:p w14:paraId="74D681B9" w14:textId="77777777" w:rsidR="006A6199" w:rsidRPr="00D566A5" w:rsidRDefault="006A6199" w:rsidP="00500EC1">
            <w:pPr>
              <w:rPr>
                <w:sz w:val="20"/>
                <w:highlight w:val="yellow"/>
                <w:lang w:val="en-GB"/>
              </w:rPr>
            </w:pPr>
            <w:r w:rsidRPr="00D566A5">
              <w:rPr>
                <w:sz w:val="20"/>
                <w:highlight w:val="yellow"/>
                <w:lang w:val="en-GB"/>
              </w:rPr>
              <w:t xml:space="preserve">If direct legal basis for the commitment is not in place at Finance Act: Presentation to the </w:t>
            </w:r>
            <w:r w:rsidRPr="00D566A5">
              <w:rPr>
                <w:sz w:val="20"/>
                <w:highlight w:val="yellow"/>
                <w:lang w:val="en-GB"/>
              </w:rPr>
              <w:lastRenderedPageBreak/>
              <w:t xml:space="preserve">Parliamentary Finance Committee </w:t>
            </w:r>
          </w:p>
        </w:tc>
        <w:tc>
          <w:tcPr>
            <w:tcW w:w="2125" w:type="dxa"/>
          </w:tcPr>
          <w:p w14:paraId="643B7FA1" w14:textId="77777777" w:rsidR="006A6199" w:rsidRPr="00D566A5" w:rsidRDefault="006A6199" w:rsidP="00500EC1">
            <w:pPr>
              <w:rPr>
                <w:sz w:val="20"/>
                <w:highlight w:val="yellow"/>
                <w:lang w:val="en-GB"/>
              </w:rPr>
            </w:pPr>
            <w:r w:rsidRPr="00D566A5">
              <w:rPr>
                <w:sz w:val="20"/>
                <w:highlight w:val="yellow"/>
                <w:lang w:val="en-GB"/>
              </w:rPr>
              <w:lastRenderedPageBreak/>
              <w:t>After Minister’s</w:t>
            </w:r>
            <w:bookmarkStart w:id="1" w:name="_GoBack"/>
            <w:bookmarkEnd w:id="1"/>
            <w:r w:rsidRPr="00D566A5">
              <w:rPr>
                <w:sz w:val="20"/>
                <w:highlight w:val="yellow"/>
                <w:lang w:val="en-GB"/>
              </w:rPr>
              <w:t xml:space="preserve"> approval</w:t>
            </w:r>
          </w:p>
        </w:tc>
        <w:tc>
          <w:tcPr>
            <w:tcW w:w="2558" w:type="dxa"/>
          </w:tcPr>
          <w:p w14:paraId="599C3335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58654B6C" w14:textId="77777777"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14:paraId="0AF328BD" w14:textId="77777777" w:rsidTr="00077B6D">
        <w:tc>
          <w:tcPr>
            <w:tcW w:w="2422" w:type="dxa"/>
          </w:tcPr>
          <w:p w14:paraId="6C6AE97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Signing of </w:t>
            </w:r>
            <w:r w:rsidR="00500EC1" w:rsidRPr="00ED5E4F">
              <w:rPr>
                <w:sz w:val="20"/>
                <w:lang w:val="en-GB"/>
              </w:rPr>
              <w:t xml:space="preserve"> Government-to-government agreement(s) and/or other legally binding agreements </w:t>
            </w:r>
            <w:r w:rsidRPr="00ED5E4F">
              <w:rPr>
                <w:sz w:val="20"/>
                <w:lang w:val="en-GB"/>
              </w:rPr>
              <w:t>(commitments) with partner(s)</w:t>
            </w:r>
          </w:p>
        </w:tc>
        <w:tc>
          <w:tcPr>
            <w:tcW w:w="2125" w:type="dxa"/>
          </w:tcPr>
          <w:p w14:paraId="5C8AB405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Minister’s approval</w:t>
            </w:r>
          </w:p>
        </w:tc>
        <w:tc>
          <w:tcPr>
            <w:tcW w:w="2558" w:type="dxa"/>
          </w:tcPr>
          <w:p w14:paraId="50291C86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5438326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1A3F15" w14:paraId="1CCE2082" w14:textId="77777777" w:rsidTr="00077B6D">
        <w:tc>
          <w:tcPr>
            <w:tcW w:w="2422" w:type="dxa"/>
          </w:tcPr>
          <w:p w14:paraId="2D6E836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Register</w:t>
            </w:r>
            <w:r w:rsidRPr="00ED5E4F">
              <w:rPr>
                <w:sz w:val="20"/>
                <w:lang w:val="en-GB"/>
              </w:rPr>
              <w:t xml:space="preserve"> commitment in MFA’s financial systems within budgeted quarter.</w:t>
            </w:r>
          </w:p>
        </w:tc>
        <w:tc>
          <w:tcPr>
            <w:tcW w:w="2125" w:type="dxa"/>
          </w:tcPr>
          <w:p w14:paraId="03B498E2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agreement(s) are signed</w:t>
            </w:r>
          </w:p>
        </w:tc>
        <w:tc>
          <w:tcPr>
            <w:tcW w:w="2558" w:type="dxa"/>
          </w:tcPr>
          <w:p w14:paraId="4259D6FD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0B998D4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14:paraId="2AC1DFCA" w14:textId="77777777"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14:paraId="6AB30393" w14:textId="77777777"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77B6D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A3F15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E6B71"/>
    <w:rsid w:val="002F5307"/>
    <w:rsid w:val="003040D0"/>
    <w:rsid w:val="00312E4F"/>
    <w:rsid w:val="00332DA2"/>
    <w:rsid w:val="00364CBE"/>
    <w:rsid w:val="00376309"/>
    <w:rsid w:val="003866D7"/>
    <w:rsid w:val="003A49C6"/>
    <w:rsid w:val="003A6AC0"/>
    <w:rsid w:val="003D22A7"/>
    <w:rsid w:val="003D723A"/>
    <w:rsid w:val="003E7B45"/>
    <w:rsid w:val="003F1B53"/>
    <w:rsid w:val="00411003"/>
    <w:rsid w:val="00412A84"/>
    <w:rsid w:val="00424431"/>
    <w:rsid w:val="004314CE"/>
    <w:rsid w:val="00444A94"/>
    <w:rsid w:val="00455A98"/>
    <w:rsid w:val="00463203"/>
    <w:rsid w:val="00467041"/>
    <w:rsid w:val="00471458"/>
    <w:rsid w:val="00474A00"/>
    <w:rsid w:val="00497EF8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174CC"/>
    <w:rsid w:val="00521E90"/>
    <w:rsid w:val="005224A4"/>
    <w:rsid w:val="00542881"/>
    <w:rsid w:val="0054390E"/>
    <w:rsid w:val="00556526"/>
    <w:rsid w:val="00567041"/>
    <w:rsid w:val="0056719A"/>
    <w:rsid w:val="005773A9"/>
    <w:rsid w:val="005A316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20434"/>
    <w:rsid w:val="00830FF3"/>
    <w:rsid w:val="00836532"/>
    <w:rsid w:val="00844886"/>
    <w:rsid w:val="0085610D"/>
    <w:rsid w:val="00861CE8"/>
    <w:rsid w:val="00862788"/>
    <w:rsid w:val="008669A9"/>
    <w:rsid w:val="0087619B"/>
    <w:rsid w:val="00876E07"/>
    <w:rsid w:val="008B52E9"/>
    <w:rsid w:val="008C7002"/>
    <w:rsid w:val="009019EC"/>
    <w:rsid w:val="009622EA"/>
    <w:rsid w:val="009734C3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A4786"/>
    <w:rsid w:val="00AC6CA8"/>
    <w:rsid w:val="00AD2F1A"/>
    <w:rsid w:val="00AE1ED0"/>
    <w:rsid w:val="00AF2792"/>
    <w:rsid w:val="00B14EF1"/>
    <w:rsid w:val="00B33310"/>
    <w:rsid w:val="00B44B02"/>
    <w:rsid w:val="00B53F54"/>
    <w:rsid w:val="00B64CC1"/>
    <w:rsid w:val="00B84F22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34882"/>
    <w:rsid w:val="00C81770"/>
    <w:rsid w:val="00CB0024"/>
    <w:rsid w:val="00CB392B"/>
    <w:rsid w:val="00CC0B37"/>
    <w:rsid w:val="00CE2E35"/>
    <w:rsid w:val="00CE4C28"/>
    <w:rsid w:val="00D10CC5"/>
    <w:rsid w:val="00D1183F"/>
    <w:rsid w:val="00D17450"/>
    <w:rsid w:val="00D208EB"/>
    <w:rsid w:val="00D25823"/>
    <w:rsid w:val="00D3073C"/>
    <w:rsid w:val="00D32DEF"/>
    <w:rsid w:val="00D4121B"/>
    <w:rsid w:val="00D44C4D"/>
    <w:rsid w:val="00D47AA2"/>
    <w:rsid w:val="00D566A5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371A"/>
    <w:rsid w:val="00E552C8"/>
    <w:rsid w:val="00E6416C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9B31"/>
  <w15:docId w15:val="{A458D3BB-9FC8-4FEE-AD08-BD43CA8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66A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566A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566A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66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66A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3</Pages>
  <Words>570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Frank Rothaus Jensen</cp:lastModifiedBy>
  <cp:revision>3</cp:revision>
  <cp:lastPrinted>2017-12-20T15:06:00Z</cp:lastPrinted>
  <dcterms:created xsi:type="dcterms:W3CDTF">2018-01-12T13:44:00Z</dcterms:created>
  <dcterms:modified xsi:type="dcterms:W3CDTF">2018-01-17T09:53:00Z</dcterms:modified>
</cp:coreProperties>
</file>