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7A" w:rsidRDefault="001B209C" w:rsidP="0047177A">
      <w:r>
        <w:t xml:space="preserve"> </w:t>
      </w:r>
    </w:p>
    <w:sdt>
      <w:sdtPr>
        <w:rPr>
          <w:rFonts w:ascii="Garamond" w:eastAsiaTheme="minorEastAsia" w:hAnsi="Garamond" w:cstheme="minorBidi"/>
          <w:color w:val="auto"/>
          <w:sz w:val="24"/>
          <w:szCs w:val="24"/>
          <w:lang w:val="en-GB" w:eastAsia="da-DK"/>
        </w:rPr>
        <w:id w:val="-1851170066"/>
        <w:docPartObj>
          <w:docPartGallery w:val="Table of Contents"/>
          <w:docPartUnique/>
        </w:docPartObj>
      </w:sdtPr>
      <w:sdtEndPr>
        <w:rPr>
          <w:b/>
          <w:bCs/>
          <w:noProof/>
        </w:rPr>
      </w:sdtEndPr>
      <w:sdtContent>
        <w:p w:rsidR="0047177A" w:rsidRPr="004630C0" w:rsidRDefault="0047177A">
          <w:pPr>
            <w:pStyle w:val="TOCHeading"/>
            <w:rPr>
              <w:rStyle w:val="Heading1Char"/>
            </w:rPr>
          </w:pPr>
          <w:r w:rsidRPr="004630C0">
            <w:rPr>
              <w:rStyle w:val="Heading1Char"/>
            </w:rPr>
            <w:t>Contents</w:t>
          </w:r>
        </w:p>
        <w:p w:rsidR="004630C0" w:rsidRDefault="0047177A">
          <w:pPr>
            <w:pStyle w:val="TOC1"/>
            <w:tabs>
              <w:tab w:val="right" w:leader="dot" w:pos="9486"/>
            </w:tabs>
            <w:rPr>
              <w:rFonts w:asciiTheme="minorHAnsi" w:hAnsiTheme="minorHAnsi"/>
              <w:noProof/>
              <w:sz w:val="22"/>
              <w:szCs w:val="22"/>
              <w:lang w:eastAsia="en-GB"/>
            </w:rPr>
          </w:pPr>
          <w:r>
            <w:fldChar w:fldCharType="begin"/>
          </w:r>
          <w:r>
            <w:instrText xml:space="preserve"> TOC \o "1-3" \h \z \u </w:instrText>
          </w:r>
          <w:r>
            <w:fldChar w:fldCharType="separate"/>
          </w:r>
          <w:hyperlink w:anchor="_Toc89077028" w:history="1">
            <w:r w:rsidR="004630C0" w:rsidRPr="009008DA">
              <w:rPr>
                <w:rStyle w:val="Hyperlink"/>
                <w:noProof/>
              </w:rPr>
              <w:t>Programme level</w:t>
            </w:r>
            <w:r w:rsidR="004630C0">
              <w:rPr>
                <w:noProof/>
                <w:webHidden/>
              </w:rPr>
              <w:tab/>
            </w:r>
            <w:r w:rsidR="004630C0">
              <w:rPr>
                <w:noProof/>
                <w:webHidden/>
              </w:rPr>
              <w:fldChar w:fldCharType="begin"/>
            </w:r>
            <w:r w:rsidR="004630C0">
              <w:rPr>
                <w:noProof/>
                <w:webHidden/>
              </w:rPr>
              <w:instrText xml:space="preserve"> PAGEREF _Toc89077028 \h </w:instrText>
            </w:r>
            <w:r w:rsidR="004630C0">
              <w:rPr>
                <w:noProof/>
                <w:webHidden/>
              </w:rPr>
            </w:r>
            <w:r w:rsidR="004630C0">
              <w:rPr>
                <w:noProof/>
                <w:webHidden/>
              </w:rPr>
              <w:fldChar w:fldCharType="separate"/>
            </w:r>
            <w:r w:rsidR="004630C0">
              <w:rPr>
                <w:noProof/>
                <w:webHidden/>
              </w:rPr>
              <w:t>2</w:t>
            </w:r>
            <w:r w:rsidR="004630C0">
              <w:rPr>
                <w:noProof/>
                <w:webHidden/>
              </w:rPr>
              <w:fldChar w:fldCharType="end"/>
            </w:r>
          </w:hyperlink>
        </w:p>
        <w:p w:rsidR="004630C0" w:rsidRDefault="00EA4811">
          <w:pPr>
            <w:pStyle w:val="TOC1"/>
            <w:tabs>
              <w:tab w:val="right" w:leader="dot" w:pos="9486"/>
            </w:tabs>
            <w:rPr>
              <w:rFonts w:asciiTheme="minorHAnsi" w:hAnsiTheme="minorHAnsi"/>
              <w:noProof/>
              <w:sz w:val="22"/>
              <w:szCs w:val="22"/>
              <w:lang w:eastAsia="en-GB"/>
            </w:rPr>
          </w:pPr>
          <w:hyperlink w:anchor="_Toc89077029" w:history="1">
            <w:r w:rsidR="004630C0" w:rsidRPr="009008DA">
              <w:rPr>
                <w:rStyle w:val="Hyperlink"/>
                <w:noProof/>
              </w:rPr>
              <w:t xml:space="preserve">PSE 1 </w:t>
            </w:r>
            <w:r w:rsidR="004630C0" w:rsidRPr="009008DA">
              <w:rPr>
                <w:rStyle w:val="Hyperlink"/>
                <w:rFonts w:ascii="Calibri" w:hAnsi="Calibri" w:cs="Calibri"/>
                <w:noProof/>
              </w:rPr>
              <w:t xml:space="preserve">– </w:t>
            </w:r>
            <w:r w:rsidR="004630C0" w:rsidRPr="009008DA">
              <w:rPr>
                <w:rStyle w:val="Hyperlink"/>
                <w:noProof/>
              </w:rPr>
              <w:t>UNODC: Regional support to criminal justice system responses to the threat of maritime crime</w:t>
            </w:r>
            <w:r w:rsidR="004630C0">
              <w:rPr>
                <w:noProof/>
                <w:webHidden/>
              </w:rPr>
              <w:tab/>
            </w:r>
            <w:r w:rsidR="004630C0">
              <w:rPr>
                <w:noProof/>
                <w:webHidden/>
              </w:rPr>
              <w:fldChar w:fldCharType="begin"/>
            </w:r>
            <w:r w:rsidR="004630C0">
              <w:rPr>
                <w:noProof/>
                <w:webHidden/>
              </w:rPr>
              <w:instrText xml:space="preserve"> PAGEREF _Toc89077029 \h </w:instrText>
            </w:r>
            <w:r w:rsidR="004630C0">
              <w:rPr>
                <w:noProof/>
                <w:webHidden/>
              </w:rPr>
            </w:r>
            <w:r w:rsidR="004630C0">
              <w:rPr>
                <w:noProof/>
                <w:webHidden/>
              </w:rPr>
              <w:fldChar w:fldCharType="separate"/>
            </w:r>
            <w:r w:rsidR="004630C0">
              <w:rPr>
                <w:noProof/>
                <w:webHidden/>
              </w:rPr>
              <w:t>4</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0" w:history="1">
            <w:r w:rsidR="004630C0" w:rsidRPr="009008DA">
              <w:rPr>
                <w:rStyle w:val="Hyperlink"/>
                <w:noProof/>
              </w:rPr>
              <w:t>PSE 1 – Theory of Change</w:t>
            </w:r>
            <w:r w:rsidR="004630C0">
              <w:rPr>
                <w:noProof/>
                <w:webHidden/>
              </w:rPr>
              <w:tab/>
            </w:r>
            <w:r w:rsidR="004630C0">
              <w:rPr>
                <w:noProof/>
                <w:webHidden/>
              </w:rPr>
              <w:fldChar w:fldCharType="begin"/>
            </w:r>
            <w:r w:rsidR="004630C0">
              <w:rPr>
                <w:noProof/>
                <w:webHidden/>
              </w:rPr>
              <w:instrText xml:space="preserve"> PAGEREF _Toc89077030 \h </w:instrText>
            </w:r>
            <w:r w:rsidR="004630C0">
              <w:rPr>
                <w:noProof/>
                <w:webHidden/>
              </w:rPr>
            </w:r>
            <w:r w:rsidR="004630C0">
              <w:rPr>
                <w:noProof/>
                <w:webHidden/>
              </w:rPr>
              <w:fldChar w:fldCharType="separate"/>
            </w:r>
            <w:r w:rsidR="004630C0">
              <w:rPr>
                <w:noProof/>
                <w:webHidden/>
              </w:rPr>
              <w:t>4</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1" w:history="1">
            <w:r w:rsidR="004630C0" w:rsidRPr="009008DA">
              <w:rPr>
                <w:rStyle w:val="Hyperlink"/>
                <w:noProof/>
              </w:rPr>
              <w:t>PSE 1 – Results Framework</w:t>
            </w:r>
            <w:r w:rsidR="004630C0">
              <w:rPr>
                <w:noProof/>
                <w:webHidden/>
              </w:rPr>
              <w:tab/>
            </w:r>
            <w:r w:rsidR="004630C0">
              <w:rPr>
                <w:noProof/>
                <w:webHidden/>
              </w:rPr>
              <w:fldChar w:fldCharType="begin"/>
            </w:r>
            <w:r w:rsidR="004630C0">
              <w:rPr>
                <w:noProof/>
                <w:webHidden/>
              </w:rPr>
              <w:instrText xml:space="preserve"> PAGEREF _Toc89077031 \h </w:instrText>
            </w:r>
            <w:r w:rsidR="004630C0">
              <w:rPr>
                <w:noProof/>
                <w:webHidden/>
              </w:rPr>
            </w:r>
            <w:r w:rsidR="004630C0">
              <w:rPr>
                <w:noProof/>
                <w:webHidden/>
              </w:rPr>
              <w:fldChar w:fldCharType="separate"/>
            </w:r>
            <w:r w:rsidR="004630C0">
              <w:rPr>
                <w:noProof/>
                <w:webHidden/>
              </w:rPr>
              <w:t>5</w:t>
            </w:r>
            <w:r w:rsidR="004630C0">
              <w:rPr>
                <w:noProof/>
                <w:webHidden/>
              </w:rPr>
              <w:fldChar w:fldCharType="end"/>
            </w:r>
          </w:hyperlink>
        </w:p>
        <w:p w:rsidR="004630C0" w:rsidRDefault="00EA4811">
          <w:pPr>
            <w:pStyle w:val="TOC1"/>
            <w:tabs>
              <w:tab w:val="right" w:leader="dot" w:pos="9486"/>
            </w:tabs>
            <w:rPr>
              <w:rFonts w:asciiTheme="minorHAnsi" w:hAnsiTheme="minorHAnsi"/>
              <w:noProof/>
              <w:sz w:val="22"/>
              <w:szCs w:val="22"/>
              <w:lang w:eastAsia="en-GB"/>
            </w:rPr>
          </w:pPr>
          <w:hyperlink w:anchor="_Toc89077032" w:history="1">
            <w:r w:rsidR="004630C0" w:rsidRPr="009008DA">
              <w:rPr>
                <w:rStyle w:val="Hyperlink"/>
                <w:noProof/>
              </w:rPr>
              <w:t xml:space="preserve">PSE 2 </w:t>
            </w:r>
            <w:r w:rsidR="004630C0" w:rsidRPr="009008DA">
              <w:rPr>
                <w:rStyle w:val="Hyperlink"/>
                <w:rFonts w:cs="Calibri"/>
                <w:noProof/>
              </w:rPr>
              <w:t>– INTERPOL: Maritime policing, investigation, and evidence collection</w:t>
            </w:r>
            <w:r w:rsidR="004630C0">
              <w:rPr>
                <w:noProof/>
                <w:webHidden/>
              </w:rPr>
              <w:tab/>
            </w:r>
            <w:r w:rsidR="004630C0">
              <w:rPr>
                <w:noProof/>
                <w:webHidden/>
              </w:rPr>
              <w:fldChar w:fldCharType="begin"/>
            </w:r>
            <w:r w:rsidR="004630C0">
              <w:rPr>
                <w:noProof/>
                <w:webHidden/>
              </w:rPr>
              <w:instrText xml:space="preserve"> PAGEREF _Toc89077032 \h </w:instrText>
            </w:r>
            <w:r w:rsidR="004630C0">
              <w:rPr>
                <w:noProof/>
                <w:webHidden/>
              </w:rPr>
            </w:r>
            <w:r w:rsidR="004630C0">
              <w:rPr>
                <w:noProof/>
                <w:webHidden/>
              </w:rPr>
              <w:fldChar w:fldCharType="separate"/>
            </w:r>
            <w:r w:rsidR="004630C0">
              <w:rPr>
                <w:noProof/>
                <w:webHidden/>
              </w:rPr>
              <w:t>10</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3" w:history="1">
            <w:r w:rsidR="004630C0" w:rsidRPr="009008DA">
              <w:rPr>
                <w:rStyle w:val="Hyperlink"/>
                <w:noProof/>
              </w:rPr>
              <w:t>PSE 2 – Theory of Change</w:t>
            </w:r>
            <w:r w:rsidR="004630C0">
              <w:rPr>
                <w:noProof/>
                <w:webHidden/>
              </w:rPr>
              <w:tab/>
            </w:r>
            <w:r w:rsidR="004630C0">
              <w:rPr>
                <w:noProof/>
                <w:webHidden/>
              </w:rPr>
              <w:fldChar w:fldCharType="begin"/>
            </w:r>
            <w:r w:rsidR="004630C0">
              <w:rPr>
                <w:noProof/>
                <w:webHidden/>
              </w:rPr>
              <w:instrText xml:space="preserve"> PAGEREF _Toc89077033 \h </w:instrText>
            </w:r>
            <w:r w:rsidR="004630C0">
              <w:rPr>
                <w:noProof/>
                <w:webHidden/>
              </w:rPr>
            </w:r>
            <w:r w:rsidR="004630C0">
              <w:rPr>
                <w:noProof/>
                <w:webHidden/>
              </w:rPr>
              <w:fldChar w:fldCharType="separate"/>
            </w:r>
            <w:r w:rsidR="004630C0">
              <w:rPr>
                <w:noProof/>
                <w:webHidden/>
              </w:rPr>
              <w:t>10</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4" w:history="1">
            <w:r w:rsidR="004630C0" w:rsidRPr="009008DA">
              <w:rPr>
                <w:rStyle w:val="Hyperlink"/>
                <w:noProof/>
              </w:rPr>
              <w:t>PSE 2 – Results Framework</w:t>
            </w:r>
            <w:r w:rsidR="004630C0">
              <w:rPr>
                <w:noProof/>
                <w:webHidden/>
              </w:rPr>
              <w:tab/>
            </w:r>
            <w:r w:rsidR="004630C0">
              <w:rPr>
                <w:noProof/>
                <w:webHidden/>
              </w:rPr>
              <w:fldChar w:fldCharType="begin"/>
            </w:r>
            <w:r w:rsidR="004630C0">
              <w:rPr>
                <w:noProof/>
                <w:webHidden/>
              </w:rPr>
              <w:instrText xml:space="preserve"> PAGEREF _Toc89077034 \h </w:instrText>
            </w:r>
            <w:r w:rsidR="004630C0">
              <w:rPr>
                <w:noProof/>
                <w:webHidden/>
              </w:rPr>
            </w:r>
            <w:r w:rsidR="004630C0">
              <w:rPr>
                <w:noProof/>
                <w:webHidden/>
              </w:rPr>
              <w:fldChar w:fldCharType="separate"/>
            </w:r>
            <w:r w:rsidR="004630C0">
              <w:rPr>
                <w:noProof/>
                <w:webHidden/>
              </w:rPr>
              <w:t>11</w:t>
            </w:r>
            <w:r w:rsidR="004630C0">
              <w:rPr>
                <w:noProof/>
                <w:webHidden/>
              </w:rPr>
              <w:fldChar w:fldCharType="end"/>
            </w:r>
          </w:hyperlink>
        </w:p>
        <w:p w:rsidR="004630C0" w:rsidRDefault="00EA4811">
          <w:pPr>
            <w:pStyle w:val="TOC1"/>
            <w:tabs>
              <w:tab w:val="right" w:leader="dot" w:pos="9486"/>
            </w:tabs>
            <w:rPr>
              <w:rFonts w:asciiTheme="minorHAnsi" w:hAnsiTheme="minorHAnsi"/>
              <w:noProof/>
              <w:sz w:val="22"/>
              <w:szCs w:val="22"/>
              <w:lang w:eastAsia="en-GB"/>
            </w:rPr>
          </w:pPr>
          <w:hyperlink w:anchor="_Toc89077035" w:history="1">
            <w:r w:rsidR="004630C0" w:rsidRPr="009008DA">
              <w:rPr>
                <w:rStyle w:val="Hyperlink"/>
                <w:noProof/>
              </w:rPr>
              <w:t>PSE 3</w:t>
            </w:r>
            <w:r w:rsidR="004630C0">
              <w:rPr>
                <w:noProof/>
                <w:webHidden/>
              </w:rPr>
              <w:tab/>
            </w:r>
            <w:r w:rsidR="004630C0">
              <w:rPr>
                <w:noProof/>
                <w:webHidden/>
              </w:rPr>
              <w:fldChar w:fldCharType="begin"/>
            </w:r>
            <w:r w:rsidR="004630C0">
              <w:rPr>
                <w:noProof/>
                <w:webHidden/>
              </w:rPr>
              <w:instrText xml:space="preserve"> PAGEREF _Toc89077035 \h </w:instrText>
            </w:r>
            <w:r w:rsidR="004630C0">
              <w:rPr>
                <w:noProof/>
                <w:webHidden/>
              </w:rPr>
            </w:r>
            <w:r w:rsidR="004630C0">
              <w:rPr>
                <w:noProof/>
                <w:webHidden/>
              </w:rPr>
              <w:fldChar w:fldCharType="separate"/>
            </w:r>
            <w:r w:rsidR="004630C0">
              <w:rPr>
                <w:noProof/>
                <w:webHidden/>
              </w:rPr>
              <w:t>14</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6" w:history="1">
            <w:r w:rsidR="004630C0" w:rsidRPr="009008DA">
              <w:rPr>
                <w:rStyle w:val="Hyperlink"/>
                <w:noProof/>
              </w:rPr>
              <w:t>PSE 3 – Theory of Change</w:t>
            </w:r>
            <w:r w:rsidR="004630C0">
              <w:rPr>
                <w:noProof/>
                <w:webHidden/>
              </w:rPr>
              <w:tab/>
            </w:r>
            <w:r w:rsidR="004630C0">
              <w:rPr>
                <w:noProof/>
                <w:webHidden/>
              </w:rPr>
              <w:fldChar w:fldCharType="begin"/>
            </w:r>
            <w:r w:rsidR="004630C0">
              <w:rPr>
                <w:noProof/>
                <w:webHidden/>
              </w:rPr>
              <w:instrText xml:space="preserve"> PAGEREF _Toc89077036 \h </w:instrText>
            </w:r>
            <w:r w:rsidR="004630C0">
              <w:rPr>
                <w:noProof/>
                <w:webHidden/>
              </w:rPr>
            </w:r>
            <w:r w:rsidR="004630C0">
              <w:rPr>
                <w:noProof/>
                <w:webHidden/>
              </w:rPr>
              <w:fldChar w:fldCharType="separate"/>
            </w:r>
            <w:r w:rsidR="004630C0">
              <w:rPr>
                <w:noProof/>
                <w:webHidden/>
              </w:rPr>
              <w:t>14</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7" w:history="1">
            <w:r w:rsidR="004630C0" w:rsidRPr="009008DA">
              <w:rPr>
                <w:rStyle w:val="Hyperlink"/>
                <w:noProof/>
              </w:rPr>
              <w:t>PSE 3 – Results Framework</w:t>
            </w:r>
            <w:r w:rsidR="004630C0">
              <w:rPr>
                <w:noProof/>
                <w:webHidden/>
              </w:rPr>
              <w:tab/>
            </w:r>
            <w:r w:rsidR="004630C0">
              <w:rPr>
                <w:noProof/>
                <w:webHidden/>
              </w:rPr>
              <w:fldChar w:fldCharType="begin"/>
            </w:r>
            <w:r w:rsidR="004630C0">
              <w:rPr>
                <w:noProof/>
                <w:webHidden/>
              </w:rPr>
              <w:instrText xml:space="preserve"> PAGEREF _Toc89077037 \h </w:instrText>
            </w:r>
            <w:r w:rsidR="004630C0">
              <w:rPr>
                <w:noProof/>
                <w:webHidden/>
              </w:rPr>
            </w:r>
            <w:r w:rsidR="004630C0">
              <w:rPr>
                <w:noProof/>
                <w:webHidden/>
              </w:rPr>
              <w:fldChar w:fldCharType="separate"/>
            </w:r>
            <w:r w:rsidR="004630C0">
              <w:rPr>
                <w:noProof/>
                <w:webHidden/>
              </w:rPr>
              <w:t>15</w:t>
            </w:r>
            <w:r w:rsidR="004630C0">
              <w:rPr>
                <w:noProof/>
                <w:webHidden/>
              </w:rPr>
              <w:fldChar w:fldCharType="end"/>
            </w:r>
          </w:hyperlink>
        </w:p>
        <w:p w:rsidR="004630C0" w:rsidRDefault="00EA4811">
          <w:pPr>
            <w:pStyle w:val="TOC1"/>
            <w:tabs>
              <w:tab w:val="right" w:leader="dot" w:pos="9486"/>
            </w:tabs>
            <w:rPr>
              <w:rFonts w:asciiTheme="minorHAnsi" w:hAnsiTheme="minorHAnsi"/>
              <w:noProof/>
              <w:sz w:val="22"/>
              <w:szCs w:val="22"/>
              <w:lang w:eastAsia="en-GB"/>
            </w:rPr>
          </w:pPr>
          <w:hyperlink w:anchor="_Toc89077038" w:history="1">
            <w:r w:rsidR="004630C0" w:rsidRPr="009008DA">
              <w:rPr>
                <w:rStyle w:val="Hyperlink"/>
                <w:noProof/>
              </w:rPr>
              <w:t>PSE 4</w:t>
            </w:r>
            <w:r w:rsidR="004630C0">
              <w:rPr>
                <w:noProof/>
                <w:webHidden/>
              </w:rPr>
              <w:tab/>
            </w:r>
            <w:r w:rsidR="004630C0">
              <w:rPr>
                <w:noProof/>
                <w:webHidden/>
              </w:rPr>
              <w:fldChar w:fldCharType="begin"/>
            </w:r>
            <w:r w:rsidR="004630C0">
              <w:rPr>
                <w:noProof/>
                <w:webHidden/>
              </w:rPr>
              <w:instrText xml:space="preserve"> PAGEREF _Toc89077038 \h </w:instrText>
            </w:r>
            <w:r w:rsidR="004630C0">
              <w:rPr>
                <w:noProof/>
                <w:webHidden/>
              </w:rPr>
            </w:r>
            <w:r w:rsidR="004630C0">
              <w:rPr>
                <w:noProof/>
                <w:webHidden/>
              </w:rPr>
              <w:fldChar w:fldCharType="separate"/>
            </w:r>
            <w:r w:rsidR="004630C0">
              <w:rPr>
                <w:noProof/>
                <w:webHidden/>
              </w:rPr>
              <w:t>19</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39" w:history="1">
            <w:r w:rsidR="004630C0" w:rsidRPr="009008DA">
              <w:rPr>
                <w:rStyle w:val="Hyperlink"/>
                <w:noProof/>
              </w:rPr>
              <w:t>PSE 4 – Theory of Change</w:t>
            </w:r>
            <w:r w:rsidR="004630C0">
              <w:rPr>
                <w:noProof/>
                <w:webHidden/>
              </w:rPr>
              <w:tab/>
            </w:r>
            <w:r w:rsidR="004630C0">
              <w:rPr>
                <w:noProof/>
                <w:webHidden/>
              </w:rPr>
              <w:fldChar w:fldCharType="begin"/>
            </w:r>
            <w:r w:rsidR="004630C0">
              <w:rPr>
                <w:noProof/>
                <w:webHidden/>
              </w:rPr>
              <w:instrText xml:space="preserve"> PAGEREF _Toc89077039 \h </w:instrText>
            </w:r>
            <w:r w:rsidR="004630C0">
              <w:rPr>
                <w:noProof/>
                <w:webHidden/>
              </w:rPr>
            </w:r>
            <w:r w:rsidR="004630C0">
              <w:rPr>
                <w:noProof/>
                <w:webHidden/>
              </w:rPr>
              <w:fldChar w:fldCharType="separate"/>
            </w:r>
            <w:r w:rsidR="004630C0">
              <w:rPr>
                <w:noProof/>
                <w:webHidden/>
              </w:rPr>
              <w:t>19</w:t>
            </w:r>
            <w:r w:rsidR="004630C0">
              <w:rPr>
                <w:noProof/>
                <w:webHidden/>
              </w:rPr>
              <w:fldChar w:fldCharType="end"/>
            </w:r>
          </w:hyperlink>
        </w:p>
        <w:p w:rsidR="004630C0" w:rsidRDefault="00EA4811">
          <w:pPr>
            <w:pStyle w:val="TOC2"/>
            <w:tabs>
              <w:tab w:val="right" w:leader="dot" w:pos="9486"/>
            </w:tabs>
            <w:rPr>
              <w:rFonts w:asciiTheme="minorHAnsi" w:hAnsiTheme="minorHAnsi"/>
              <w:noProof/>
              <w:sz w:val="22"/>
              <w:szCs w:val="22"/>
              <w:lang w:eastAsia="en-GB"/>
            </w:rPr>
          </w:pPr>
          <w:hyperlink w:anchor="_Toc89077040" w:history="1">
            <w:r w:rsidR="004630C0" w:rsidRPr="009008DA">
              <w:rPr>
                <w:rStyle w:val="Hyperlink"/>
                <w:noProof/>
              </w:rPr>
              <w:t>PSE 4 – Results Framework</w:t>
            </w:r>
            <w:r w:rsidR="004630C0">
              <w:rPr>
                <w:noProof/>
                <w:webHidden/>
              </w:rPr>
              <w:tab/>
            </w:r>
            <w:r w:rsidR="004630C0">
              <w:rPr>
                <w:noProof/>
                <w:webHidden/>
              </w:rPr>
              <w:fldChar w:fldCharType="begin"/>
            </w:r>
            <w:r w:rsidR="004630C0">
              <w:rPr>
                <w:noProof/>
                <w:webHidden/>
              </w:rPr>
              <w:instrText xml:space="preserve"> PAGEREF _Toc89077040 \h </w:instrText>
            </w:r>
            <w:r w:rsidR="004630C0">
              <w:rPr>
                <w:noProof/>
                <w:webHidden/>
              </w:rPr>
            </w:r>
            <w:r w:rsidR="004630C0">
              <w:rPr>
                <w:noProof/>
                <w:webHidden/>
              </w:rPr>
              <w:fldChar w:fldCharType="separate"/>
            </w:r>
            <w:r w:rsidR="004630C0">
              <w:rPr>
                <w:noProof/>
                <w:webHidden/>
              </w:rPr>
              <w:t>20</w:t>
            </w:r>
            <w:r w:rsidR="004630C0">
              <w:rPr>
                <w:noProof/>
                <w:webHidden/>
              </w:rPr>
              <w:fldChar w:fldCharType="end"/>
            </w:r>
          </w:hyperlink>
        </w:p>
        <w:p w:rsidR="0047177A" w:rsidRDefault="0047177A" w:rsidP="0047177A">
          <w:r>
            <w:rPr>
              <w:b/>
              <w:bCs/>
              <w:noProof/>
            </w:rPr>
            <w:fldChar w:fldCharType="end"/>
          </w:r>
        </w:p>
      </w:sdtContent>
    </w:sdt>
    <w:p w:rsidR="00E72B0D" w:rsidRDefault="00E72B0D">
      <w:pPr>
        <w:jc w:val="left"/>
        <w:rPr>
          <w:rFonts w:eastAsiaTheme="majorEastAsia" w:cstheme="majorBidi"/>
          <w:b/>
          <w:bCs/>
          <w:color w:val="345A8A" w:themeColor="accent1" w:themeShade="B5"/>
          <w:sz w:val="32"/>
          <w:szCs w:val="32"/>
        </w:rPr>
      </w:pPr>
      <w:r>
        <w:br w:type="page"/>
      </w:r>
    </w:p>
    <w:p w:rsidR="006F40FF" w:rsidRDefault="008D07DA" w:rsidP="00D5002C">
      <w:pPr>
        <w:pStyle w:val="Heading1"/>
      </w:pPr>
      <w:bookmarkStart w:id="0" w:name="_Toc89077028"/>
      <w:r>
        <w:lastRenderedPageBreak/>
        <w:t>Programme level</w:t>
      </w:r>
      <w:bookmarkEnd w:id="0"/>
    </w:p>
    <w:p w:rsidR="006F40FF" w:rsidRDefault="006F40FF" w:rsidP="006F40FF"/>
    <w:tbl>
      <w:tblPr>
        <w:tblStyle w:val="TableGrid"/>
        <w:tblW w:w="9985" w:type="dxa"/>
        <w:tblLook w:val="04A0" w:firstRow="1" w:lastRow="0" w:firstColumn="1" w:lastColumn="0" w:noHBand="0" w:noVBand="1"/>
      </w:tblPr>
      <w:tblGrid>
        <w:gridCol w:w="1061"/>
        <w:gridCol w:w="1061"/>
        <w:gridCol w:w="7863"/>
      </w:tblGrid>
      <w:tr w:rsidR="006F40FF" w:rsidRPr="00883403" w:rsidTr="00CD5F71">
        <w:tc>
          <w:tcPr>
            <w:tcW w:w="2122" w:type="dxa"/>
            <w:gridSpan w:val="2"/>
            <w:shd w:val="clear" w:color="auto" w:fill="C2D69B" w:themeFill="accent3" w:themeFillTint="99"/>
          </w:tcPr>
          <w:p w:rsidR="006F40FF" w:rsidRPr="00B957A1" w:rsidRDefault="006F40FF" w:rsidP="00CD5F71">
            <w:pPr>
              <w:rPr>
                <w:sz w:val="20"/>
              </w:rPr>
            </w:pPr>
            <w:r w:rsidRPr="00B957A1">
              <w:rPr>
                <w:sz w:val="20"/>
              </w:rPr>
              <w:t>Strategic Objective</w:t>
            </w:r>
          </w:p>
        </w:tc>
        <w:tc>
          <w:tcPr>
            <w:tcW w:w="7863" w:type="dxa"/>
          </w:tcPr>
          <w:p w:rsidR="006F40FF" w:rsidRPr="00B957A1" w:rsidRDefault="006F40FF" w:rsidP="00CD5F71">
            <w:pPr>
              <w:rPr>
                <w:sz w:val="20"/>
              </w:rPr>
            </w:pPr>
            <w:r w:rsidRPr="00B957A1">
              <w:rPr>
                <w:sz w:val="20"/>
              </w:rPr>
              <w:t>Enhanced regional maritime security in the Gulf of Guinea through more capable maritime and law enforcement institutions at national, zonal, and regional level.</w:t>
            </w:r>
          </w:p>
        </w:tc>
      </w:tr>
      <w:tr w:rsidR="006F40FF" w:rsidRPr="00883403" w:rsidTr="00CD5F71">
        <w:tc>
          <w:tcPr>
            <w:tcW w:w="2122" w:type="dxa"/>
            <w:gridSpan w:val="2"/>
            <w:shd w:val="clear" w:color="auto" w:fill="C2D69B" w:themeFill="accent3" w:themeFillTint="99"/>
          </w:tcPr>
          <w:p w:rsidR="006F40FF" w:rsidRPr="00B957A1" w:rsidRDefault="006F40FF" w:rsidP="00CD5F71">
            <w:pPr>
              <w:rPr>
                <w:sz w:val="20"/>
              </w:rPr>
            </w:pPr>
            <w:r w:rsidRPr="00B957A1">
              <w:rPr>
                <w:sz w:val="20"/>
              </w:rPr>
              <w:t>Impact indicator</w:t>
            </w:r>
          </w:p>
        </w:tc>
        <w:tc>
          <w:tcPr>
            <w:tcW w:w="7863" w:type="dxa"/>
          </w:tcPr>
          <w:p w:rsidR="006F40FF" w:rsidRPr="00B957A1" w:rsidRDefault="006F40FF" w:rsidP="00CD5F71">
            <w:pPr>
              <w:rPr>
                <w:sz w:val="20"/>
              </w:rPr>
            </w:pPr>
            <w:r w:rsidRPr="00B957A1">
              <w:rPr>
                <w:sz w:val="20"/>
              </w:rPr>
              <w:t xml:space="preserve">Growth in use of multi-agency approaches to combat piracy and other types of maritime crimes in the Gulf of Guinea in relation to </w:t>
            </w:r>
          </w:p>
          <w:p w:rsidR="006F40FF" w:rsidRPr="00B957A1" w:rsidRDefault="006F40FF" w:rsidP="00CD5F71">
            <w:pPr>
              <w:rPr>
                <w:sz w:val="20"/>
              </w:rPr>
            </w:pPr>
            <w:r w:rsidRPr="00B957A1">
              <w:rPr>
                <w:sz w:val="20"/>
              </w:rPr>
              <w:t xml:space="preserve">(a) Progress in development of regional framework in accordance with the Yaoundé Code of Conduct with contributions from national structures, </w:t>
            </w:r>
          </w:p>
          <w:p w:rsidR="006F40FF" w:rsidRPr="00B957A1" w:rsidRDefault="006F40FF" w:rsidP="00CD5F71">
            <w:pPr>
              <w:rPr>
                <w:sz w:val="20"/>
              </w:rPr>
            </w:pPr>
            <w:r w:rsidRPr="00B957A1">
              <w:rPr>
                <w:sz w:val="20"/>
              </w:rPr>
              <w:t xml:space="preserve">(b) Status of legal process to enable handover of suspects (where relevant), prosecution, conviction, and detention, </w:t>
            </w:r>
          </w:p>
          <w:p w:rsidR="006F40FF" w:rsidRPr="00B957A1" w:rsidRDefault="006F40FF" w:rsidP="00CD5F71">
            <w:pPr>
              <w:rPr>
                <w:sz w:val="20"/>
              </w:rPr>
            </w:pPr>
            <w:r w:rsidRPr="00B957A1">
              <w:rPr>
                <w:sz w:val="20"/>
              </w:rPr>
              <w:t>(c) Increase in number of successful integrated Visit</w:t>
            </w:r>
            <w:r w:rsidR="00B03A91">
              <w:rPr>
                <w:sz w:val="20"/>
              </w:rPr>
              <w:t>-</w:t>
            </w:r>
            <w:r w:rsidRPr="00B957A1">
              <w:rPr>
                <w:sz w:val="20"/>
              </w:rPr>
              <w:t>Board</w:t>
            </w:r>
            <w:r w:rsidR="00B03A91">
              <w:rPr>
                <w:sz w:val="20"/>
              </w:rPr>
              <w:t>-</w:t>
            </w:r>
            <w:r w:rsidRPr="00B957A1">
              <w:rPr>
                <w:sz w:val="20"/>
              </w:rPr>
              <w:t>Search</w:t>
            </w:r>
            <w:r w:rsidR="00B03A91">
              <w:rPr>
                <w:sz w:val="20"/>
              </w:rPr>
              <w:t>-</w:t>
            </w:r>
            <w:r w:rsidRPr="00B957A1">
              <w:rPr>
                <w:sz w:val="20"/>
              </w:rPr>
              <w:t>and Seizure</w:t>
            </w:r>
            <w:r w:rsidR="00B03A91">
              <w:rPr>
                <w:sz w:val="20"/>
              </w:rPr>
              <w:t>s</w:t>
            </w:r>
            <w:r w:rsidRPr="00B957A1">
              <w:rPr>
                <w:sz w:val="20"/>
              </w:rPr>
              <w:t xml:space="preserve"> maritime interception missions.</w:t>
            </w:r>
          </w:p>
          <w:p w:rsidR="006F40FF" w:rsidRPr="00B957A1" w:rsidRDefault="006F40FF" w:rsidP="00CD5F71">
            <w:pPr>
              <w:rPr>
                <w:b/>
                <w:sz w:val="20"/>
                <w:vertAlign w:val="superscript"/>
              </w:rPr>
            </w:pPr>
          </w:p>
        </w:tc>
      </w:tr>
      <w:tr w:rsidR="006F40FF" w:rsidRPr="00883403" w:rsidTr="00CD5F71">
        <w:tc>
          <w:tcPr>
            <w:tcW w:w="1061" w:type="dxa"/>
            <w:shd w:val="clear" w:color="auto" w:fill="C2D69B" w:themeFill="accent3" w:themeFillTint="99"/>
          </w:tcPr>
          <w:p w:rsidR="006F40FF" w:rsidRPr="00B957A1" w:rsidRDefault="006F40FF" w:rsidP="00CD5F71">
            <w:pPr>
              <w:rPr>
                <w:sz w:val="20"/>
              </w:rPr>
            </w:pPr>
            <w:r w:rsidRPr="00B957A1">
              <w:rPr>
                <w:sz w:val="20"/>
              </w:rPr>
              <w:t>Baseline</w:t>
            </w:r>
          </w:p>
        </w:tc>
        <w:tc>
          <w:tcPr>
            <w:tcW w:w="1061" w:type="dxa"/>
            <w:shd w:val="clear" w:color="auto" w:fill="C2D69B" w:themeFill="accent3" w:themeFillTint="99"/>
          </w:tcPr>
          <w:p w:rsidR="006F40FF" w:rsidRPr="00B957A1" w:rsidRDefault="006F40FF" w:rsidP="00CD5F71">
            <w:pPr>
              <w:rPr>
                <w:sz w:val="20"/>
              </w:rPr>
            </w:pPr>
            <w:r w:rsidRPr="00B957A1">
              <w:rPr>
                <w:sz w:val="20"/>
              </w:rPr>
              <w:t>2021</w:t>
            </w:r>
          </w:p>
        </w:tc>
        <w:tc>
          <w:tcPr>
            <w:tcW w:w="7863" w:type="dxa"/>
          </w:tcPr>
          <w:p w:rsidR="006F40FF" w:rsidRPr="00B957A1" w:rsidRDefault="006F40FF" w:rsidP="006F40FF">
            <w:pPr>
              <w:pStyle w:val="ListParagraph"/>
              <w:numPr>
                <w:ilvl w:val="0"/>
                <w:numId w:val="45"/>
              </w:numPr>
              <w:tabs>
                <w:tab w:val="right" w:pos="9412"/>
              </w:tabs>
              <w:contextualSpacing/>
              <w:rPr>
                <w:sz w:val="20"/>
              </w:rPr>
            </w:pPr>
            <w:proofErr w:type="gramStart"/>
            <w:r w:rsidRPr="00B957A1">
              <w:rPr>
                <w:sz w:val="20"/>
              </w:rPr>
              <w:t>1</w:t>
            </w:r>
            <w:proofErr w:type="gramEnd"/>
            <w:r w:rsidRPr="00B957A1">
              <w:rPr>
                <w:sz w:val="20"/>
              </w:rPr>
              <w:t xml:space="preserve"> MMCC fully operational (Camero</w:t>
            </w:r>
            <w:r w:rsidR="00B03A91">
              <w:rPr>
                <w:sz w:val="20"/>
              </w:rPr>
              <w:t>o</w:t>
            </w:r>
            <w:r w:rsidRPr="00B957A1">
              <w:rPr>
                <w:sz w:val="20"/>
              </w:rPr>
              <w:t>n Zone D), 2 MMCC partially operational (Benin Zone E, Ghana Zone F), 2 MMCC being established in Zones A and G.</w:t>
            </w:r>
          </w:p>
          <w:p w:rsidR="006F40FF" w:rsidRPr="00B957A1" w:rsidRDefault="006F40FF" w:rsidP="006F40FF">
            <w:pPr>
              <w:pStyle w:val="ListParagraph"/>
              <w:numPr>
                <w:ilvl w:val="0"/>
                <w:numId w:val="45"/>
              </w:numPr>
              <w:tabs>
                <w:tab w:val="right" w:pos="9412"/>
              </w:tabs>
              <w:contextualSpacing/>
              <w:rPr>
                <w:sz w:val="20"/>
              </w:rPr>
            </w:pPr>
            <w:r w:rsidRPr="00B957A1">
              <w:rPr>
                <w:sz w:val="20"/>
              </w:rPr>
              <w:t>No handover agreements</w:t>
            </w:r>
            <w:r w:rsidR="006E4C73">
              <w:rPr>
                <w:sz w:val="20"/>
              </w:rPr>
              <w:t xml:space="preserve"> in place</w:t>
            </w:r>
            <w:r w:rsidRPr="00B957A1">
              <w:rPr>
                <w:sz w:val="20"/>
              </w:rPr>
              <w:t>.</w:t>
            </w:r>
          </w:p>
          <w:p w:rsidR="006F40FF" w:rsidRPr="00B957A1" w:rsidRDefault="006F40FF" w:rsidP="006F40FF">
            <w:pPr>
              <w:pStyle w:val="ListParagraph"/>
              <w:numPr>
                <w:ilvl w:val="0"/>
                <w:numId w:val="45"/>
              </w:numPr>
              <w:tabs>
                <w:tab w:val="right" w:pos="9412"/>
              </w:tabs>
              <w:contextualSpacing/>
              <w:rPr>
                <w:sz w:val="20"/>
              </w:rPr>
            </w:pPr>
            <w:r w:rsidRPr="00B957A1">
              <w:rPr>
                <w:sz w:val="20"/>
              </w:rPr>
              <w:t>Four (4) piracy-related cases admitted in case prosecutions (3 in Togo</w:t>
            </w:r>
            <w:r w:rsidR="0076616A">
              <w:rPr>
                <w:sz w:val="20"/>
              </w:rPr>
              <w:t xml:space="preserve"> and</w:t>
            </w:r>
            <w:r w:rsidRPr="00B957A1">
              <w:rPr>
                <w:sz w:val="20"/>
              </w:rPr>
              <w:t xml:space="preserve"> 1 in Benin between 2015 </w:t>
            </w:r>
            <w:r w:rsidR="0076616A">
              <w:rPr>
                <w:sz w:val="20"/>
              </w:rPr>
              <w:t>and</w:t>
            </w:r>
            <w:r w:rsidRPr="00B957A1">
              <w:rPr>
                <w:sz w:val="20"/>
              </w:rPr>
              <w:t xml:space="preserve"> 2020)</w:t>
            </w:r>
            <w:r w:rsidR="006E4C73">
              <w:rPr>
                <w:sz w:val="20"/>
              </w:rPr>
              <w:t>.</w:t>
            </w:r>
            <w:r w:rsidRPr="00B957A1">
              <w:rPr>
                <w:sz w:val="20"/>
              </w:rPr>
              <w:t xml:space="preserve"> (PSED 2 Outcome 1 baseline).</w:t>
            </w:r>
          </w:p>
          <w:p w:rsidR="006F40FF" w:rsidRPr="00B957A1" w:rsidRDefault="006F40FF" w:rsidP="006F40FF">
            <w:pPr>
              <w:pStyle w:val="ListParagraph"/>
              <w:numPr>
                <w:ilvl w:val="0"/>
                <w:numId w:val="45"/>
              </w:numPr>
              <w:tabs>
                <w:tab w:val="right" w:pos="9412"/>
              </w:tabs>
              <w:contextualSpacing/>
              <w:rPr>
                <w:sz w:val="20"/>
              </w:rPr>
            </w:pPr>
            <w:proofErr w:type="gramStart"/>
            <w:r w:rsidRPr="00B957A1">
              <w:rPr>
                <w:sz w:val="20"/>
              </w:rPr>
              <w:t>19</w:t>
            </w:r>
            <w:proofErr w:type="gramEnd"/>
            <w:r w:rsidRPr="00B957A1">
              <w:rPr>
                <w:sz w:val="20"/>
              </w:rPr>
              <w:t xml:space="preserve"> convictions for piracy following successful handover, of which 10 in Nigeria and </w:t>
            </w:r>
            <w:r w:rsidR="006E4C73">
              <w:rPr>
                <w:sz w:val="20"/>
              </w:rPr>
              <w:t>nine (</w:t>
            </w:r>
            <w:r w:rsidRPr="00B957A1">
              <w:rPr>
                <w:sz w:val="20"/>
              </w:rPr>
              <w:t>9</w:t>
            </w:r>
            <w:r w:rsidR="006E4C73">
              <w:rPr>
                <w:sz w:val="20"/>
              </w:rPr>
              <w:t>)</w:t>
            </w:r>
            <w:r w:rsidRPr="00B957A1">
              <w:rPr>
                <w:sz w:val="20"/>
              </w:rPr>
              <w:t xml:space="preserve"> in Togo (PSED 1 Outcome 2).</w:t>
            </w:r>
          </w:p>
          <w:p w:rsidR="006F40FF" w:rsidRPr="00B957A1" w:rsidRDefault="006F40FF" w:rsidP="006F40FF">
            <w:pPr>
              <w:pStyle w:val="ListParagraph"/>
              <w:numPr>
                <w:ilvl w:val="0"/>
                <w:numId w:val="45"/>
              </w:numPr>
              <w:tabs>
                <w:tab w:val="right" w:pos="9412"/>
              </w:tabs>
              <w:contextualSpacing/>
              <w:rPr>
                <w:sz w:val="20"/>
              </w:rPr>
            </w:pPr>
            <w:r w:rsidRPr="00B957A1">
              <w:rPr>
                <w:sz w:val="20"/>
              </w:rPr>
              <w:t>WPS indicator PSED 3.</w:t>
            </w:r>
          </w:p>
        </w:tc>
      </w:tr>
      <w:tr w:rsidR="006F40FF" w:rsidRPr="00883403" w:rsidTr="00CD5F71">
        <w:tc>
          <w:tcPr>
            <w:tcW w:w="1061" w:type="dxa"/>
            <w:shd w:val="clear" w:color="auto" w:fill="C2D69B" w:themeFill="accent3" w:themeFillTint="99"/>
          </w:tcPr>
          <w:p w:rsidR="006F40FF" w:rsidRPr="00B957A1" w:rsidRDefault="006F40FF" w:rsidP="00CD5F71">
            <w:pPr>
              <w:rPr>
                <w:sz w:val="20"/>
              </w:rPr>
            </w:pPr>
            <w:r w:rsidRPr="00B957A1">
              <w:rPr>
                <w:sz w:val="20"/>
              </w:rPr>
              <w:t>Target</w:t>
            </w:r>
          </w:p>
        </w:tc>
        <w:tc>
          <w:tcPr>
            <w:tcW w:w="1061" w:type="dxa"/>
            <w:shd w:val="clear" w:color="auto" w:fill="C2D69B" w:themeFill="accent3" w:themeFillTint="99"/>
          </w:tcPr>
          <w:p w:rsidR="006F40FF" w:rsidRPr="00B957A1" w:rsidRDefault="006F40FF" w:rsidP="00CD5F71">
            <w:pPr>
              <w:rPr>
                <w:sz w:val="20"/>
              </w:rPr>
            </w:pPr>
            <w:r w:rsidRPr="00B957A1">
              <w:rPr>
                <w:sz w:val="20"/>
              </w:rPr>
              <w:t>2026</w:t>
            </w:r>
          </w:p>
        </w:tc>
        <w:tc>
          <w:tcPr>
            <w:tcW w:w="7863" w:type="dxa"/>
          </w:tcPr>
          <w:p w:rsidR="006F40FF" w:rsidRPr="00B957A1" w:rsidRDefault="006F40FF" w:rsidP="006F40FF">
            <w:pPr>
              <w:pStyle w:val="ListParagraph"/>
              <w:numPr>
                <w:ilvl w:val="0"/>
                <w:numId w:val="46"/>
              </w:numPr>
              <w:tabs>
                <w:tab w:val="right" w:pos="9412"/>
              </w:tabs>
              <w:contextualSpacing/>
              <w:rPr>
                <w:sz w:val="20"/>
              </w:rPr>
            </w:pPr>
            <w:r w:rsidRPr="00B957A1">
              <w:rPr>
                <w:i/>
                <w:sz w:val="20"/>
              </w:rPr>
              <w:t xml:space="preserve">There is no direct activity towards operationalising MMCC, so it is an elliptical effect and measure of political will in the region/country. </w:t>
            </w:r>
            <w:r w:rsidRPr="00B957A1">
              <w:rPr>
                <w:i/>
                <w:iCs/>
                <w:sz w:val="20"/>
              </w:rPr>
              <w:t>MA Abuja and Accra routinely follow these developments</w:t>
            </w:r>
          </w:p>
          <w:p w:rsidR="006F40FF" w:rsidRPr="00B957A1" w:rsidRDefault="006F40FF" w:rsidP="006F40FF">
            <w:pPr>
              <w:pStyle w:val="ListParagraph"/>
              <w:numPr>
                <w:ilvl w:val="0"/>
                <w:numId w:val="46"/>
              </w:numPr>
              <w:tabs>
                <w:tab w:val="right" w:pos="9412"/>
              </w:tabs>
              <w:contextualSpacing/>
              <w:rPr>
                <w:sz w:val="20"/>
              </w:rPr>
            </w:pPr>
            <w:r w:rsidRPr="00B957A1">
              <w:rPr>
                <w:sz w:val="20"/>
              </w:rPr>
              <w:t xml:space="preserve">At least </w:t>
            </w:r>
            <w:proofErr w:type="gramStart"/>
            <w:r w:rsidRPr="00B957A1">
              <w:rPr>
                <w:sz w:val="20"/>
              </w:rPr>
              <w:t>5</w:t>
            </w:r>
            <w:proofErr w:type="gramEnd"/>
            <w:r w:rsidRPr="00B957A1">
              <w:rPr>
                <w:sz w:val="20"/>
              </w:rPr>
              <w:t xml:space="preserve"> </w:t>
            </w:r>
            <w:r w:rsidR="006E4C73">
              <w:rPr>
                <w:sz w:val="20"/>
              </w:rPr>
              <w:t>H</w:t>
            </w:r>
            <w:r w:rsidRPr="00B957A1">
              <w:rPr>
                <w:sz w:val="20"/>
              </w:rPr>
              <w:t>andover agreements (PSED 1</w:t>
            </w:r>
            <w:r w:rsidR="009D4165">
              <w:rPr>
                <w:sz w:val="20"/>
              </w:rPr>
              <w:t xml:space="preserve"> </w:t>
            </w:r>
            <w:r w:rsidRPr="00B957A1">
              <w:rPr>
                <w:sz w:val="20"/>
              </w:rPr>
              <w:t>- UNODC Output 3.1).</w:t>
            </w:r>
          </w:p>
          <w:p w:rsidR="006F40FF" w:rsidRPr="00B957A1" w:rsidRDefault="006F40FF" w:rsidP="006F40FF">
            <w:pPr>
              <w:pStyle w:val="ListParagraph"/>
              <w:numPr>
                <w:ilvl w:val="0"/>
                <w:numId w:val="46"/>
              </w:numPr>
              <w:tabs>
                <w:tab w:val="right" w:pos="9412"/>
              </w:tabs>
              <w:contextualSpacing/>
              <w:rPr>
                <w:sz w:val="20"/>
              </w:rPr>
            </w:pPr>
            <w:r w:rsidRPr="00B957A1">
              <w:rPr>
                <w:sz w:val="20"/>
              </w:rPr>
              <w:t xml:space="preserve">VBSS missions can </w:t>
            </w:r>
            <w:r w:rsidR="009D4165">
              <w:rPr>
                <w:sz w:val="20"/>
              </w:rPr>
              <w:t xml:space="preserve">be </w:t>
            </w:r>
            <w:r w:rsidRPr="00B957A1">
              <w:rPr>
                <w:sz w:val="20"/>
              </w:rPr>
              <w:t>measured numerically but engagement partners (PSE 1,</w:t>
            </w:r>
            <w:r w:rsidR="009D4165">
              <w:rPr>
                <w:sz w:val="20"/>
              </w:rPr>
              <w:t xml:space="preserve"> </w:t>
            </w:r>
            <w:r w:rsidRPr="00B957A1">
              <w:rPr>
                <w:sz w:val="20"/>
              </w:rPr>
              <w:t>2,</w:t>
            </w:r>
            <w:r w:rsidR="009D4165">
              <w:rPr>
                <w:sz w:val="20"/>
              </w:rPr>
              <w:t xml:space="preserve"> and 3</w:t>
            </w:r>
            <w:r w:rsidRPr="00B957A1">
              <w:rPr>
                <w:sz w:val="20"/>
              </w:rPr>
              <w:t>) and DCD (PSE 4) need to agree on definition of ‘successes</w:t>
            </w:r>
            <w:r w:rsidR="009D4165">
              <w:rPr>
                <w:sz w:val="20"/>
              </w:rPr>
              <w:t>’</w:t>
            </w:r>
            <w:r w:rsidRPr="00B957A1">
              <w:rPr>
                <w:sz w:val="20"/>
              </w:rPr>
              <w:t xml:space="preserve"> (i.e., getting on board as planned in the MIO + securing evidence</w:t>
            </w:r>
            <w:r w:rsidR="009D4165">
              <w:rPr>
                <w:sz w:val="20"/>
              </w:rPr>
              <w:t xml:space="preserve"> </w:t>
            </w:r>
            <w:r w:rsidRPr="00B957A1">
              <w:rPr>
                <w:sz w:val="20"/>
              </w:rPr>
              <w:t xml:space="preserve">= success). Use PSED 2 Outcome 1 indicator. </w:t>
            </w:r>
          </w:p>
          <w:p w:rsidR="006F40FF" w:rsidRPr="00B957A1" w:rsidRDefault="006E4C73" w:rsidP="006F40FF">
            <w:pPr>
              <w:pStyle w:val="ListParagraph"/>
              <w:numPr>
                <w:ilvl w:val="0"/>
                <w:numId w:val="46"/>
              </w:numPr>
              <w:tabs>
                <w:tab w:val="right" w:pos="9412"/>
              </w:tabs>
              <w:contextualSpacing/>
              <w:rPr>
                <w:sz w:val="20"/>
              </w:rPr>
            </w:pPr>
            <w:r>
              <w:rPr>
                <w:sz w:val="20"/>
              </w:rPr>
              <w:t xml:space="preserve">Navies capable of handing over suspects for piracy and maritime crimes to the justice </w:t>
            </w:r>
            <w:proofErr w:type="gramStart"/>
            <w:r>
              <w:rPr>
                <w:sz w:val="20"/>
              </w:rPr>
              <w:t xml:space="preserve">system </w:t>
            </w:r>
            <w:r w:rsidR="006F40FF" w:rsidRPr="00B957A1">
              <w:rPr>
                <w:sz w:val="20"/>
              </w:rPr>
              <w:t xml:space="preserve"> (</w:t>
            </w:r>
            <w:proofErr w:type="gramEnd"/>
            <w:r w:rsidR="006F40FF" w:rsidRPr="00B957A1">
              <w:rPr>
                <w:sz w:val="20"/>
              </w:rPr>
              <w:t>PSED 1 Outcome 2).</w:t>
            </w:r>
          </w:p>
          <w:p w:rsidR="006F40FF" w:rsidRPr="00B957A1" w:rsidRDefault="006F40FF" w:rsidP="006F40FF">
            <w:pPr>
              <w:pStyle w:val="ListParagraph"/>
              <w:numPr>
                <w:ilvl w:val="0"/>
                <w:numId w:val="46"/>
              </w:numPr>
              <w:tabs>
                <w:tab w:val="right" w:pos="9412"/>
              </w:tabs>
              <w:contextualSpacing/>
              <w:rPr>
                <w:sz w:val="20"/>
              </w:rPr>
            </w:pPr>
            <w:r w:rsidRPr="00B957A1">
              <w:rPr>
                <w:sz w:val="20"/>
              </w:rPr>
              <w:t>WPS indicator PSED 3.</w:t>
            </w:r>
          </w:p>
        </w:tc>
      </w:tr>
    </w:tbl>
    <w:p w:rsidR="006F40FF" w:rsidRDefault="006F40FF" w:rsidP="006F40FF"/>
    <w:p w:rsidR="00E72B0D" w:rsidRDefault="00E72B0D" w:rsidP="006F40FF"/>
    <w:p w:rsidR="00E72B0D" w:rsidRDefault="00E72B0D" w:rsidP="006F40FF"/>
    <w:p w:rsidR="00E72B0D" w:rsidRDefault="00E72B0D" w:rsidP="006F40FF"/>
    <w:p w:rsidR="006F40FF" w:rsidRPr="006F40FF" w:rsidRDefault="006F40FF" w:rsidP="006F40FF"/>
    <w:tbl>
      <w:tblPr>
        <w:tblStyle w:val="TableGrid"/>
        <w:tblpPr w:leftFromText="181" w:rightFromText="181" w:vertAnchor="text" w:tblpY="1"/>
        <w:tblOverlap w:val="never"/>
        <w:tblW w:w="9634" w:type="dxa"/>
        <w:tblLook w:val="04A0" w:firstRow="1" w:lastRow="0" w:firstColumn="1" w:lastColumn="0" w:noHBand="0" w:noVBand="1"/>
      </w:tblPr>
      <w:tblGrid>
        <w:gridCol w:w="1542"/>
        <w:gridCol w:w="8092"/>
      </w:tblGrid>
      <w:tr w:rsidR="00D50938" w:rsidRPr="00883403" w:rsidTr="00CD5F71">
        <w:tc>
          <w:tcPr>
            <w:tcW w:w="1335" w:type="dxa"/>
            <w:shd w:val="clear" w:color="auto" w:fill="auto"/>
          </w:tcPr>
          <w:p w:rsidR="00D50938" w:rsidRPr="004630C0" w:rsidRDefault="00D50938" w:rsidP="00CD5F71">
            <w:pPr>
              <w:rPr>
                <w:rFonts w:eastAsia="Calibri" w:cs="Calibri"/>
                <w:b/>
                <w:bCs/>
              </w:rPr>
            </w:pPr>
            <w:r w:rsidRPr="004630C0">
              <w:rPr>
                <w:rFonts w:eastAsia="Calibri" w:cs="Calibri"/>
                <w:b/>
                <w:bCs/>
                <w:sz w:val="24"/>
                <w:szCs w:val="24"/>
              </w:rPr>
              <w:t>Outcome level</w:t>
            </w:r>
          </w:p>
        </w:tc>
        <w:tc>
          <w:tcPr>
            <w:tcW w:w="8299" w:type="dxa"/>
            <w:shd w:val="clear" w:color="auto" w:fill="auto"/>
          </w:tcPr>
          <w:p w:rsidR="00D50938" w:rsidRPr="004630C0" w:rsidRDefault="00D50938" w:rsidP="00CD5F71">
            <w:pPr>
              <w:rPr>
                <w:rFonts w:eastAsia="Calibri" w:cs="Calibri"/>
              </w:rPr>
            </w:pPr>
            <w:r w:rsidRPr="004630C0">
              <w:rPr>
                <w:rFonts w:eastAsia="Calibri" w:cs="Calibri"/>
                <w:i/>
                <w:iCs/>
                <w:sz w:val="24"/>
                <w:szCs w:val="24"/>
              </w:rPr>
              <w:t xml:space="preserve">If </w:t>
            </w:r>
            <w:r w:rsidRPr="004630C0">
              <w:rPr>
                <w:rFonts w:eastAsia="Calibri" w:cs="Calibri"/>
                <w:sz w:val="24"/>
                <w:szCs w:val="24"/>
              </w:rPr>
              <w:t xml:space="preserve">Denmark provides financial support to legal and strategic capacity building that enhances the effectiveness of efforts </w:t>
            </w:r>
            <w:r w:rsidR="006E4C73" w:rsidRPr="006E4C73">
              <w:rPr>
                <w:rFonts w:eastAsia="Calibri" w:cs="Calibri"/>
                <w:sz w:val="24"/>
                <w:szCs w:val="24"/>
              </w:rPr>
              <w:t>of</w:t>
            </w:r>
            <w:r w:rsidRPr="004630C0">
              <w:rPr>
                <w:rFonts w:eastAsia="Calibri" w:cs="Calibri"/>
                <w:sz w:val="24"/>
                <w:szCs w:val="24"/>
              </w:rPr>
              <w:t xml:space="preserve"> Benin, Cameroon, Cote d’Ivoire, Ghana, Nigeria, and Togo</w:t>
            </w:r>
            <w:r w:rsidRPr="004630C0" w:rsidDel="00B330B6">
              <w:rPr>
                <w:rFonts w:eastAsia="Calibri" w:cs="Calibri"/>
                <w:sz w:val="24"/>
                <w:szCs w:val="24"/>
              </w:rPr>
              <w:t xml:space="preserve"> </w:t>
            </w:r>
            <w:r w:rsidRPr="004630C0">
              <w:rPr>
                <w:rFonts w:eastAsia="Calibri" w:cs="Calibri"/>
                <w:sz w:val="24"/>
                <w:szCs w:val="24"/>
              </w:rPr>
              <w:t xml:space="preserve">to improve their maritime governance arrangements </w:t>
            </w:r>
            <w:r w:rsidRPr="004630C0">
              <w:rPr>
                <w:sz w:val="24"/>
                <w:szCs w:val="24"/>
              </w:rPr>
              <w:t xml:space="preserve"> </w:t>
            </w:r>
          </w:p>
        </w:tc>
      </w:tr>
      <w:tr w:rsidR="00D50938" w:rsidRPr="00883403" w:rsidTr="00CD5F71">
        <w:tc>
          <w:tcPr>
            <w:tcW w:w="9634" w:type="dxa"/>
            <w:gridSpan w:val="2"/>
            <w:shd w:val="clear" w:color="auto" w:fill="auto"/>
          </w:tcPr>
          <w:p w:rsidR="00D50938" w:rsidRPr="004630C0" w:rsidRDefault="00543D4A" w:rsidP="00CD5F71">
            <w:pPr>
              <w:jc w:val="center"/>
              <w:rPr>
                <w:rFonts w:eastAsia="Calibri" w:cs="Calibri"/>
                <w:bCs/>
                <w:i/>
                <w:iCs/>
              </w:rPr>
            </w:pPr>
            <w:r w:rsidRPr="004630C0">
              <w:rPr>
                <w:rFonts w:eastAsia="Calibri" w:cs="Calibri"/>
                <w:bCs/>
                <w:i/>
                <w:iCs/>
                <w:sz w:val="24"/>
                <w:szCs w:val="24"/>
              </w:rPr>
              <w:t>a</w:t>
            </w:r>
            <w:r w:rsidR="00D50938" w:rsidRPr="004630C0">
              <w:rPr>
                <w:rFonts w:eastAsia="Calibri" w:cs="Calibri"/>
                <w:bCs/>
                <w:i/>
                <w:iCs/>
                <w:sz w:val="24"/>
                <w:szCs w:val="24"/>
              </w:rPr>
              <w:t>nd</w:t>
            </w:r>
          </w:p>
        </w:tc>
      </w:tr>
      <w:tr w:rsidR="00D50938" w:rsidRPr="00883403" w:rsidTr="00CD5F71">
        <w:tc>
          <w:tcPr>
            <w:tcW w:w="1335" w:type="dxa"/>
            <w:shd w:val="clear" w:color="auto" w:fill="auto"/>
          </w:tcPr>
          <w:p w:rsidR="00D50938" w:rsidRPr="004630C0" w:rsidRDefault="00D50938" w:rsidP="00CD5F71">
            <w:pPr>
              <w:rPr>
                <w:rFonts w:eastAsia="Calibri" w:cs="Calibri"/>
                <w:b/>
                <w:bCs/>
              </w:rPr>
            </w:pPr>
          </w:p>
        </w:tc>
        <w:tc>
          <w:tcPr>
            <w:tcW w:w="8299" w:type="dxa"/>
            <w:shd w:val="clear" w:color="auto" w:fill="auto"/>
          </w:tcPr>
          <w:p w:rsidR="00D50938" w:rsidRPr="004630C0" w:rsidRDefault="00543D4A" w:rsidP="00CD5F71">
            <w:pPr>
              <w:rPr>
                <w:rFonts w:eastAsia="Calibri" w:cs="Calibri"/>
              </w:rPr>
            </w:pPr>
            <w:r w:rsidRPr="004630C0">
              <w:rPr>
                <w:rFonts w:eastAsia="Calibri" w:cs="Calibri"/>
                <w:i/>
                <w:iCs/>
                <w:sz w:val="24"/>
                <w:szCs w:val="24"/>
              </w:rPr>
              <w:t>i</w:t>
            </w:r>
            <w:r w:rsidR="00D50938" w:rsidRPr="004630C0">
              <w:rPr>
                <w:rFonts w:eastAsia="Calibri" w:cs="Calibri"/>
                <w:i/>
                <w:iCs/>
                <w:sz w:val="24"/>
                <w:szCs w:val="24"/>
              </w:rPr>
              <w:t>f</w:t>
            </w:r>
            <w:r w:rsidR="00EA1A0C" w:rsidRPr="004630C0">
              <w:rPr>
                <w:rFonts w:eastAsia="Calibri" w:cs="Calibri"/>
                <w:i/>
                <w:iCs/>
                <w:sz w:val="24"/>
                <w:szCs w:val="24"/>
              </w:rPr>
              <w:t xml:space="preserve"> </w:t>
            </w:r>
            <w:r w:rsidR="00D50938" w:rsidRPr="004630C0">
              <w:rPr>
                <w:rFonts w:eastAsia="Calibri" w:cs="Calibri"/>
                <w:sz w:val="24"/>
                <w:szCs w:val="24"/>
              </w:rPr>
              <w:t xml:space="preserve"> Denmark supports building enhanced planning and response capacity that allows interregional, regional organizations</w:t>
            </w:r>
            <w:r w:rsidR="00EA1A0C" w:rsidRPr="004630C0">
              <w:rPr>
                <w:rFonts w:eastAsia="Calibri" w:cs="Calibri"/>
                <w:sz w:val="24"/>
                <w:szCs w:val="24"/>
              </w:rPr>
              <w:t>,</w:t>
            </w:r>
            <w:r w:rsidR="00D50938" w:rsidRPr="004630C0">
              <w:rPr>
                <w:rFonts w:eastAsia="Calibri" w:cs="Calibri"/>
                <w:sz w:val="24"/>
                <w:szCs w:val="24"/>
              </w:rPr>
              <w:t xml:space="preserve"> and coastal states in the Gulf of Guinea to achieve timely and accurate decision-making that enables actions to neutralize threats in the maritime domain</w:t>
            </w:r>
          </w:p>
        </w:tc>
      </w:tr>
      <w:tr w:rsidR="00D50938" w:rsidRPr="00883403" w:rsidTr="00CD5F71">
        <w:tc>
          <w:tcPr>
            <w:tcW w:w="9634" w:type="dxa"/>
            <w:gridSpan w:val="2"/>
            <w:shd w:val="clear" w:color="auto" w:fill="auto"/>
          </w:tcPr>
          <w:p w:rsidR="00D50938" w:rsidRPr="004630C0" w:rsidRDefault="00543D4A" w:rsidP="00CD5F71">
            <w:pPr>
              <w:jc w:val="center"/>
              <w:rPr>
                <w:rFonts w:eastAsia="Calibri" w:cs="Calibri"/>
                <w:bCs/>
                <w:i/>
                <w:iCs/>
              </w:rPr>
            </w:pPr>
            <w:r w:rsidRPr="004630C0">
              <w:rPr>
                <w:rFonts w:eastAsia="Calibri" w:cs="Calibri"/>
                <w:bCs/>
                <w:i/>
                <w:iCs/>
                <w:sz w:val="24"/>
                <w:szCs w:val="24"/>
              </w:rPr>
              <w:t>a</w:t>
            </w:r>
            <w:r w:rsidR="00D50938" w:rsidRPr="004630C0">
              <w:rPr>
                <w:rFonts w:eastAsia="Calibri" w:cs="Calibri"/>
                <w:bCs/>
                <w:i/>
                <w:iCs/>
                <w:sz w:val="24"/>
                <w:szCs w:val="24"/>
              </w:rPr>
              <w:t>nd</w:t>
            </w:r>
          </w:p>
        </w:tc>
      </w:tr>
      <w:tr w:rsidR="00D50938" w:rsidRPr="00883403" w:rsidTr="00CD5F71">
        <w:trPr>
          <w:trHeight w:val="1170"/>
        </w:trPr>
        <w:tc>
          <w:tcPr>
            <w:tcW w:w="1335" w:type="dxa"/>
            <w:shd w:val="clear" w:color="auto" w:fill="auto"/>
          </w:tcPr>
          <w:p w:rsidR="00D50938" w:rsidRPr="004630C0" w:rsidRDefault="00D50938" w:rsidP="00CD5F71">
            <w:pPr>
              <w:rPr>
                <w:rFonts w:eastAsia="Calibri" w:cs="Calibri"/>
                <w:b/>
                <w:bCs/>
              </w:rPr>
            </w:pPr>
          </w:p>
        </w:tc>
        <w:tc>
          <w:tcPr>
            <w:tcW w:w="8299" w:type="dxa"/>
            <w:shd w:val="clear" w:color="auto" w:fill="auto"/>
          </w:tcPr>
          <w:p w:rsidR="00D50938" w:rsidRPr="004630C0" w:rsidRDefault="00543D4A" w:rsidP="00CD5F71">
            <w:pPr>
              <w:rPr>
                <w:rFonts w:eastAsia="Calibri" w:cs="Calibri"/>
              </w:rPr>
            </w:pPr>
            <w:r w:rsidRPr="004630C0">
              <w:rPr>
                <w:rFonts w:eastAsia="Calibri" w:cs="Calibri"/>
                <w:i/>
                <w:iCs/>
                <w:sz w:val="24"/>
                <w:szCs w:val="24"/>
              </w:rPr>
              <w:t>if</w:t>
            </w:r>
            <w:r w:rsidR="00D50938" w:rsidRPr="004630C0">
              <w:rPr>
                <w:rFonts w:eastAsia="Calibri" w:cs="Calibri"/>
                <w:i/>
                <w:iCs/>
                <w:sz w:val="24"/>
                <w:szCs w:val="24"/>
              </w:rPr>
              <w:t xml:space="preserve"> </w:t>
            </w:r>
            <w:r w:rsidR="00D50938" w:rsidRPr="004630C0">
              <w:rPr>
                <w:rFonts w:eastAsia="Calibri" w:cs="Calibri"/>
                <w:sz w:val="24"/>
                <w:szCs w:val="24"/>
              </w:rPr>
              <w:t>Denmark provides financial and technical expert support to (i) enhance regional dialogue on maritime security, (ii) improve maritime operational response capacities, (iii) strengthens the legal capacity to investigate and prosecute alleged criminal actors, and (iv) detain convicts of maritime crime</w:t>
            </w:r>
          </w:p>
        </w:tc>
      </w:tr>
      <w:tr w:rsidR="00D50938" w:rsidRPr="00883403" w:rsidTr="00CD5F71">
        <w:tc>
          <w:tcPr>
            <w:tcW w:w="9634" w:type="dxa"/>
            <w:gridSpan w:val="2"/>
            <w:shd w:val="clear" w:color="auto" w:fill="auto"/>
          </w:tcPr>
          <w:p w:rsidR="00D50938" w:rsidRPr="004630C0" w:rsidRDefault="00543D4A" w:rsidP="00CD5F71">
            <w:pPr>
              <w:jc w:val="center"/>
              <w:rPr>
                <w:rFonts w:eastAsia="Calibri" w:cs="Calibri"/>
                <w:bCs/>
                <w:i/>
                <w:iCs/>
              </w:rPr>
            </w:pPr>
            <w:r w:rsidRPr="004630C0">
              <w:rPr>
                <w:rFonts w:eastAsia="Calibri" w:cs="Calibri"/>
                <w:bCs/>
                <w:i/>
                <w:iCs/>
                <w:sz w:val="24"/>
                <w:szCs w:val="24"/>
              </w:rPr>
              <w:t>a</w:t>
            </w:r>
            <w:r w:rsidR="00D50938" w:rsidRPr="004630C0">
              <w:rPr>
                <w:rFonts w:eastAsia="Calibri" w:cs="Calibri"/>
                <w:bCs/>
                <w:i/>
                <w:iCs/>
                <w:sz w:val="24"/>
                <w:szCs w:val="24"/>
              </w:rPr>
              <w:t>nd</w:t>
            </w:r>
          </w:p>
        </w:tc>
      </w:tr>
      <w:tr w:rsidR="00D50938" w:rsidRPr="00883403" w:rsidTr="00CD5F71">
        <w:tc>
          <w:tcPr>
            <w:tcW w:w="1335" w:type="dxa"/>
            <w:shd w:val="clear" w:color="auto" w:fill="auto"/>
          </w:tcPr>
          <w:p w:rsidR="00D50938" w:rsidRPr="004630C0" w:rsidRDefault="00D50938" w:rsidP="00CD5F71">
            <w:pPr>
              <w:rPr>
                <w:rFonts w:eastAsia="Calibri" w:cs="Calibri"/>
                <w:b/>
                <w:bCs/>
              </w:rPr>
            </w:pPr>
          </w:p>
        </w:tc>
        <w:tc>
          <w:tcPr>
            <w:tcW w:w="8299" w:type="dxa"/>
            <w:shd w:val="clear" w:color="auto" w:fill="auto"/>
          </w:tcPr>
          <w:p w:rsidR="00D50938" w:rsidRPr="004630C0" w:rsidRDefault="00543D4A" w:rsidP="00CD5F71">
            <w:pPr>
              <w:rPr>
                <w:rFonts w:eastAsia="Calibri" w:cs="Calibri"/>
              </w:rPr>
            </w:pPr>
            <w:r w:rsidRPr="004630C0">
              <w:rPr>
                <w:rFonts w:eastAsia="Calibri" w:cs="Calibri"/>
                <w:i/>
                <w:iCs/>
                <w:sz w:val="24"/>
                <w:szCs w:val="24"/>
              </w:rPr>
              <w:t>i</w:t>
            </w:r>
            <w:r w:rsidR="00D50938" w:rsidRPr="004630C0">
              <w:rPr>
                <w:rFonts w:eastAsia="Calibri" w:cs="Calibri"/>
                <w:i/>
                <w:iCs/>
                <w:sz w:val="24"/>
                <w:szCs w:val="24"/>
              </w:rPr>
              <w:t xml:space="preserve">f </w:t>
            </w:r>
            <w:r w:rsidR="00D50938" w:rsidRPr="004630C0">
              <w:rPr>
                <w:rFonts w:eastAsia="Calibri" w:cs="Calibri"/>
                <w:iCs/>
                <w:sz w:val="24"/>
                <w:szCs w:val="24"/>
              </w:rPr>
              <w:t>Denmark</w:t>
            </w:r>
            <w:r w:rsidR="00D50938" w:rsidRPr="004630C0">
              <w:rPr>
                <w:rFonts w:eastAsia="Calibri" w:cs="Calibri"/>
                <w:sz w:val="24"/>
                <w:szCs w:val="24"/>
              </w:rPr>
              <w:t xml:space="preserve"> aligns its maritime security efforts with other international donors and regional and sub-regional strategies</w:t>
            </w:r>
          </w:p>
        </w:tc>
      </w:tr>
      <w:tr w:rsidR="00D50938" w:rsidRPr="00883403" w:rsidTr="00CD5F71">
        <w:tc>
          <w:tcPr>
            <w:tcW w:w="9634" w:type="dxa"/>
            <w:gridSpan w:val="2"/>
            <w:shd w:val="clear" w:color="auto" w:fill="auto"/>
          </w:tcPr>
          <w:p w:rsidR="00D50938" w:rsidRPr="004630C0" w:rsidRDefault="00543D4A" w:rsidP="00CD5F71">
            <w:pPr>
              <w:jc w:val="center"/>
              <w:rPr>
                <w:rFonts w:eastAsia="Calibri" w:cs="Calibri"/>
                <w:bCs/>
                <w:i/>
                <w:iCs/>
              </w:rPr>
            </w:pPr>
            <w:r w:rsidRPr="004630C0">
              <w:rPr>
                <w:rFonts w:eastAsia="Calibri" w:cs="Calibri"/>
                <w:bCs/>
                <w:i/>
                <w:iCs/>
                <w:sz w:val="24"/>
                <w:szCs w:val="24"/>
              </w:rPr>
              <w:t>t</w:t>
            </w:r>
            <w:r w:rsidR="00D50938" w:rsidRPr="004630C0">
              <w:rPr>
                <w:rFonts w:eastAsia="Calibri" w:cs="Calibri"/>
                <w:bCs/>
                <w:i/>
                <w:iCs/>
                <w:sz w:val="24"/>
                <w:szCs w:val="24"/>
              </w:rPr>
              <w:t>hen</w:t>
            </w:r>
          </w:p>
        </w:tc>
      </w:tr>
      <w:tr w:rsidR="00D50938" w:rsidRPr="00883403" w:rsidTr="00CD5F71">
        <w:tc>
          <w:tcPr>
            <w:tcW w:w="1335" w:type="dxa"/>
            <w:shd w:val="clear" w:color="auto" w:fill="auto"/>
          </w:tcPr>
          <w:p w:rsidR="00D50938" w:rsidRPr="004630C0" w:rsidRDefault="00D50938" w:rsidP="00CD5F71">
            <w:pPr>
              <w:rPr>
                <w:rFonts w:eastAsia="Calibri" w:cs="Calibri"/>
                <w:b/>
                <w:bCs/>
              </w:rPr>
            </w:pPr>
            <w:r w:rsidRPr="004630C0">
              <w:rPr>
                <w:rFonts w:eastAsia="Calibri" w:cs="Calibri"/>
                <w:b/>
                <w:bCs/>
                <w:sz w:val="24"/>
                <w:szCs w:val="24"/>
              </w:rPr>
              <w:t>Outcome level</w:t>
            </w:r>
          </w:p>
        </w:tc>
        <w:tc>
          <w:tcPr>
            <w:tcW w:w="8299" w:type="dxa"/>
            <w:shd w:val="clear" w:color="auto" w:fill="auto"/>
          </w:tcPr>
          <w:p w:rsidR="00D50938" w:rsidRPr="004630C0" w:rsidRDefault="00D50938" w:rsidP="00CD5F71">
            <w:pPr>
              <w:rPr>
                <w:rFonts w:eastAsia="Calibri" w:cs="Calibri"/>
              </w:rPr>
            </w:pPr>
            <w:r w:rsidRPr="004630C0">
              <w:rPr>
                <w:rFonts w:eastAsia="Calibri" w:cs="Calibri"/>
                <w:sz w:val="24"/>
                <w:szCs w:val="24"/>
              </w:rPr>
              <w:t>Nigeria and Ghana and other beneficiary countries will have increased capacity to detect, share information</w:t>
            </w:r>
            <w:r w:rsidR="00EA1A0C" w:rsidRPr="004630C0">
              <w:rPr>
                <w:rFonts w:eastAsia="Calibri" w:cs="Calibri"/>
                <w:sz w:val="24"/>
                <w:szCs w:val="24"/>
              </w:rPr>
              <w:t>,</w:t>
            </w:r>
            <w:r w:rsidRPr="004630C0">
              <w:rPr>
                <w:rFonts w:eastAsia="Calibri" w:cs="Calibri"/>
                <w:sz w:val="24"/>
                <w:szCs w:val="24"/>
              </w:rPr>
              <w:t xml:space="preserve"> and manage responses to threats to</w:t>
            </w:r>
            <w:r w:rsidR="004F7B29">
              <w:rPr>
                <w:rFonts w:eastAsia="Calibri" w:cs="Calibri"/>
                <w:sz w:val="24"/>
                <w:szCs w:val="24"/>
              </w:rPr>
              <w:t>wards</w:t>
            </w:r>
            <w:r w:rsidRPr="004630C0">
              <w:rPr>
                <w:rFonts w:eastAsia="Calibri" w:cs="Calibri"/>
                <w:sz w:val="24"/>
                <w:szCs w:val="24"/>
              </w:rPr>
              <w:t xml:space="preserve"> shipping; a stronger basis to prosecute maritime crime; and interregional, regional organizations</w:t>
            </w:r>
            <w:r w:rsidR="00EA1A0C" w:rsidRPr="004630C0">
              <w:rPr>
                <w:rFonts w:eastAsia="Calibri" w:cs="Calibri"/>
                <w:sz w:val="24"/>
                <w:szCs w:val="24"/>
              </w:rPr>
              <w:t>,</w:t>
            </w:r>
            <w:r w:rsidRPr="004630C0">
              <w:rPr>
                <w:rFonts w:eastAsia="Calibri" w:cs="Calibri"/>
                <w:sz w:val="24"/>
                <w:szCs w:val="24"/>
              </w:rPr>
              <w:t xml:space="preserve"> and coastal states in the Gulf of Guinea will have increased capacities, capabilities</w:t>
            </w:r>
            <w:r w:rsidR="00EA1A0C" w:rsidRPr="004630C0">
              <w:rPr>
                <w:rFonts w:eastAsia="Calibri" w:cs="Calibri"/>
                <w:sz w:val="24"/>
                <w:szCs w:val="24"/>
              </w:rPr>
              <w:t>,</w:t>
            </w:r>
            <w:r w:rsidRPr="004630C0">
              <w:rPr>
                <w:rFonts w:eastAsia="Calibri" w:cs="Calibri"/>
                <w:sz w:val="24"/>
                <w:szCs w:val="24"/>
              </w:rPr>
              <w:t xml:space="preserve"> and frameworks feeding into operational and sustainable </w:t>
            </w:r>
            <w:r w:rsidR="007F2DC4">
              <w:rPr>
                <w:rFonts w:eastAsia="Calibri" w:cs="Calibri"/>
                <w:sz w:val="24"/>
                <w:szCs w:val="24"/>
              </w:rPr>
              <w:t>maritime domain awareness (</w:t>
            </w:r>
            <w:r w:rsidRPr="004630C0">
              <w:rPr>
                <w:rFonts w:eastAsia="Calibri" w:cs="Calibri"/>
                <w:sz w:val="24"/>
                <w:szCs w:val="24"/>
              </w:rPr>
              <w:t>MDA</w:t>
            </w:r>
            <w:r w:rsidR="007F2DC4">
              <w:rPr>
                <w:rFonts w:eastAsia="Calibri" w:cs="Calibri"/>
                <w:sz w:val="24"/>
                <w:szCs w:val="24"/>
              </w:rPr>
              <w:t>)</w:t>
            </w:r>
            <w:r w:rsidRPr="004630C0">
              <w:rPr>
                <w:rFonts w:eastAsia="Calibri" w:cs="Calibri"/>
                <w:sz w:val="24"/>
                <w:szCs w:val="24"/>
              </w:rPr>
              <w:t xml:space="preserve"> and responses to emergencies/incidents</w:t>
            </w:r>
          </w:p>
        </w:tc>
      </w:tr>
      <w:tr w:rsidR="00D50938" w:rsidRPr="00883403" w:rsidTr="00CD5F71">
        <w:tc>
          <w:tcPr>
            <w:tcW w:w="9634" w:type="dxa"/>
            <w:gridSpan w:val="2"/>
            <w:shd w:val="clear" w:color="auto" w:fill="auto"/>
          </w:tcPr>
          <w:p w:rsidR="00D50938" w:rsidRPr="004630C0" w:rsidRDefault="005B7FA0" w:rsidP="00CD5F71">
            <w:pPr>
              <w:jc w:val="center"/>
              <w:rPr>
                <w:rFonts w:eastAsia="Calibri" w:cs="Calibri"/>
                <w:bCs/>
                <w:i/>
                <w:iCs/>
              </w:rPr>
            </w:pPr>
            <w:r w:rsidRPr="004630C0">
              <w:rPr>
                <w:rFonts w:eastAsia="Calibri" w:cs="Calibri"/>
                <w:bCs/>
                <w:i/>
                <w:iCs/>
                <w:sz w:val="24"/>
                <w:szCs w:val="24"/>
              </w:rPr>
              <w:t>r</w:t>
            </w:r>
            <w:r w:rsidR="00D50938" w:rsidRPr="004630C0">
              <w:rPr>
                <w:rFonts w:eastAsia="Calibri" w:cs="Calibri"/>
                <w:bCs/>
                <w:i/>
                <w:iCs/>
                <w:sz w:val="24"/>
                <w:szCs w:val="24"/>
              </w:rPr>
              <w:t>esulting in</w:t>
            </w:r>
          </w:p>
        </w:tc>
      </w:tr>
      <w:tr w:rsidR="00D50938" w:rsidRPr="00883403" w:rsidTr="00CD5F71">
        <w:tc>
          <w:tcPr>
            <w:tcW w:w="1335" w:type="dxa"/>
            <w:shd w:val="clear" w:color="auto" w:fill="auto"/>
          </w:tcPr>
          <w:p w:rsidR="00D50938" w:rsidRPr="004630C0" w:rsidRDefault="00D50938" w:rsidP="00CD5F71">
            <w:pPr>
              <w:rPr>
                <w:rFonts w:eastAsia="Calibri" w:cs="Calibri"/>
                <w:b/>
                <w:bCs/>
              </w:rPr>
            </w:pPr>
            <w:r w:rsidRPr="004630C0">
              <w:rPr>
                <w:rFonts w:eastAsia="Calibri" w:cs="Calibri"/>
                <w:b/>
                <w:bCs/>
                <w:sz w:val="24"/>
                <w:szCs w:val="24"/>
              </w:rPr>
              <w:t>Impact level</w:t>
            </w:r>
          </w:p>
        </w:tc>
        <w:tc>
          <w:tcPr>
            <w:tcW w:w="8299" w:type="dxa"/>
            <w:shd w:val="clear" w:color="auto" w:fill="auto"/>
          </w:tcPr>
          <w:p w:rsidR="00D50938" w:rsidRPr="004630C0" w:rsidRDefault="00543D4A" w:rsidP="004F7B29">
            <w:pPr>
              <w:rPr>
                <w:rFonts w:eastAsia="Calibri" w:cs="Calibri"/>
                <w:iCs/>
              </w:rPr>
            </w:pPr>
            <w:r w:rsidRPr="004630C0">
              <w:rPr>
                <w:rFonts w:eastAsia="Calibri" w:cs="Calibri"/>
                <w:iCs/>
                <w:sz w:val="24"/>
                <w:szCs w:val="24"/>
              </w:rPr>
              <w:t>m</w:t>
            </w:r>
            <w:r w:rsidR="00D50938" w:rsidRPr="004630C0">
              <w:rPr>
                <w:rFonts w:eastAsia="Calibri" w:cs="Calibri"/>
                <w:iCs/>
                <w:sz w:val="24"/>
                <w:szCs w:val="24"/>
              </w:rPr>
              <w:t xml:space="preserve">ore timely and effective operational responses from Maritime Law Enforcement </w:t>
            </w:r>
            <w:r w:rsidR="004F7B29">
              <w:rPr>
                <w:rFonts w:eastAsia="Calibri" w:cs="Calibri"/>
                <w:iCs/>
                <w:sz w:val="24"/>
                <w:szCs w:val="24"/>
              </w:rPr>
              <w:t>agencies</w:t>
            </w:r>
            <w:r w:rsidR="004F7B29" w:rsidRPr="004630C0">
              <w:rPr>
                <w:rFonts w:eastAsia="Calibri" w:cs="Calibri"/>
                <w:iCs/>
                <w:sz w:val="24"/>
                <w:szCs w:val="24"/>
              </w:rPr>
              <w:t xml:space="preserve"> </w:t>
            </w:r>
            <w:r w:rsidR="00D50938" w:rsidRPr="004630C0">
              <w:rPr>
                <w:rFonts w:eastAsia="Calibri" w:cs="Calibri"/>
                <w:iCs/>
                <w:sz w:val="24"/>
                <w:szCs w:val="24"/>
              </w:rPr>
              <w:t>in Nigeria</w:t>
            </w:r>
            <w:r w:rsidR="00EA1A0C" w:rsidRPr="004630C0">
              <w:rPr>
                <w:rFonts w:eastAsia="Calibri" w:cs="Calibri"/>
                <w:iCs/>
                <w:sz w:val="24"/>
                <w:szCs w:val="24"/>
              </w:rPr>
              <w:t xml:space="preserve">, </w:t>
            </w:r>
            <w:r w:rsidR="00D50938" w:rsidRPr="004630C0">
              <w:rPr>
                <w:rFonts w:eastAsia="Calibri" w:cs="Calibri"/>
                <w:iCs/>
                <w:sz w:val="24"/>
                <w:szCs w:val="24"/>
              </w:rPr>
              <w:t>Ghana</w:t>
            </w:r>
            <w:r w:rsidR="00EA1A0C" w:rsidRPr="004630C0">
              <w:rPr>
                <w:rFonts w:eastAsia="Calibri" w:cs="Calibri"/>
                <w:iCs/>
                <w:sz w:val="24"/>
                <w:szCs w:val="24"/>
              </w:rPr>
              <w:t xml:space="preserve">, </w:t>
            </w:r>
            <w:r w:rsidR="00D50938" w:rsidRPr="004630C0">
              <w:rPr>
                <w:rFonts w:eastAsia="Calibri" w:cs="Calibri"/>
                <w:iCs/>
                <w:sz w:val="24"/>
                <w:szCs w:val="24"/>
              </w:rPr>
              <w:t>and other countries in the region</w:t>
            </w:r>
            <w:r w:rsidR="00EA1A0C" w:rsidRPr="004630C0">
              <w:rPr>
                <w:rFonts w:eastAsia="Calibri" w:cs="Calibri"/>
                <w:iCs/>
                <w:sz w:val="24"/>
                <w:szCs w:val="24"/>
              </w:rPr>
              <w:t>,</w:t>
            </w:r>
            <w:r w:rsidR="00D50938" w:rsidRPr="004630C0">
              <w:rPr>
                <w:rFonts w:eastAsia="Calibri" w:cs="Calibri"/>
                <w:iCs/>
                <w:sz w:val="24"/>
                <w:szCs w:val="24"/>
              </w:rPr>
              <w:t xml:space="preserve"> and the effective prosecution of persons engaged in or supporting maritime crime</w:t>
            </w:r>
          </w:p>
        </w:tc>
      </w:tr>
      <w:tr w:rsidR="00D50938" w:rsidRPr="00883403" w:rsidTr="00CD5F71">
        <w:tc>
          <w:tcPr>
            <w:tcW w:w="1335" w:type="dxa"/>
            <w:shd w:val="clear" w:color="auto" w:fill="auto"/>
          </w:tcPr>
          <w:p w:rsidR="00D50938" w:rsidRPr="004630C0" w:rsidRDefault="00D50938" w:rsidP="00CD5F71">
            <w:pPr>
              <w:rPr>
                <w:rFonts w:eastAsia="Calibri" w:cs="Calibri"/>
                <w:b/>
                <w:bCs/>
              </w:rPr>
            </w:pPr>
          </w:p>
        </w:tc>
        <w:tc>
          <w:tcPr>
            <w:tcW w:w="8299" w:type="dxa"/>
            <w:shd w:val="clear" w:color="auto" w:fill="auto"/>
          </w:tcPr>
          <w:p w:rsidR="00D50938" w:rsidRPr="004630C0" w:rsidRDefault="00543D4A" w:rsidP="00E36886">
            <w:pPr>
              <w:rPr>
                <w:rFonts w:eastAsia="Calibri" w:cs="Calibri"/>
                <w:iCs/>
              </w:rPr>
            </w:pPr>
            <w:r w:rsidRPr="004630C0">
              <w:rPr>
                <w:rFonts w:eastAsia="Calibri" w:cs="Calibri"/>
                <w:iCs/>
                <w:sz w:val="24"/>
                <w:szCs w:val="24"/>
              </w:rPr>
              <w:t>e</w:t>
            </w:r>
            <w:r w:rsidR="00D50938" w:rsidRPr="004630C0">
              <w:rPr>
                <w:rFonts w:eastAsia="Calibri" w:cs="Calibri"/>
                <w:iCs/>
                <w:sz w:val="24"/>
                <w:szCs w:val="24"/>
              </w:rPr>
              <w:t>ventually leading to a reduction in the number of attacks on international and local shipping and enhanced security, trade</w:t>
            </w:r>
            <w:r w:rsidR="00E36886" w:rsidRPr="004630C0">
              <w:rPr>
                <w:rFonts w:eastAsia="Calibri" w:cs="Calibri"/>
                <w:iCs/>
                <w:sz w:val="24"/>
                <w:szCs w:val="24"/>
              </w:rPr>
              <w:t>,</w:t>
            </w:r>
            <w:r w:rsidR="00D50938" w:rsidRPr="004630C0">
              <w:rPr>
                <w:rFonts w:eastAsia="Calibri" w:cs="Calibri"/>
                <w:iCs/>
                <w:sz w:val="24"/>
                <w:szCs w:val="24"/>
              </w:rPr>
              <w:t xml:space="preserve"> and contributions from the blue economy</w:t>
            </w:r>
            <w:r w:rsidR="007D417A">
              <w:rPr>
                <w:rFonts w:eastAsia="Calibri" w:cs="Calibri"/>
                <w:iCs/>
                <w:sz w:val="24"/>
                <w:szCs w:val="24"/>
              </w:rPr>
              <w:t>,</w:t>
            </w:r>
            <w:r w:rsidR="00D50938" w:rsidRPr="004630C0">
              <w:rPr>
                <w:rFonts w:eastAsia="Calibri" w:cs="Calibri"/>
                <w:iCs/>
                <w:sz w:val="24"/>
                <w:szCs w:val="24"/>
              </w:rPr>
              <w:t xml:space="preserve"> and ensuring the freedom of navigation</w:t>
            </w:r>
          </w:p>
        </w:tc>
      </w:tr>
      <w:tr w:rsidR="00D50938" w:rsidRPr="00883403" w:rsidTr="00CD5F71">
        <w:tc>
          <w:tcPr>
            <w:tcW w:w="9634" w:type="dxa"/>
            <w:gridSpan w:val="2"/>
            <w:shd w:val="clear" w:color="auto" w:fill="auto"/>
          </w:tcPr>
          <w:p w:rsidR="00D50938" w:rsidRPr="004630C0" w:rsidRDefault="005B7FA0" w:rsidP="00CD5F71">
            <w:pPr>
              <w:jc w:val="center"/>
              <w:rPr>
                <w:rFonts w:eastAsia="Calibri" w:cs="Calibri"/>
                <w:bCs/>
                <w:i/>
                <w:iCs/>
              </w:rPr>
            </w:pPr>
            <w:r w:rsidRPr="004630C0">
              <w:rPr>
                <w:rFonts w:eastAsia="Calibri" w:cs="Calibri"/>
                <w:bCs/>
                <w:i/>
                <w:iCs/>
                <w:sz w:val="24"/>
                <w:szCs w:val="24"/>
              </w:rPr>
              <w:t>b</w:t>
            </w:r>
            <w:r w:rsidR="00D50938" w:rsidRPr="004630C0">
              <w:rPr>
                <w:rFonts w:eastAsia="Calibri" w:cs="Calibri"/>
                <w:bCs/>
                <w:i/>
                <w:iCs/>
                <w:sz w:val="24"/>
                <w:szCs w:val="24"/>
              </w:rPr>
              <w:t>ecause</w:t>
            </w:r>
          </w:p>
        </w:tc>
      </w:tr>
      <w:tr w:rsidR="00D50938" w:rsidRPr="00883403" w:rsidTr="00CD5F71">
        <w:tc>
          <w:tcPr>
            <w:tcW w:w="1335" w:type="dxa"/>
            <w:shd w:val="clear" w:color="auto" w:fill="auto"/>
          </w:tcPr>
          <w:p w:rsidR="00D50938" w:rsidRPr="004630C0" w:rsidRDefault="00D50938" w:rsidP="00CD5F71">
            <w:pPr>
              <w:rPr>
                <w:rFonts w:eastAsia="Calibri" w:cs="Calibri"/>
                <w:b/>
                <w:bCs/>
              </w:rPr>
            </w:pPr>
            <w:r w:rsidRPr="004630C0">
              <w:rPr>
                <w:rFonts w:eastAsia="Calibri" w:cs="Calibri"/>
                <w:b/>
                <w:bCs/>
                <w:sz w:val="24"/>
                <w:szCs w:val="24"/>
              </w:rPr>
              <w:t>Assumptions</w:t>
            </w:r>
          </w:p>
        </w:tc>
        <w:tc>
          <w:tcPr>
            <w:tcW w:w="8299" w:type="dxa"/>
            <w:shd w:val="clear" w:color="auto" w:fill="auto"/>
          </w:tcPr>
          <w:p w:rsidR="00D50938" w:rsidRPr="004630C0" w:rsidRDefault="00D50938" w:rsidP="00D50938">
            <w:pPr>
              <w:pStyle w:val="ListParagraph"/>
              <w:numPr>
                <w:ilvl w:val="0"/>
                <w:numId w:val="43"/>
              </w:numPr>
              <w:ind w:left="360"/>
              <w:contextualSpacing/>
            </w:pPr>
            <w:r w:rsidRPr="004630C0">
              <w:rPr>
                <w:sz w:val="24"/>
                <w:szCs w:val="24"/>
              </w:rPr>
              <w:t>Stronger inter-agency cooperation mechanisms at the national and regional levels will help improve maritime law enforcement responses to maritime crime, including stronger judicial processes.</w:t>
            </w:r>
          </w:p>
          <w:p w:rsidR="00D50938" w:rsidRPr="004630C0" w:rsidRDefault="00D50938" w:rsidP="00D50938">
            <w:pPr>
              <w:pStyle w:val="ListParagraph"/>
              <w:numPr>
                <w:ilvl w:val="0"/>
                <w:numId w:val="43"/>
              </w:numPr>
              <w:ind w:left="360"/>
              <w:contextualSpacing/>
            </w:pPr>
            <w:r w:rsidRPr="004630C0">
              <w:rPr>
                <w:sz w:val="24"/>
                <w:szCs w:val="24"/>
              </w:rPr>
              <w:t xml:space="preserve">Maritime authorities in beneficiary countries are open to international assistance and are prepared to invest counterpart time and effort in support arrangements, thereby ensuring productive use of the support offered. It </w:t>
            </w:r>
            <w:proofErr w:type="gramStart"/>
            <w:r w:rsidRPr="004630C0">
              <w:rPr>
                <w:sz w:val="24"/>
                <w:szCs w:val="24"/>
              </w:rPr>
              <w:t>is also assumed</w:t>
            </w:r>
            <w:proofErr w:type="gramEnd"/>
            <w:r w:rsidRPr="004630C0">
              <w:rPr>
                <w:sz w:val="24"/>
                <w:szCs w:val="24"/>
              </w:rPr>
              <w:t xml:space="preserve"> that UNODC and INTERPOL have sufficient local weight through their mandates to engage substantively with local authorities.</w:t>
            </w:r>
          </w:p>
          <w:p w:rsidR="00D50938" w:rsidRPr="004630C0" w:rsidRDefault="00D50938" w:rsidP="00D50938">
            <w:pPr>
              <w:pStyle w:val="ListParagraph"/>
              <w:numPr>
                <w:ilvl w:val="0"/>
                <w:numId w:val="43"/>
              </w:numPr>
              <w:ind w:left="360"/>
              <w:contextualSpacing/>
            </w:pPr>
            <w:r w:rsidRPr="004630C0">
              <w:rPr>
                <w:sz w:val="24"/>
                <w:szCs w:val="24"/>
              </w:rPr>
              <w:t xml:space="preserve">Suitable arrangements can be agreed with Nigeria and possibly Ghana </w:t>
            </w:r>
            <w:r w:rsidR="007D417A">
              <w:rPr>
                <w:sz w:val="24"/>
                <w:szCs w:val="24"/>
              </w:rPr>
              <w:t xml:space="preserve">as well as </w:t>
            </w:r>
            <w:r w:rsidRPr="004630C0">
              <w:rPr>
                <w:sz w:val="24"/>
                <w:szCs w:val="24"/>
              </w:rPr>
              <w:t>international partners (U.S, UK</w:t>
            </w:r>
            <w:r w:rsidR="00E36886" w:rsidRPr="004630C0">
              <w:rPr>
                <w:sz w:val="24"/>
                <w:szCs w:val="24"/>
              </w:rPr>
              <w:t>,</w:t>
            </w:r>
            <w:r w:rsidRPr="004630C0">
              <w:rPr>
                <w:sz w:val="24"/>
                <w:szCs w:val="24"/>
              </w:rPr>
              <w:t xml:space="preserve"> and possibly France), enabling Danish military capacities to be deployed in a training capacity.</w:t>
            </w:r>
          </w:p>
          <w:p w:rsidR="00D50938" w:rsidRPr="004630C0" w:rsidRDefault="00D50938" w:rsidP="00D50938">
            <w:pPr>
              <w:pStyle w:val="ListParagraph"/>
              <w:numPr>
                <w:ilvl w:val="0"/>
                <w:numId w:val="43"/>
              </w:numPr>
              <w:ind w:left="360"/>
              <w:contextualSpacing/>
            </w:pPr>
            <w:r w:rsidRPr="004630C0">
              <w:rPr>
                <w:sz w:val="24"/>
                <w:szCs w:val="24"/>
              </w:rPr>
              <w:t xml:space="preserve">UNODC </w:t>
            </w:r>
            <w:r w:rsidR="007D417A">
              <w:rPr>
                <w:sz w:val="24"/>
                <w:szCs w:val="24"/>
              </w:rPr>
              <w:t xml:space="preserve">provides </w:t>
            </w:r>
            <w:r w:rsidRPr="004630C0">
              <w:rPr>
                <w:sz w:val="24"/>
                <w:szCs w:val="24"/>
              </w:rPr>
              <w:t>effective harmonisation with other partners supporting the GMCP, including the EU (i.e., EU SVAIMS programme and related EU support to UNODC).</w:t>
            </w:r>
          </w:p>
          <w:p w:rsidR="00D50938" w:rsidRPr="004630C0" w:rsidRDefault="00D50938" w:rsidP="00E36886">
            <w:pPr>
              <w:pStyle w:val="ListParagraph"/>
              <w:numPr>
                <w:ilvl w:val="0"/>
                <w:numId w:val="43"/>
              </w:numPr>
              <w:ind w:left="360"/>
              <w:contextualSpacing/>
            </w:pPr>
            <w:r w:rsidRPr="004630C0">
              <w:rPr>
                <w:sz w:val="24"/>
                <w:szCs w:val="24"/>
              </w:rPr>
              <w:t xml:space="preserve">INTERPOL </w:t>
            </w:r>
            <w:r w:rsidR="00E36886" w:rsidRPr="004630C0">
              <w:rPr>
                <w:sz w:val="24"/>
                <w:szCs w:val="24"/>
              </w:rPr>
              <w:t xml:space="preserve">ensures </w:t>
            </w:r>
            <w:r w:rsidRPr="004630C0">
              <w:rPr>
                <w:sz w:val="24"/>
                <w:szCs w:val="24"/>
              </w:rPr>
              <w:t>effective harmonisation and coordination with project AGWE/US INL.</w:t>
            </w:r>
          </w:p>
        </w:tc>
      </w:tr>
      <w:tr w:rsidR="00D50938" w:rsidRPr="00883403" w:rsidTr="00CD5F71">
        <w:tc>
          <w:tcPr>
            <w:tcW w:w="9634" w:type="dxa"/>
            <w:gridSpan w:val="2"/>
            <w:shd w:val="clear" w:color="auto" w:fill="auto"/>
          </w:tcPr>
          <w:p w:rsidR="00D50938" w:rsidRPr="004630C0" w:rsidRDefault="00543D4A" w:rsidP="00E36886">
            <w:pPr>
              <w:jc w:val="center"/>
              <w:rPr>
                <w:bCs/>
                <w:i/>
                <w:iCs/>
              </w:rPr>
            </w:pPr>
            <w:r w:rsidRPr="004630C0">
              <w:rPr>
                <w:bCs/>
                <w:i/>
                <w:iCs/>
                <w:sz w:val="24"/>
                <w:szCs w:val="24"/>
              </w:rPr>
              <w:t>a</w:t>
            </w:r>
            <w:r w:rsidR="00D50938" w:rsidRPr="004630C0">
              <w:rPr>
                <w:bCs/>
                <w:i/>
                <w:iCs/>
                <w:sz w:val="24"/>
                <w:szCs w:val="24"/>
              </w:rPr>
              <w:t>nd assuming the following preconditions apply</w:t>
            </w:r>
          </w:p>
        </w:tc>
      </w:tr>
      <w:tr w:rsidR="00D50938" w:rsidRPr="00883403" w:rsidTr="00CD5F71">
        <w:tc>
          <w:tcPr>
            <w:tcW w:w="1335" w:type="dxa"/>
            <w:shd w:val="clear" w:color="auto" w:fill="auto"/>
          </w:tcPr>
          <w:p w:rsidR="00D50938" w:rsidRPr="004630C0" w:rsidRDefault="00D50938" w:rsidP="00CD5F71">
            <w:pPr>
              <w:rPr>
                <w:rFonts w:eastAsia="Calibri" w:cs="Calibri"/>
                <w:b/>
                <w:bCs/>
              </w:rPr>
            </w:pPr>
          </w:p>
        </w:tc>
        <w:tc>
          <w:tcPr>
            <w:tcW w:w="8299" w:type="dxa"/>
            <w:shd w:val="clear" w:color="auto" w:fill="auto"/>
          </w:tcPr>
          <w:p w:rsidR="00D50938" w:rsidRPr="004630C0" w:rsidRDefault="00D50938" w:rsidP="00D50938">
            <w:pPr>
              <w:pStyle w:val="ListParagraph"/>
              <w:numPr>
                <w:ilvl w:val="0"/>
                <w:numId w:val="43"/>
              </w:numPr>
              <w:ind w:left="360"/>
              <w:contextualSpacing/>
            </w:pPr>
            <w:r w:rsidRPr="004630C0">
              <w:rPr>
                <w:sz w:val="24"/>
                <w:szCs w:val="24"/>
              </w:rPr>
              <w:t xml:space="preserve">Countries and regional organisations have the political will to cooperate within the framework that </w:t>
            </w:r>
            <w:proofErr w:type="gramStart"/>
            <w:r w:rsidRPr="004630C0">
              <w:rPr>
                <w:sz w:val="24"/>
                <w:szCs w:val="24"/>
              </w:rPr>
              <w:t>is being established</w:t>
            </w:r>
            <w:proofErr w:type="gramEnd"/>
            <w:r w:rsidRPr="004630C0">
              <w:rPr>
                <w:sz w:val="24"/>
                <w:szCs w:val="24"/>
              </w:rPr>
              <w:t xml:space="preserve"> and are prepared to enter into legal and practical agreements with each other providing the basis for a cohesive regional approach. It </w:t>
            </w:r>
            <w:proofErr w:type="gramStart"/>
            <w:r w:rsidRPr="004630C0">
              <w:rPr>
                <w:sz w:val="24"/>
                <w:szCs w:val="24"/>
              </w:rPr>
              <w:t>is assumed</w:t>
            </w:r>
            <w:proofErr w:type="gramEnd"/>
            <w:r w:rsidRPr="004630C0">
              <w:rPr>
                <w:sz w:val="24"/>
                <w:szCs w:val="24"/>
              </w:rPr>
              <w:t>, for example, that the structures under the Yaoundé architecture will be further developed and populated with regional and national staff and equipment in a manner that facilitates interoperability and timely response.</w:t>
            </w:r>
          </w:p>
          <w:p w:rsidR="00D50938" w:rsidRPr="004630C0" w:rsidRDefault="00D50938" w:rsidP="00D50938">
            <w:pPr>
              <w:pStyle w:val="ListParagraph"/>
              <w:numPr>
                <w:ilvl w:val="0"/>
                <w:numId w:val="43"/>
              </w:numPr>
              <w:ind w:left="360"/>
              <w:contextualSpacing/>
            </w:pPr>
            <w:r w:rsidRPr="004630C0">
              <w:rPr>
                <w:sz w:val="24"/>
                <w:szCs w:val="24"/>
              </w:rPr>
              <w:t>Countries recognise and develop effective national coordination mechanisms, including maritime strategies and inter-agency arrangements, and they are open to international assistance in these endeavours.</w:t>
            </w:r>
          </w:p>
          <w:p w:rsidR="00D50938" w:rsidRPr="004630C0" w:rsidRDefault="00D50938" w:rsidP="00D50938">
            <w:pPr>
              <w:pStyle w:val="ListParagraph"/>
              <w:numPr>
                <w:ilvl w:val="0"/>
                <w:numId w:val="43"/>
              </w:numPr>
              <w:ind w:left="360"/>
              <w:contextualSpacing/>
            </w:pPr>
            <w:r w:rsidRPr="004630C0">
              <w:rPr>
                <w:sz w:val="24"/>
                <w:szCs w:val="24"/>
              </w:rPr>
              <w:t xml:space="preserve">Development deficiencies in coastal areas </w:t>
            </w:r>
            <w:proofErr w:type="gramStart"/>
            <w:r w:rsidRPr="004630C0">
              <w:rPr>
                <w:sz w:val="24"/>
                <w:szCs w:val="24"/>
              </w:rPr>
              <w:t>are addressed</w:t>
            </w:r>
            <w:proofErr w:type="gramEnd"/>
            <w:r w:rsidRPr="004630C0">
              <w:rPr>
                <w:sz w:val="24"/>
                <w:szCs w:val="24"/>
              </w:rPr>
              <w:t xml:space="preserve"> through inclusive national development strategies, in particular in the Niger Delta.</w:t>
            </w:r>
          </w:p>
          <w:p w:rsidR="00D50938" w:rsidRPr="004630C0" w:rsidRDefault="00D50938" w:rsidP="00D50938">
            <w:pPr>
              <w:pStyle w:val="ListParagraph"/>
              <w:numPr>
                <w:ilvl w:val="0"/>
                <w:numId w:val="43"/>
              </w:numPr>
              <w:ind w:left="360"/>
              <w:contextualSpacing/>
            </w:pPr>
            <w:r w:rsidRPr="004630C0">
              <w:rPr>
                <w:sz w:val="24"/>
                <w:szCs w:val="24"/>
              </w:rPr>
              <w:t xml:space="preserve">Environmental degradation in the Niger Delta </w:t>
            </w:r>
            <w:proofErr w:type="gramStart"/>
            <w:r w:rsidRPr="004630C0">
              <w:rPr>
                <w:sz w:val="24"/>
                <w:szCs w:val="24"/>
              </w:rPr>
              <w:t>is reversed</w:t>
            </w:r>
            <w:proofErr w:type="gramEnd"/>
            <w:r w:rsidRPr="004630C0">
              <w:rPr>
                <w:sz w:val="24"/>
                <w:szCs w:val="24"/>
              </w:rPr>
              <w:t xml:space="preserve"> through concerted national actions supported by the oil industry.</w:t>
            </w:r>
          </w:p>
          <w:p w:rsidR="00D50938" w:rsidRPr="004630C0" w:rsidRDefault="00CA5B24" w:rsidP="00D50938">
            <w:pPr>
              <w:pStyle w:val="ListParagraph"/>
              <w:numPr>
                <w:ilvl w:val="0"/>
                <w:numId w:val="43"/>
              </w:numPr>
              <w:ind w:left="360"/>
              <w:contextualSpacing/>
            </w:pPr>
            <w:r w:rsidRPr="004630C0">
              <w:rPr>
                <w:sz w:val="24"/>
                <w:szCs w:val="24"/>
              </w:rPr>
              <w:t>Governments</w:t>
            </w:r>
            <w:r w:rsidR="00D50938" w:rsidRPr="004630C0">
              <w:rPr>
                <w:sz w:val="24"/>
                <w:szCs w:val="24"/>
              </w:rPr>
              <w:t xml:space="preserve"> in the region address corruption and collusion and thereby address this enabling factor of piracy and other maritime crimes</w:t>
            </w:r>
          </w:p>
          <w:p w:rsidR="00D50938" w:rsidRPr="004630C0" w:rsidRDefault="00D50938" w:rsidP="001D2A3D">
            <w:pPr>
              <w:pStyle w:val="ListParagraph"/>
              <w:numPr>
                <w:ilvl w:val="0"/>
                <w:numId w:val="0"/>
              </w:numPr>
              <w:ind w:left="360"/>
            </w:pPr>
          </w:p>
        </w:tc>
      </w:tr>
    </w:tbl>
    <w:p w:rsidR="009E1DE4" w:rsidRPr="00D50938" w:rsidRDefault="009E1DE4" w:rsidP="00617162"/>
    <w:p w:rsidR="009B13E4" w:rsidRDefault="00FE7E1F" w:rsidP="00AE381A">
      <w:pPr>
        <w:pStyle w:val="Heading1"/>
        <w:pageBreakBefore/>
      </w:pPr>
      <w:bookmarkStart w:id="1" w:name="_Toc89077029"/>
      <w:r>
        <w:t>PSE 1</w:t>
      </w:r>
      <w:r w:rsidR="00DF6137">
        <w:t xml:space="preserve"> </w:t>
      </w:r>
      <w:r w:rsidR="00DF6137" w:rsidRPr="00000B0D">
        <w:rPr>
          <w:rFonts w:ascii="Calibri" w:hAnsi="Calibri" w:cs="Calibri"/>
        </w:rPr>
        <w:t>–</w:t>
      </w:r>
      <w:r w:rsidR="00DF6137">
        <w:rPr>
          <w:rFonts w:ascii="Calibri" w:hAnsi="Calibri" w:cs="Calibri"/>
        </w:rPr>
        <w:t xml:space="preserve"> </w:t>
      </w:r>
      <w:r w:rsidR="00DF6137" w:rsidRPr="00DF6137">
        <w:t>UNODC: Regional support to criminal justice system responses to the threat of maritime crime</w:t>
      </w:r>
      <w:bookmarkEnd w:id="1"/>
    </w:p>
    <w:p w:rsidR="00243F74" w:rsidRPr="00900E1B" w:rsidRDefault="00DF6137" w:rsidP="0076616A">
      <w:pPr>
        <w:pStyle w:val="Heading2"/>
      </w:pPr>
      <w:bookmarkStart w:id="2" w:name="_Toc89077030"/>
      <w:r>
        <w:t>PSE 1</w:t>
      </w:r>
      <w:r w:rsidR="0076616A">
        <w:t xml:space="preserve"> –</w:t>
      </w:r>
      <w:r>
        <w:t xml:space="preserve"> Theory of Change</w:t>
      </w:r>
      <w:bookmarkEnd w:id="2"/>
    </w:p>
    <w:tbl>
      <w:tblPr>
        <w:tblStyle w:val="TableGrid"/>
        <w:tblpPr w:leftFromText="181" w:rightFromText="181" w:vertAnchor="text" w:tblpY="1"/>
        <w:tblOverlap w:val="never"/>
        <w:tblW w:w="9634" w:type="dxa"/>
        <w:tblLook w:val="04A0" w:firstRow="1" w:lastRow="0" w:firstColumn="1" w:lastColumn="0" w:noHBand="0" w:noVBand="1"/>
      </w:tblPr>
      <w:tblGrid>
        <w:gridCol w:w="1335"/>
        <w:gridCol w:w="8299"/>
      </w:tblGrid>
      <w:tr w:rsidR="00AE381A" w:rsidRPr="007B16F9" w:rsidTr="0076616A">
        <w:tc>
          <w:tcPr>
            <w:tcW w:w="9634" w:type="dxa"/>
            <w:gridSpan w:val="2"/>
            <w:shd w:val="clear" w:color="auto" w:fill="auto"/>
          </w:tcPr>
          <w:p w:rsidR="00AE381A" w:rsidRPr="00AE381A" w:rsidRDefault="00AE381A" w:rsidP="00AE381A">
            <w:pPr>
              <w:jc w:val="center"/>
              <w:rPr>
                <w:rFonts w:eastAsia="Calibri" w:cs="Calibri"/>
                <w:b/>
                <w:bCs/>
              </w:rPr>
            </w:pPr>
            <w:r w:rsidRPr="00AE381A">
              <w:rPr>
                <w:rFonts w:eastAsia="Calibri" w:cs="Calibri"/>
                <w:b/>
                <w:bCs/>
              </w:rPr>
              <w:t>Theory of Change</w:t>
            </w:r>
          </w:p>
        </w:tc>
      </w:tr>
      <w:tr w:rsidR="00AE381A" w:rsidRPr="007B16F9" w:rsidTr="00676B2E">
        <w:tc>
          <w:tcPr>
            <w:tcW w:w="1335" w:type="dxa"/>
            <w:shd w:val="clear" w:color="auto" w:fill="auto"/>
          </w:tcPr>
          <w:p w:rsidR="00AE381A" w:rsidRPr="007B16F9" w:rsidRDefault="00AE381A" w:rsidP="0076616A">
            <w:pPr>
              <w:rPr>
                <w:rFonts w:eastAsia="Calibri" w:cs="Calibri"/>
              </w:rPr>
            </w:pPr>
            <w:r w:rsidRPr="007B16F9">
              <w:rPr>
                <w:rFonts w:eastAsia="Calibri" w:cs="Calibri"/>
              </w:rPr>
              <w:t>Outcome level</w:t>
            </w:r>
          </w:p>
        </w:tc>
        <w:tc>
          <w:tcPr>
            <w:tcW w:w="8299" w:type="dxa"/>
            <w:shd w:val="clear" w:color="auto" w:fill="auto"/>
          </w:tcPr>
          <w:p w:rsidR="00AE381A" w:rsidRPr="00AE381A" w:rsidRDefault="00AE381A" w:rsidP="0076616A">
            <w:pPr>
              <w:rPr>
                <w:rFonts w:cs="Times New Roman"/>
              </w:rPr>
            </w:pPr>
            <w:r w:rsidRPr="007B16F9">
              <w:rPr>
                <w:rFonts w:eastAsia="Calibri" w:cs="Calibri"/>
                <w:i/>
                <w:iCs/>
              </w:rPr>
              <w:t xml:space="preserve">If </w:t>
            </w:r>
            <w:r w:rsidRPr="007B16F9">
              <w:rPr>
                <w:rFonts w:cs="Times New Roman"/>
              </w:rPr>
              <w:t>the capacities, interests</w:t>
            </w:r>
            <w:r w:rsidR="00676B2E">
              <w:rPr>
                <w:rFonts w:cs="Times New Roman"/>
              </w:rPr>
              <w:t>,</w:t>
            </w:r>
            <w:r w:rsidRPr="007B16F9">
              <w:rPr>
                <w:rFonts w:cs="Times New Roman"/>
              </w:rPr>
              <w:t xml:space="preserve"> and needs of the main maritime law enforcement authorities in Benin, Cameroon, Côte d’Ivoire, Ghana, Nigeria, and Togo are understood and feed into the development of maritime domain awareness support and VBSS trainings </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a</w:t>
            </w:r>
            <w:r w:rsidR="00AE381A" w:rsidRPr="007B16F9">
              <w:rPr>
                <w:rFonts w:eastAsia="Calibri" w:cs="Calibri"/>
                <w:i/>
                <w:iCs/>
              </w:rPr>
              <w:t>nd</w:t>
            </w:r>
          </w:p>
        </w:tc>
      </w:tr>
      <w:tr w:rsidR="00AE381A" w:rsidRPr="007B16F9" w:rsidTr="00676B2E">
        <w:tc>
          <w:tcPr>
            <w:tcW w:w="1335" w:type="dxa"/>
            <w:shd w:val="clear" w:color="auto" w:fill="auto"/>
          </w:tcPr>
          <w:p w:rsidR="00AE381A" w:rsidRPr="007B16F9" w:rsidRDefault="00AE381A" w:rsidP="0076616A">
            <w:pPr>
              <w:rPr>
                <w:rFonts w:eastAsia="Calibri" w:cs="Calibri"/>
              </w:rPr>
            </w:pPr>
          </w:p>
        </w:tc>
        <w:tc>
          <w:tcPr>
            <w:tcW w:w="8299" w:type="dxa"/>
            <w:shd w:val="clear" w:color="auto" w:fill="auto"/>
          </w:tcPr>
          <w:p w:rsidR="00AE381A" w:rsidRPr="007B16F9" w:rsidRDefault="00543D4A" w:rsidP="0076616A">
            <w:pPr>
              <w:rPr>
                <w:rFonts w:cs="Times New Roman"/>
              </w:rPr>
            </w:pPr>
            <w:r>
              <w:rPr>
                <w:rFonts w:eastAsia="Calibri" w:cs="Calibri"/>
                <w:i/>
                <w:iCs/>
              </w:rPr>
              <w:t>i</w:t>
            </w:r>
            <w:r w:rsidR="00AE381A" w:rsidRPr="007B16F9">
              <w:rPr>
                <w:rFonts w:eastAsia="Calibri" w:cs="Calibri"/>
                <w:i/>
                <w:iCs/>
              </w:rPr>
              <w:t>f</w:t>
            </w:r>
            <w:r w:rsidR="00AE381A" w:rsidRPr="007B16F9">
              <w:rPr>
                <w:rFonts w:eastAsia="Calibri" w:cs="Calibri"/>
              </w:rPr>
              <w:t xml:space="preserve"> </w:t>
            </w:r>
            <w:r w:rsidR="00AE381A" w:rsidRPr="007B16F9">
              <w:rPr>
                <w:rFonts w:cs="Times New Roman"/>
              </w:rPr>
              <w:t>support is then provided to establish working handover agreements in maritime crime cases</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a</w:t>
            </w:r>
            <w:r w:rsidR="00AE381A" w:rsidRPr="007B16F9">
              <w:rPr>
                <w:rFonts w:eastAsia="Calibri" w:cs="Calibri"/>
                <w:i/>
                <w:iCs/>
              </w:rPr>
              <w:t>nd</w:t>
            </w:r>
          </w:p>
        </w:tc>
      </w:tr>
      <w:tr w:rsidR="00AE381A" w:rsidRPr="007B16F9" w:rsidTr="00676B2E">
        <w:trPr>
          <w:trHeight w:val="373"/>
        </w:trPr>
        <w:tc>
          <w:tcPr>
            <w:tcW w:w="1335" w:type="dxa"/>
            <w:shd w:val="clear" w:color="auto" w:fill="auto"/>
          </w:tcPr>
          <w:p w:rsidR="00AE381A" w:rsidRPr="007B16F9" w:rsidRDefault="00AE381A" w:rsidP="0076616A">
            <w:pPr>
              <w:rPr>
                <w:rFonts w:eastAsia="Calibri" w:cs="Calibri"/>
              </w:rPr>
            </w:pPr>
          </w:p>
        </w:tc>
        <w:tc>
          <w:tcPr>
            <w:tcW w:w="8299" w:type="dxa"/>
            <w:shd w:val="clear" w:color="auto" w:fill="auto"/>
          </w:tcPr>
          <w:p w:rsidR="00AE381A" w:rsidRPr="007B16F9" w:rsidRDefault="00543D4A" w:rsidP="0076616A">
            <w:pPr>
              <w:rPr>
                <w:rFonts w:eastAsia="Calibri" w:cs="Calibri"/>
              </w:rPr>
            </w:pPr>
            <w:r>
              <w:rPr>
                <w:rFonts w:eastAsia="Calibri" w:cs="Calibri"/>
                <w:i/>
                <w:iCs/>
              </w:rPr>
              <w:t>i</w:t>
            </w:r>
            <w:r w:rsidR="00AE381A" w:rsidRPr="007B16F9">
              <w:rPr>
                <w:rFonts w:eastAsia="Calibri" w:cs="Calibri"/>
                <w:i/>
                <w:iCs/>
              </w:rPr>
              <w:t xml:space="preserve">f </w:t>
            </w:r>
            <w:r w:rsidR="00AE381A" w:rsidRPr="007B16F9">
              <w:rPr>
                <w:rFonts w:cs="Times New Roman"/>
              </w:rPr>
              <w:t>the capacity of prosecutors handling maritime cases is built</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a</w:t>
            </w:r>
            <w:r w:rsidR="00AE381A" w:rsidRPr="007B16F9">
              <w:rPr>
                <w:rFonts w:eastAsia="Calibri" w:cs="Calibri"/>
                <w:i/>
                <w:iCs/>
              </w:rPr>
              <w:t>nd</w:t>
            </w:r>
          </w:p>
        </w:tc>
      </w:tr>
      <w:tr w:rsidR="00AE381A" w:rsidRPr="007B16F9" w:rsidTr="00676B2E">
        <w:tc>
          <w:tcPr>
            <w:tcW w:w="1335" w:type="dxa"/>
            <w:shd w:val="clear" w:color="auto" w:fill="auto"/>
          </w:tcPr>
          <w:p w:rsidR="00AE381A" w:rsidRPr="007B16F9" w:rsidRDefault="00AE381A" w:rsidP="0076616A">
            <w:pPr>
              <w:rPr>
                <w:rFonts w:eastAsia="Calibri" w:cs="Calibri"/>
              </w:rPr>
            </w:pPr>
          </w:p>
        </w:tc>
        <w:tc>
          <w:tcPr>
            <w:tcW w:w="8299" w:type="dxa"/>
            <w:shd w:val="clear" w:color="auto" w:fill="auto"/>
          </w:tcPr>
          <w:p w:rsidR="00AE381A" w:rsidRPr="007B16F9" w:rsidRDefault="00543D4A" w:rsidP="0076616A">
            <w:pPr>
              <w:rPr>
                <w:rFonts w:eastAsia="Calibri" w:cs="Calibri"/>
              </w:rPr>
            </w:pPr>
            <w:r>
              <w:rPr>
                <w:rFonts w:eastAsia="Calibri" w:cs="Calibri"/>
                <w:i/>
                <w:iCs/>
              </w:rPr>
              <w:t>i</w:t>
            </w:r>
            <w:r w:rsidR="00AE381A" w:rsidRPr="007B16F9">
              <w:rPr>
                <w:rFonts w:eastAsia="Calibri" w:cs="Calibri"/>
                <w:i/>
                <w:iCs/>
              </w:rPr>
              <w:t xml:space="preserve">f </w:t>
            </w:r>
            <w:r w:rsidR="00AE381A" w:rsidRPr="007B16F9">
              <w:rPr>
                <w:rFonts w:cs="Times New Roman"/>
              </w:rPr>
              <w:t xml:space="preserve">the prisons where the convicts will be held are refurbished to </w:t>
            </w:r>
            <w:r w:rsidR="00676B2E">
              <w:rPr>
                <w:rFonts w:cs="Times New Roman"/>
              </w:rPr>
              <w:t>h</w:t>
            </w:r>
            <w:r w:rsidR="00AE381A" w:rsidRPr="007B16F9">
              <w:rPr>
                <w:rFonts w:cs="Times New Roman"/>
              </w:rPr>
              <w:t xml:space="preserve">uman rights standards and </w:t>
            </w:r>
            <w:r w:rsidR="00AE381A" w:rsidRPr="007B16F9">
              <w:rPr>
                <w:rFonts w:cs="Times New Roman"/>
                <w:i/>
                <w:iCs/>
              </w:rPr>
              <w:t>if</w:t>
            </w:r>
            <w:r w:rsidR="00AE381A" w:rsidRPr="007B16F9">
              <w:rPr>
                <w:rFonts w:cs="Times New Roman"/>
              </w:rPr>
              <w:t xml:space="preserve"> the guards are trained in security dynamics and in rehabilitation focus</w:t>
            </w:r>
          </w:p>
        </w:tc>
      </w:tr>
      <w:tr w:rsidR="00676B2E" w:rsidRPr="007B16F9" w:rsidTr="00543D4A">
        <w:tc>
          <w:tcPr>
            <w:tcW w:w="9634" w:type="dxa"/>
            <w:gridSpan w:val="2"/>
            <w:shd w:val="clear" w:color="auto" w:fill="auto"/>
          </w:tcPr>
          <w:p w:rsidR="00676B2E" w:rsidRPr="007B16F9" w:rsidRDefault="00543D4A" w:rsidP="004630C0">
            <w:pPr>
              <w:jc w:val="center"/>
              <w:rPr>
                <w:rFonts w:eastAsia="Calibri" w:cs="Calibri"/>
                <w:i/>
                <w:iCs/>
              </w:rPr>
            </w:pPr>
            <w:r>
              <w:rPr>
                <w:rFonts w:eastAsia="Calibri" w:cs="Calibri"/>
                <w:i/>
                <w:iCs/>
              </w:rPr>
              <w:t>a</w:t>
            </w:r>
            <w:r w:rsidR="00676B2E" w:rsidRPr="007B16F9">
              <w:rPr>
                <w:rFonts w:eastAsia="Calibri" w:cs="Calibri"/>
                <w:i/>
                <w:iCs/>
              </w:rPr>
              <w:t>nd</w:t>
            </w:r>
          </w:p>
        </w:tc>
      </w:tr>
      <w:tr w:rsidR="00AE381A" w:rsidRPr="007B16F9" w:rsidTr="00676B2E">
        <w:tc>
          <w:tcPr>
            <w:tcW w:w="1335" w:type="dxa"/>
            <w:shd w:val="clear" w:color="auto" w:fill="auto"/>
          </w:tcPr>
          <w:p w:rsidR="00AE381A" w:rsidRPr="007B16F9" w:rsidRDefault="00AE381A" w:rsidP="0076616A">
            <w:pPr>
              <w:rPr>
                <w:rFonts w:eastAsia="Calibri" w:cs="Calibri"/>
              </w:rPr>
            </w:pPr>
          </w:p>
        </w:tc>
        <w:tc>
          <w:tcPr>
            <w:tcW w:w="8299" w:type="dxa"/>
            <w:shd w:val="clear" w:color="auto" w:fill="auto"/>
          </w:tcPr>
          <w:p w:rsidR="00AE381A" w:rsidRPr="007B16F9" w:rsidRDefault="00543D4A" w:rsidP="00E234A8">
            <w:pPr>
              <w:rPr>
                <w:rFonts w:eastAsia="Calibri" w:cs="Calibri"/>
              </w:rPr>
            </w:pPr>
            <w:r>
              <w:rPr>
                <w:rFonts w:eastAsia="Calibri" w:cs="Calibri"/>
                <w:i/>
                <w:iCs/>
              </w:rPr>
              <w:t>i</w:t>
            </w:r>
            <w:r w:rsidR="00AE381A" w:rsidRPr="007B16F9">
              <w:rPr>
                <w:rFonts w:eastAsia="Calibri" w:cs="Calibri"/>
                <w:i/>
                <w:iCs/>
              </w:rPr>
              <w:t xml:space="preserve">f </w:t>
            </w:r>
            <w:r w:rsidR="00AE381A" w:rsidRPr="007B16F9">
              <w:rPr>
                <w:rFonts w:cs="Times New Roman"/>
              </w:rPr>
              <w:t>this takes place within the framework supporting the overall implementation of the Yaoundé Code of Conduct and the ECOWAS Integrated Maritime Strategy (EIMS</w:t>
            </w:r>
            <w:r w:rsidR="00E234A8">
              <w:rPr>
                <w:rFonts w:cs="Times New Roman"/>
              </w:rPr>
              <w:t>)</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t</w:t>
            </w:r>
            <w:r w:rsidR="00AE381A" w:rsidRPr="007B16F9">
              <w:rPr>
                <w:rFonts w:eastAsia="Calibri" w:cs="Calibri"/>
                <w:i/>
                <w:iCs/>
              </w:rPr>
              <w:t>hen</w:t>
            </w:r>
          </w:p>
        </w:tc>
      </w:tr>
      <w:tr w:rsidR="00AE381A" w:rsidRPr="007B16F9" w:rsidTr="00676B2E">
        <w:tc>
          <w:tcPr>
            <w:tcW w:w="1335" w:type="dxa"/>
            <w:shd w:val="clear" w:color="auto" w:fill="auto"/>
          </w:tcPr>
          <w:p w:rsidR="00AE381A" w:rsidRPr="007B16F9" w:rsidRDefault="00AE381A" w:rsidP="0076616A">
            <w:pPr>
              <w:rPr>
                <w:rFonts w:eastAsia="Calibri" w:cs="Calibri"/>
              </w:rPr>
            </w:pPr>
            <w:r w:rsidRPr="007B16F9">
              <w:rPr>
                <w:rFonts w:eastAsia="Calibri" w:cs="Calibri"/>
              </w:rPr>
              <w:t>Outcome level</w:t>
            </w:r>
          </w:p>
        </w:tc>
        <w:tc>
          <w:tcPr>
            <w:tcW w:w="8299" w:type="dxa"/>
            <w:shd w:val="clear" w:color="auto" w:fill="auto"/>
          </w:tcPr>
          <w:p w:rsidR="00AE381A" w:rsidRPr="007B16F9" w:rsidRDefault="00543D4A" w:rsidP="0076616A">
            <w:pPr>
              <w:rPr>
                <w:rFonts w:eastAsia="Calibri" w:cs="Calibri"/>
              </w:rPr>
            </w:pPr>
            <w:r>
              <w:rPr>
                <w:rFonts w:eastAsia="Calibri" w:cs="Calibri"/>
              </w:rPr>
              <w:t>t</w:t>
            </w:r>
            <w:r w:rsidR="00AE381A" w:rsidRPr="007B16F9">
              <w:rPr>
                <w:rFonts w:eastAsia="Calibri" w:cs="Calibri"/>
              </w:rPr>
              <w:t>he greater training and coordination will enable the key maritime security actors in the Gulf of Guinea to preclude maritime security threats more effectively and ensure a greater presence at sea</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l</w:t>
            </w:r>
            <w:r w:rsidR="00AE381A" w:rsidRPr="007B16F9">
              <w:rPr>
                <w:rFonts w:eastAsia="Calibri" w:cs="Calibri"/>
                <w:i/>
                <w:iCs/>
              </w:rPr>
              <w:t>eading to</w:t>
            </w:r>
          </w:p>
        </w:tc>
      </w:tr>
      <w:tr w:rsidR="00AE381A" w:rsidRPr="007B16F9" w:rsidTr="00676B2E">
        <w:tc>
          <w:tcPr>
            <w:tcW w:w="1335" w:type="dxa"/>
            <w:shd w:val="clear" w:color="auto" w:fill="auto"/>
          </w:tcPr>
          <w:p w:rsidR="00AE381A" w:rsidRPr="007B16F9" w:rsidRDefault="00AE381A" w:rsidP="0076616A">
            <w:pPr>
              <w:rPr>
                <w:rFonts w:eastAsia="Calibri" w:cs="Calibri"/>
              </w:rPr>
            </w:pPr>
            <w:r w:rsidRPr="007B16F9">
              <w:rPr>
                <w:rFonts w:eastAsia="Calibri" w:cs="Calibri"/>
              </w:rPr>
              <w:t>Impact level</w:t>
            </w:r>
          </w:p>
        </w:tc>
        <w:tc>
          <w:tcPr>
            <w:tcW w:w="8299" w:type="dxa"/>
            <w:shd w:val="clear" w:color="auto" w:fill="auto"/>
          </w:tcPr>
          <w:p w:rsidR="00AE381A" w:rsidRPr="007B16F9" w:rsidRDefault="00543D4A" w:rsidP="0076616A">
            <w:pPr>
              <w:rPr>
                <w:rFonts w:eastAsia="Calibri" w:cs="Calibri"/>
                <w:i/>
                <w:iCs/>
              </w:rPr>
            </w:pPr>
            <w:proofErr w:type="gramStart"/>
            <w:r>
              <w:rPr>
                <w:rFonts w:cs="Times New Roman"/>
              </w:rPr>
              <w:t>i</w:t>
            </w:r>
            <w:r w:rsidR="00AE381A" w:rsidRPr="007B16F9">
              <w:rPr>
                <w:rFonts w:cs="Times New Roman"/>
              </w:rPr>
              <w:t>mproved</w:t>
            </w:r>
            <w:proofErr w:type="gramEnd"/>
            <w:r w:rsidR="00AE381A" w:rsidRPr="007B16F9">
              <w:rPr>
                <w:rFonts w:cs="Times New Roman"/>
              </w:rPr>
              <w:t xml:space="preserve"> levels of maritime safety, stronger regional cooperation, and reduced maritime crime. A key part of this theory of change is that the improved national inter-agency cooperation will also enable more effective and cohesive cooperation with neighbouring countries, which is an important part of the Yaoundé process.</w:t>
            </w:r>
          </w:p>
        </w:tc>
      </w:tr>
      <w:tr w:rsidR="00AE381A" w:rsidRPr="007B16F9" w:rsidTr="0076616A">
        <w:tc>
          <w:tcPr>
            <w:tcW w:w="9634" w:type="dxa"/>
            <w:gridSpan w:val="2"/>
            <w:shd w:val="clear" w:color="auto" w:fill="auto"/>
          </w:tcPr>
          <w:p w:rsidR="00AE381A" w:rsidRPr="007B16F9" w:rsidRDefault="00543D4A" w:rsidP="0076616A">
            <w:pPr>
              <w:jc w:val="center"/>
              <w:rPr>
                <w:rFonts w:eastAsia="Calibri" w:cs="Calibri"/>
                <w:i/>
                <w:iCs/>
              </w:rPr>
            </w:pPr>
            <w:r>
              <w:rPr>
                <w:rFonts w:eastAsia="Calibri" w:cs="Calibri"/>
                <w:i/>
                <w:iCs/>
              </w:rPr>
              <w:t>b</w:t>
            </w:r>
            <w:r w:rsidR="00AE381A" w:rsidRPr="007B16F9">
              <w:rPr>
                <w:rFonts w:eastAsia="Calibri" w:cs="Calibri"/>
                <w:i/>
                <w:iCs/>
              </w:rPr>
              <w:t>ecause</w:t>
            </w:r>
          </w:p>
        </w:tc>
      </w:tr>
      <w:tr w:rsidR="00AE381A" w:rsidRPr="007B16F9" w:rsidTr="00676B2E">
        <w:tc>
          <w:tcPr>
            <w:tcW w:w="1335" w:type="dxa"/>
            <w:shd w:val="clear" w:color="auto" w:fill="auto"/>
          </w:tcPr>
          <w:p w:rsidR="00AE381A" w:rsidRPr="007B16F9" w:rsidRDefault="00AE381A" w:rsidP="0076616A">
            <w:pPr>
              <w:rPr>
                <w:rFonts w:eastAsia="Calibri" w:cs="Calibri"/>
              </w:rPr>
            </w:pPr>
            <w:r w:rsidRPr="007B16F9">
              <w:rPr>
                <w:rFonts w:eastAsia="Calibri" w:cs="Calibri"/>
              </w:rPr>
              <w:t>Assumptions</w:t>
            </w:r>
          </w:p>
        </w:tc>
        <w:tc>
          <w:tcPr>
            <w:tcW w:w="8299" w:type="dxa"/>
            <w:shd w:val="clear" w:color="auto" w:fill="auto"/>
          </w:tcPr>
          <w:p w:rsidR="00AE381A" w:rsidRPr="007B16F9" w:rsidRDefault="00AE381A" w:rsidP="00AE381A">
            <w:pPr>
              <w:pStyle w:val="ListParagraph"/>
              <w:numPr>
                <w:ilvl w:val="0"/>
                <w:numId w:val="43"/>
              </w:numPr>
              <w:jc w:val="left"/>
            </w:pPr>
            <w:proofErr w:type="gramStart"/>
            <w:r w:rsidRPr="007B16F9">
              <w:t>stronger</w:t>
            </w:r>
            <w:proofErr w:type="gramEnd"/>
            <w:r w:rsidRPr="007B16F9">
              <w:t xml:space="preserve"> inter-agency cooperation mechanisms at national and regional level will help facilitate improvements in maritime law enforcement responses to maritime crime, including stronger judicial processes, more fitted prisons, and gender mainstreaming. This assumption reflects good international practice and </w:t>
            </w:r>
            <w:proofErr w:type="gramStart"/>
            <w:r w:rsidRPr="007B16F9">
              <w:t>is strongly recommended</w:t>
            </w:r>
            <w:proofErr w:type="gramEnd"/>
            <w:r w:rsidRPr="007B16F9">
              <w:t xml:space="preserve"> by recent UN, AU, ECOWAS, and ICC documents. </w:t>
            </w:r>
          </w:p>
        </w:tc>
      </w:tr>
      <w:tr w:rsidR="00AE381A" w:rsidRPr="007B16F9" w:rsidTr="0076616A">
        <w:tc>
          <w:tcPr>
            <w:tcW w:w="9634" w:type="dxa"/>
            <w:gridSpan w:val="2"/>
            <w:shd w:val="clear" w:color="auto" w:fill="auto"/>
          </w:tcPr>
          <w:p w:rsidR="00AE381A" w:rsidRPr="00E234A8" w:rsidRDefault="00543D4A" w:rsidP="00E234A8">
            <w:pPr>
              <w:jc w:val="center"/>
            </w:pPr>
            <w:r>
              <w:t>a</w:t>
            </w:r>
            <w:r w:rsidR="00AE381A" w:rsidRPr="00E234A8">
              <w:t>nd assuming the following preconditions apply</w:t>
            </w:r>
          </w:p>
        </w:tc>
      </w:tr>
      <w:tr w:rsidR="00AE381A" w:rsidRPr="007B16F9" w:rsidTr="00676B2E">
        <w:tc>
          <w:tcPr>
            <w:tcW w:w="1335" w:type="dxa"/>
            <w:shd w:val="clear" w:color="auto" w:fill="auto"/>
          </w:tcPr>
          <w:p w:rsidR="00AE381A" w:rsidRPr="007B16F9" w:rsidRDefault="00AE381A" w:rsidP="0076616A">
            <w:pPr>
              <w:rPr>
                <w:rFonts w:eastAsia="Calibri" w:cs="Calibri"/>
              </w:rPr>
            </w:pPr>
          </w:p>
        </w:tc>
        <w:tc>
          <w:tcPr>
            <w:tcW w:w="8299" w:type="dxa"/>
            <w:shd w:val="clear" w:color="auto" w:fill="auto"/>
          </w:tcPr>
          <w:p w:rsidR="00AE381A" w:rsidRPr="007B16F9" w:rsidRDefault="00AE381A" w:rsidP="00E234A8">
            <w:pPr>
              <w:pStyle w:val="ListParagraph"/>
              <w:numPr>
                <w:ilvl w:val="0"/>
                <w:numId w:val="43"/>
              </w:numPr>
              <w:jc w:val="left"/>
            </w:pPr>
            <w:r w:rsidRPr="007B16F9">
              <w:t xml:space="preserve">Other programmatic assumptions </w:t>
            </w:r>
            <w:r w:rsidR="00E234A8">
              <w:t>include that</w:t>
            </w:r>
            <w:r w:rsidRPr="007B16F9">
              <w:t xml:space="preserve"> there is a strong institutional buy-in and ownership from relevant maritime agencies in Benin, Cameroon, Côte d’Ivoire, Ghana, Nigeria, and Togo. There are clear indications from stakeholders in both countries substantiating their interest in the establishment o</w:t>
            </w:r>
            <w:r w:rsidR="00E234A8">
              <w:t>f</w:t>
            </w:r>
            <w:r w:rsidRPr="007B16F9">
              <w:t xml:space="preserve"> these centres. The engagement will utilise a mix of approaches, including political dialogue, to generate the continued, sufficient traction and political buy-in required for a robust Danish contribution via UNODC.</w:t>
            </w:r>
          </w:p>
        </w:tc>
      </w:tr>
    </w:tbl>
    <w:p w:rsidR="00E72B0D" w:rsidRDefault="00E72B0D">
      <w:pPr>
        <w:jc w:val="left"/>
        <w:rPr>
          <w:rFonts w:eastAsiaTheme="majorEastAsia" w:cstheme="majorBidi"/>
          <w:b/>
          <w:color w:val="4F81BD" w:themeColor="accent1"/>
          <w:sz w:val="26"/>
          <w:szCs w:val="26"/>
        </w:rPr>
      </w:pPr>
      <w:r>
        <w:br w:type="page"/>
      </w:r>
    </w:p>
    <w:p w:rsidR="00635B87" w:rsidRDefault="00D32264" w:rsidP="0076616A">
      <w:pPr>
        <w:pStyle w:val="Heading2"/>
      </w:pPr>
      <w:bookmarkStart w:id="3" w:name="_Toc89077031"/>
      <w:r>
        <w:t>PSE 1 – Results Framework</w:t>
      </w:r>
      <w:bookmarkEnd w:id="3"/>
    </w:p>
    <w:tbl>
      <w:tblPr>
        <w:tblW w:w="0" w:type="auto"/>
        <w:tblInd w:w="-10" w:type="dxa"/>
        <w:tblLook w:val="04A0" w:firstRow="1" w:lastRow="0" w:firstColumn="1" w:lastColumn="0" w:noHBand="0" w:noVBand="1"/>
      </w:tblPr>
      <w:tblGrid>
        <w:gridCol w:w="1149"/>
        <w:gridCol w:w="683"/>
        <w:gridCol w:w="777"/>
        <w:gridCol w:w="6877"/>
      </w:tblGrid>
      <w:tr w:rsidR="00235E67" w:rsidRPr="007B16F9" w:rsidTr="0076616A">
        <w:trPr>
          <w:trHeight w:val="60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235E67" w:rsidRPr="007B16F9" w:rsidRDefault="00235E67" w:rsidP="0076616A">
            <w:pPr>
              <w:rPr>
                <w:b/>
                <w:bCs/>
              </w:rPr>
            </w:pPr>
            <w:r w:rsidRPr="007B16F9">
              <w:rPr>
                <w:b/>
                <w:bCs/>
              </w:rPr>
              <w:t>Project objective</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The criminal justice systems in Benin, Cameroon, Côte d’Ivoire, Ghana, Nigeria, and Togo are responding to the threat of maritime crime</w:t>
            </w:r>
            <w:r w:rsidR="00CF3D5B">
              <w:t>.</w:t>
            </w:r>
          </w:p>
        </w:tc>
      </w:tr>
      <w:tr w:rsidR="00235E67" w:rsidRPr="007B16F9" w:rsidTr="0076616A">
        <w:trPr>
          <w:trHeight w:val="68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235E67" w:rsidRPr="007B16F9" w:rsidRDefault="00235E67" w:rsidP="0076616A">
            <w:r w:rsidRPr="007B16F9">
              <w:t>Impact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 xml:space="preserve">Benin, Cameroon, Côte d’Ivoire, Ghana, Nigeria, and Togo can apply inter-agency approaches to maritime crime, while confidently handing over suspects with the ability to incarcerate the accused in accordance with </w:t>
            </w:r>
            <w:r w:rsidR="00A02F2E">
              <w:t>H</w:t>
            </w:r>
            <w:r w:rsidRPr="007B16F9">
              <w:t xml:space="preserve">uman </w:t>
            </w:r>
            <w:r w:rsidR="00A02F2E">
              <w:t>R</w:t>
            </w:r>
            <w:r w:rsidRPr="007B16F9">
              <w:t xml:space="preserve">ights principles. </w:t>
            </w:r>
          </w:p>
          <w:p w:rsidR="00235E67" w:rsidRPr="007B16F9" w:rsidRDefault="00235E67" w:rsidP="0076616A">
            <w:r w:rsidRPr="007B16F9">
              <w:t>Ratio of cases handed over and ratio of personnel in the entire justice chain increase year over year.</w:t>
            </w:r>
          </w:p>
        </w:tc>
      </w:tr>
      <w:tr w:rsidR="00235E67" w:rsidRPr="007B16F9" w:rsidTr="0076616A">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Little or no legal finish for maritime crimes</w:t>
            </w:r>
            <w:r w:rsidR="00CF3D5B">
              <w:t>.</w:t>
            </w:r>
          </w:p>
        </w:tc>
      </w:tr>
      <w:tr w:rsidR="00235E67" w:rsidRPr="007B16F9" w:rsidTr="0076616A">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2026</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Ratio between arrest and legal finish with HR compliant detention in all targeted countries for maritime crimes is increased</w:t>
            </w:r>
            <w:r w:rsidR="00CF3D5B">
              <w:t>.</w:t>
            </w:r>
          </w:p>
        </w:tc>
      </w:tr>
      <w:tr w:rsidR="00235E67" w:rsidRPr="007B16F9"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235E67" w:rsidRPr="007B16F9" w:rsidRDefault="00235E67" w:rsidP="0076616A">
            <w:pPr>
              <w:rPr>
                <w:b/>
                <w:bCs/>
              </w:rPr>
            </w:pPr>
            <w:bookmarkStart w:id="4" w:name="_Hlk78053616"/>
            <w:bookmarkStart w:id="5" w:name="_Hlk80212711"/>
            <w:r w:rsidRPr="007B16F9">
              <w:rPr>
                <w:b/>
                <w:bCs/>
              </w:rPr>
              <w:t>Outcome 1</w:t>
            </w:r>
          </w:p>
        </w:tc>
        <w:tc>
          <w:tcPr>
            <w:tcW w:w="0" w:type="auto"/>
            <w:gridSpan w:val="2"/>
            <w:tcBorders>
              <w:top w:val="single" w:sz="8" w:space="0" w:color="auto"/>
              <w:left w:val="nil"/>
              <w:bottom w:val="nil"/>
              <w:right w:val="single" w:sz="8" w:space="0" w:color="000000"/>
            </w:tcBorders>
            <w:shd w:val="clear" w:color="auto" w:fill="auto"/>
            <w:vAlign w:val="center"/>
            <w:hideMark/>
          </w:tcPr>
          <w:p w:rsidR="00235E67" w:rsidRPr="007B16F9" w:rsidRDefault="00235E67" w:rsidP="0076616A">
            <w:r w:rsidRPr="007B16F9">
              <w:t>Civilian maritime law enforcement agency personnel from Zone E (Togo, Benin,</w:t>
            </w:r>
            <w:r w:rsidR="00CF3D5B">
              <w:t xml:space="preserve"> and</w:t>
            </w:r>
            <w:r w:rsidRPr="007B16F9">
              <w:t xml:space="preserve"> Nigeria), Zone D (Camero</w:t>
            </w:r>
            <w:r w:rsidR="00A02F2E">
              <w:t>o</w:t>
            </w:r>
            <w:r w:rsidRPr="007B16F9">
              <w:t>n)</w:t>
            </w:r>
            <w:r w:rsidR="00CF3D5B">
              <w:t>,</w:t>
            </w:r>
            <w:r w:rsidRPr="007B16F9">
              <w:t xml:space="preserve"> and Zone F (Côte d’Ivoire</w:t>
            </w:r>
            <w:r w:rsidR="00CF3D5B">
              <w:t xml:space="preserve"> and</w:t>
            </w:r>
            <w:r w:rsidRPr="007B16F9">
              <w:t xml:space="preserve"> Ghana) can detect, interdict, arrest</w:t>
            </w:r>
            <w:r w:rsidR="00CF3D5B">
              <w:t>,</w:t>
            </w:r>
            <w:r w:rsidRPr="007B16F9">
              <w:t xml:space="preserve"> and seize in the maritime domain, enhancing coordination between UNODC and INTERPOL</w:t>
            </w:r>
            <w:r w:rsidR="00960F3A">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235E67" w:rsidRPr="007B16F9" w:rsidRDefault="00235E67" w:rsidP="0076616A">
            <w:r w:rsidRPr="007B16F9">
              <w:t>Outcome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Year over year, civilian maritime law enforcers from beneficiary countries are conducting more frequent VBSS by using MDA</w:t>
            </w:r>
            <w:r w:rsidR="00960F3A">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No frequent use of MDA technology and lack of VBSS capacities</w:t>
            </w:r>
            <w:r w:rsidR="00960F3A">
              <w:t>.</w:t>
            </w:r>
          </w:p>
        </w:tc>
      </w:tr>
      <w:tr w:rsidR="00235E67" w:rsidRPr="007B16F9"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Law enforcement personnel from target countries have increased VBSS capabilities</w:t>
            </w:r>
            <w:r w:rsidR="00960F3A">
              <w:t xml:space="preserve">, </w:t>
            </w:r>
            <w:r w:rsidRPr="007B16F9">
              <w:t>applying MDA techniques in maritime interception operations</w:t>
            </w:r>
            <w:r w:rsidR="00960F3A">
              <w:t>.</w:t>
            </w:r>
          </w:p>
        </w:tc>
      </w:tr>
      <w:bookmarkEnd w:id="4"/>
      <w:bookmarkEnd w:id="5"/>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pPr>
              <w:rPr>
                <w:b/>
                <w:bCs/>
              </w:rPr>
            </w:pPr>
            <w:r w:rsidRPr="007B16F9">
              <w:rPr>
                <w:b/>
                <w:bCs/>
              </w:rPr>
              <w:t>Output 1.1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 xml:space="preserve">Civilian </w:t>
            </w:r>
            <w:r w:rsidR="00960F3A">
              <w:t>m</w:t>
            </w:r>
            <w:r w:rsidRPr="007B16F9">
              <w:t>aritime law enforcement (MLE) personnel of beneficiary countries apply MDA tools in VBSS</w:t>
            </w:r>
            <w:r w:rsidR="00960F3A">
              <w:t>.</w:t>
            </w:r>
          </w:p>
        </w:tc>
      </w:tr>
      <w:tr w:rsidR="00235E67" w:rsidRPr="007B16F9" w:rsidTr="0076616A">
        <w:trPr>
          <w:trHeight w:val="70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1.1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 xml:space="preserve">Increased ratio of maritime interdiction operations initiated using MDA tools. </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MDA tools under-used on day-to-day operations</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2026</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MLE usage of MDA tools is part of standard operating procedures in targeted countries</w:t>
            </w:r>
            <w:r w:rsidR="00960F3A">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pPr>
              <w:rPr>
                <w:b/>
                <w:bCs/>
              </w:rPr>
            </w:pPr>
            <w:bookmarkStart w:id="6" w:name="_Hlk80038387"/>
            <w:r w:rsidRPr="007B16F9">
              <w:rPr>
                <w:b/>
                <w:bCs/>
              </w:rPr>
              <w:t>Output 1.2</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960F3A">
            <w:r w:rsidRPr="007B16F9">
              <w:t>VBSS training centres established in Ghana and Nigeria</w:t>
            </w:r>
            <w:r w:rsidR="00960F3A">
              <w:t xml:space="preserve">, which </w:t>
            </w:r>
            <w:proofErr w:type="gramStart"/>
            <w:r w:rsidR="00960F3A">
              <w:t>are</w:t>
            </w:r>
            <w:r w:rsidRPr="007B16F9">
              <w:t xml:space="preserve"> used</w:t>
            </w:r>
            <w:proofErr w:type="gramEnd"/>
            <w:r w:rsidRPr="007B16F9">
              <w:t xml:space="preserve"> to deliver training in French and English to MLE agencies’ personnel</w:t>
            </w:r>
            <w:r w:rsidR="00960F3A">
              <w:t xml:space="preserve"> in beneficiary countries</w:t>
            </w:r>
            <w:r w:rsidRPr="007B16F9">
              <w:t xml:space="preserve"> through 19 civilian VBSS trainings for 376 MLE participants</w:t>
            </w:r>
            <w:r w:rsidR="0053307D">
              <w:t>,</w:t>
            </w:r>
            <w:r w:rsidRPr="007B16F9">
              <w:t xml:space="preserve"> of which 16 participants achieve Certified National </w:t>
            </w:r>
            <w:r w:rsidR="00960F3A">
              <w:t>I</w:t>
            </w:r>
            <w:r w:rsidRPr="007B16F9">
              <w:t>nstructor level</w:t>
            </w:r>
            <w:r w:rsidR="00960F3A">
              <w:t>.</w:t>
            </w:r>
          </w:p>
        </w:tc>
      </w:tr>
      <w:bookmarkEnd w:id="6"/>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1.2</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19 civilian VBSS trainings for 376 MLE participants of whom 16 participants achieve Certified National Instructor level</w:t>
            </w:r>
            <w:r w:rsidR="00960F3A">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bookmarkStart w:id="7" w:name="_Hlk80038499"/>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0 civilians trained under this project</w:t>
            </w:r>
            <w:r w:rsidR="00960F3A">
              <w:t>.</w:t>
            </w:r>
          </w:p>
        </w:tc>
      </w:tr>
      <w:bookmarkEnd w:id="7"/>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0 civilians trained under this project</w:t>
            </w:r>
            <w:r w:rsidR="00960F3A">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2023</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76 civilians maritime law enforcers (M/F) trained in VBSS</w:t>
            </w:r>
            <w:r w:rsidR="0053307D">
              <w:t>,</w:t>
            </w:r>
            <w:r w:rsidRPr="007B16F9">
              <w:t xml:space="preserve"> of which 4 reach Certified National Instructor level (gender disaggregated)</w:t>
            </w:r>
            <w:r w:rsidR="00960F3A">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2024</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100 </w:t>
            </w:r>
            <w:proofErr w:type="gramStart"/>
            <w:r w:rsidRPr="007B16F9">
              <w:t>civilians</w:t>
            </w:r>
            <w:proofErr w:type="gramEnd"/>
            <w:r w:rsidRPr="007B16F9">
              <w:t xml:space="preserve"> maritime law enforcers (M/F) trained in VBSS</w:t>
            </w:r>
            <w:r w:rsidR="0053307D">
              <w:t>,</w:t>
            </w:r>
            <w:r w:rsidRPr="007B16F9">
              <w:t xml:space="preserve"> of which 4 Certified National Instructor level</w:t>
            </w:r>
            <w:r w:rsidRPr="007B16F9" w:rsidDel="00376BC1">
              <w:t xml:space="preserve"> </w:t>
            </w:r>
            <w:r w:rsidRPr="007B16F9">
              <w:t>(gender disaggregated)</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 xml:space="preserve">Target </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2025</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100 </w:t>
            </w:r>
            <w:proofErr w:type="gramStart"/>
            <w:r w:rsidRPr="007B16F9">
              <w:t>civilians</w:t>
            </w:r>
            <w:proofErr w:type="gramEnd"/>
            <w:r w:rsidRPr="007B16F9">
              <w:t xml:space="preserve"> maritime law enforcers (M/F) trained in VBSS</w:t>
            </w:r>
            <w:r w:rsidR="0053307D">
              <w:t>,</w:t>
            </w:r>
            <w:r w:rsidRPr="007B16F9">
              <w:t xml:space="preserve"> of which 4 Certified National Instructor level</w:t>
            </w:r>
            <w:r w:rsidRPr="007B16F9" w:rsidDel="00376BC1">
              <w:t xml:space="preserve"> </w:t>
            </w:r>
            <w:r w:rsidRPr="007B16F9">
              <w:t>(gender disaggregated)</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100 civilians maritime law enforcers (M/F) trained in VBSS</w:t>
            </w:r>
            <w:r w:rsidR="0053307D">
              <w:t>,</w:t>
            </w:r>
            <w:r w:rsidRPr="007B16F9">
              <w:t xml:space="preserve"> of which 4 reach Certified National Instructor level</w:t>
            </w:r>
            <w:r w:rsidRPr="007B16F9" w:rsidDel="00376BC1">
              <w:t xml:space="preserve"> </w:t>
            </w:r>
            <w:r w:rsidRPr="007B16F9">
              <w:t>(gender disaggregated)</w:t>
            </w:r>
            <w:r w:rsidR="001D6B21">
              <w:t>.</w:t>
            </w:r>
          </w:p>
        </w:tc>
      </w:tr>
      <w:tr w:rsidR="00235E67" w:rsidRPr="007B16F9"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235E67" w:rsidRPr="007B16F9" w:rsidRDefault="00235E67" w:rsidP="0076616A">
            <w:pPr>
              <w:rPr>
                <w:b/>
                <w:bCs/>
              </w:rPr>
            </w:pPr>
            <w:r w:rsidRPr="007B16F9">
              <w:rPr>
                <w:b/>
                <w:bCs/>
              </w:rPr>
              <w:t>Outcome 2</w:t>
            </w:r>
          </w:p>
        </w:tc>
        <w:tc>
          <w:tcPr>
            <w:tcW w:w="0" w:type="auto"/>
            <w:gridSpan w:val="2"/>
            <w:tcBorders>
              <w:top w:val="single" w:sz="8" w:space="0" w:color="auto"/>
              <w:left w:val="nil"/>
              <w:bottom w:val="nil"/>
              <w:right w:val="single" w:sz="8" w:space="0" w:color="000000"/>
            </w:tcBorders>
            <w:shd w:val="clear" w:color="auto" w:fill="auto"/>
            <w:vAlign w:val="center"/>
          </w:tcPr>
          <w:p w:rsidR="00235E67" w:rsidRPr="007B16F9" w:rsidRDefault="00235E67" w:rsidP="0076616A">
            <w:r w:rsidRPr="007B16F9">
              <w:t xml:space="preserve">Efficient prosecution of maritime crime suspects in target countries and human rights compliant detention facilities for maritime crimes in Togo </w:t>
            </w:r>
            <w:r w:rsidR="007F2DC4">
              <w:t xml:space="preserve">and </w:t>
            </w:r>
            <w:r w:rsidRPr="007B16F9">
              <w:t>or Nigeria.</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235E67" w:rsidRPr="007B16F9" w:rsidRDefault="00235E67" w:rsidP="0076616A">
            <w:r w:rsidRPr="007B16F9">
              <w:t>Outcome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Ratio of suspects convicted in piracy and other maritime crime have increased in the (specified countries) while a dedicated wing for piracy and maritime crime convicts is operational in Togo</w:t>
            </w:r>
            <w:r w:rsidR="00A02F2E">
              <w:t xml:space="preserve"> /</w:t>
            </w:r>
            <w:r w:rsidRPr="007B16F9">
              <w:t>Nigeria</w:t>
            </w:r>
            <w:r w:rsidR="00A02F2E">
              <w:t xml:space="preserve"> (pending inception report in 2022)</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19 convictions for piracy following successful handover, of which 10 in Nigeria and 9 in Togo. </w:t>
            </w:r>
          </w:p>
        </w:tc>
      </w:tr>
      <w:tr w:rsidR="00235E67" w:rsidRPr="007B16F9"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At least 90 piracy suspects </w:t>
            </w:r>
            <w:proofErr w:type="gramStart"/>
            <w:r w:rsidRPr="007B16F9">
              <w:t>are prosecuted and detained in compliance with HR law</w:t>
            </w:r>
            <w:r w:rsidR="00A02F2E">
              <w:t xml:space="preserve"> (pending inception report in 2022)</w:t>
            </w:r>
            <w:proofErr w:type="gramEnd"/>
            <w:r w:rsidR="001D6B21">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2.1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 xml:space="preserve">National authorities </w:t>
            </w:r>
            <w:proofErr w:type="gramStart"/>
            <w:r w:rsidRPr="007B16F9">
              <w:t>are supported</w:t>
            </w:r>
            <w:proofErr w:type="gramEnd"/>
            <w:r w:rsidRPr="007B16F9">
              <w:t xml:space="preserve"> in implementing handover agreements with international navies</w:t>
            </w:r>
            <w:r w:rsidR="001D6B21">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2.1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Draft and Final handover agreements developed between Benin, Cameroun, Côte d’Ivoire, Ghana, Nigeria, and Togo</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existing handover agreements implemented</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1D6B21">
            <w:r w:rsidRPr="007B16F9">
              <w:t>At least five</w:t>
            </w:r>
            <w:r w:rsidR="001D6B21">
              <w:t xml:space="preserve"> (5)</w:t>
            </w:r>
            <w:r w:rsidRPr="007B16F9">
              <w:t xml:space="preserve"> handover agreements finalised and implemented</w:t>
            </w:r>
            <w:r w:rsidR="001D6B21">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2.2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 xml:space="preserve">Convicts of maritime crimes (specifically piracy) in the GoG </w:t>
            </w:r>
            <w:proofErr w:type="gramStart"/>
            <w:r w:rsidRPr="007B16F9">
              <w:t xml:space="preserve">are detained in compliance with </w:t>
            </w:r>
            <w:r w:rsidR="001D6B21">
              <w:t>h</w:t>
            </w:r>
            <w:r w:rsidRPr="007B16F9">
              <w:t xml:space="preserve">uman </w:t>
            </w:r>
            <w:r w:rsidR="001D6B21">
              <w:t>r</w:t>
            </w:r>
            <w:r w:rsidRPr="007B16F9">
              <w:t>ights principles and geared towards rehabilitation</w:t>
            </w:r>
            <w:proofErr w:type="gramEnd"/>
            <w:r w:rsidR="001D6B21">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2.2</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 xml:space="preserve">Needs assessed for prisons to </w:t>
            </w:r>
            <w:proofErr w:type="gramStart"/>
            <w:r w:rsidRPr="007B16F9">
              <w:t>be held up</w:t>
            </w:r>
            <w:proofErr w:type="gramEnd"/>
            <w:r w:rsidRPr="007B16F9">
              <w:t xml:space="preserve"> to international standards in Nigeria and Togo</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Assessment in Nigeria prison: need for refurbishment</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Prison assessment report informs selection of project</w:t>
            </w:r>
            <w:r w:rsidR="001D6B21">
              <w:t>-</w:t>
            </w:r>
            <w:r w:rsidRPr="007B16F9">
              <w:t>supported prison in Togo or Nigeria</w:t>
            </w:r>
            <w:r w:rsidR="001D6B21">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 xml:space="preserve">Output Indicator 2.3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At minimum one (1) wing, maximum two (2) wings in prisons in Togo and</w:t>
            </w:r>
            <w:r w:rsidR="001D6B21">
              <w:t>/</w:t>
            </w:r>
            <w:r w:rsidRPr="007B16F9">
              <w:t xml:space="preserve">or Nigeria </w:t>
            </w:r>
            <w:proofErr w:type="gramStart"/>
            <w:r w:rsidRPr="007B16F9">
              <w:t>are refurbished</w:t>
            </w:r>
            <w:proofErr w:type="gramEnd"/>
            <w:r w:rsidRPr="007B16F9">
              <w:t xml:space="preserve"> to cater for up to 70 convicts of piracy and other maritime crimes</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Prisons in Nigeria and Togo not compliant with international standards</w:t>
            </w:r>
            <w:r w:rsidR="001D6B21">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Prison wing(s) in Togo and/or Nigeria refurbished for capacity of 70 convicts of maritime crime</w:t>
            </w:r>
            <w:r w:rsidR="001D6B21">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2.4</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 xml:space="preserve">10 prison guards (M/F) </w:t>
            </w:r>
            <w:proofErr w:type="gramStart"/>
            <w:r w:rsidRPr="007B16F9">
              <w:t>are trained</w:t>
            </w:r>
            <w:proofErr w:type="gramEnd"/>
            <w:r w:rsidRPr="007B16F9">
              <w:t xml:space="preserve"> in dynamic security and in delivering vocational training programs through mentoring</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No prison guards </w:t>
            </w:r>
            <w:proofErr w:type="gramStart"/>
            <w:r w:rsidRPr="007B16F9">
              <w:t>are trained</w:t>
            </w:r>
            <w:proofErr w:type="gramEnd"/>
            <w:r w:rsidRPr="007B16F9">
              <w:t xml:space="preserve"> in dynamic security nor vocational trainings</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Guards to </w:t>
            </w:r>
            <w:proofErr w:type="gramStart"/>
            <w:r w:rsidRPr="007B16F9">
              <w:t>be trained</w:t>
            </w:r>
            <w:proofErr w:type="gramEnd"/>
            <w:r w:rsidRPr="007B16F9">
              <w:t xml:space="preserve"> are selected</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2023</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10 prison guards (M/F) </w:t>
            </w:r>
            <w:proofErr w:type="gramStart"/>
            <w:r w:rsidRPr="007B16F9">
              <w:t>have been mentored</w:t>
            </w:r>
            <w:proofErr w:type="gramEnd"/>
            <w:r w:rsidRPr="007B16F9">
              <w:t xml:space="preserve"> for a period of three (3) months in dynamic security and in delivering vocational training programs</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2024</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10 prison guards (M/F) </w:t>
            </w:r>
            <w:proofErr w:type="gramStart"/>
            <w:r w:rsidRPr="007B16F9">
              <w:t>have been mentored</w:t>
            </w:r>
            <w:proofErr w:type="gramEnd"/>
            <w:r w:rsidRPr="007B16F9">
              <w:t xml:space="preserve"> for a period of five (5) months in dynamic security and in delivering vocational training programs</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 xml:space="preserve">Target </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2025</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10 prison guards (M/F) </w:t>
            </w:r>
            <w:proofErr w:type="gramStart"/>
            <w:r w:rsidRPr="007B16F9">
              <w:t>have been mentored</w:t>
            </w:r>
            <w:proofErr w:type="gramEnd"/>
            <w:r w:rsidRPr="007B16F9">
              <w:t xml:space="preserve"> for a period of five (5) months in dynamic security and in delivering vocational training programs</w:t>
            </w:r>
            <w:r w:rsidR="00424320">
              <w:t>.</w:t>
            </w:r>
          </w:p>
        </w:tc>
      </w:tr>
      <w:tr w:rsidR="00235E67" w:rsidRPr="007B16F9"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235E67" w:rsidRPr="007B16F9" w:rsidRDefault="00235E67" w:rsidP="0076616A">
            <w:pPr>
              <w:rPr>
                <w:b/>
                <w:bCs/>
              </w:rPr>
            </w:pPr>
            <w:r w:rsidRPr="007B16F9">
              <w:rPr>
                <w:b/>
                <w:bCs/>
              </w:rPr>
              <w:t>Outcome 3</w:t>
            </w:r>
          </w:p>
        </w:tc>
        <w:tc>
          <w:tcPr>
            <w:tcW w:w="0" w:type="auto"/>
            <w:gridSpan w:val="2"/>
            <w:tcBorders>
              <w:top w:val="single" w:sz="8" w:space="0" w:color="auto"/>
              <w:left w:val="nil"/>
              <w:bottom w:val="nil"/>
              <w:right w:val="single" w:sz="8" w:space="0" w:color="000000"/>
            </w:tcBorders>
            <w:shd w:val="clear" w:color="auto" w:fill="auto"/>
            <w:vAlign w:val="center"/>
          </w:tcPr>
          <w:p w:rsidR="00235E67" w:rsidRPr="007B16F9" w:rsidRDefault="00235E67" w:rsidP="0076616A">
            <w:r w:rsidRPr="007B16F9">
              <w:t xml:space="preserve">Gender roles and implementation of UNSCR 1325/Women Peace and Security in relation to maritime crimes in the GoG </w:t>
            </w:r>
            <w:proofErr w:type="gramStart"/>
            <w:r w:rsidRPr="007B16F9">
              <w:t>are better addressed</w:t>
            </w:r>
            <w:proofErr w:type="gramEnd"/>
            <w:r w:rsidRPr="007B16F9">
              <w:t xml:space="preserve"> through research-based training of Navy and MLE personnel and maritime policy and decision</w:t>
            </w:r>
            <w:r w:rsidR="00424320">
              <w:t>-</w:t>
            </w:r>
            <w:r w:rsidRPr="007B16F9">
              <w:t>makers provided by UNODC and KAIPTC</w:t>
            </w:r>
            <w:r w:rsidR="00424320">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235E67" w:rsidRPr="007B16F9" w:rsidRDefault="00235E67" w:rsidP="0076616A">
            <w:r w:rsidRPr="007B16F9">
              <w:t>Outcome indicator 3.1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424320" w:rsidP="00424320">
            <w:r>
              <w:t>Starting in 2023, a</w:t>
            </w:r>
            <w:r w:rsidR="00235E67" w:rsidRPr="007B16F9">
              <w:t xml:space="preserve">t minimum one (1) training </w:t>
            </w:r>
            <w:proofErr w:type="gramStart"/>
            <w:r w:rsidR="00235E67" w:rsidRPr="007B16F9">
              <w:t>is developed</w:t>
            </w:r>
            <w:proofErr w:type="gramEnd"/>
            <w:r w:rsidR="00235E67" w:rsidRPr="007B16F9">
              <w:t xml:space="preserve"> every year to mainstream gender in maritime law enforcement, with standard procedures developed for Women, Peace and Security in the maritime sector</w:t>
            </w:r>
            <w:r>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training targeted to gender mainstreaming in MLE</w:t>
            </w:r>
            <w:r w:rsidR="00424320">
              <w:t>.</w:t>
            </w:r>
          </w:p>
          <w:p w:rsidR="00235E67" w:rsidRPr="007B16F9" w:rsidRDefault="00235E67" w:rsidP="0076616A">
            <w:r w:rsidRPr="007B16F9">
              <w:t>No WPS procedures</w:t>
            </w:r>
            <w:r w:rsidR="00424320">
              <w:t>.</w:t>
            </w:r>
          </w:p>
        </w:tc>
      </w:tr>
      <w:tr w:rsidR="00235E67" w:rsidRPr="007B16F9"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Four (4) training courses realised in collaboration with KAIPTC</w:t>
            </w:r>
            <w:r w:rsidR="00424320">
              <w:t>.</w:t>
            </w:r>
          </w:p>
          <w:p w:rsidR="00235E67" w:rsidRPr="007B16F9" w:rsidRDefault="00235E67" w:rsidP="0076616A">
            <w:r w:rsidRPr="007B16F9">
              <w:t>WPS procedures developed</w:t>
            </w:r>
            <w:r w:rsidR="00424320">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3.1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pPr>
              <w:ind w:left="360" w:hanging="360"/>
              <w:rPr>
                <w:rFonts w:cs="Calibri"/>
                <w:color w:val="000000"/>
              </w:rPr>
            </w:pPr>
            <w:r w:rsidRPr="007B16F9">
              <w:rPr>
                <w:rFonts w:cs="Calibri"/>
                <w:color w:val="000000"/>
              </w:rPr>
              <w:t>WPS standard procedure training manual developed</w:t>
            </w:r>
            <w:r w:rsidR="00424320">
              <w:rPr>
                <w:rFonts w:cs="Calibri"/>
                <w:color w:val="000000"/>
              </w:rPr>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3.1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WPS training manual (French and English versions)</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WPS training manual</w:t>
            </w:r>
            <w:r w:rsidR="00424320">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2022</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Training manual materials in French and English</w:t>
            </w:r>
            <w:r w:rsidR="00424320">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3.2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54AED">
            <w:r w:rsidRPr="007B16F9">
              <w:rPr>
                <w:rFonts w:cs="Calibri"/>
                <w:color w:val="000000"/>
              </w:rPr>
              <w:t>Four (4) trainings on gender and Women Peace and Security delivered to 12 participant</w:t>
            </w:r>
            <w:r w:rsidR="00754AED">
              <w:rPr>
                <w:rFonts w:cs="Calibri"/>
                <w:color w:val="000000"/>
              </w:rPr>
              <w:t>,</w:t>
            </w:r>
            <w:r w:rsidRPr="007B16F9">
              <w:rPr>
                <w:rFonts w:cs="Calibri"/>
                <w:color w:val="000000"/>
              </w:rPr>
              <w:t xml:space="preserve"> each delivered in collaboration with KAIPTC</w:t>
            </w:r>
            <w:r w:rsidR="00754AED">
              <w:rPr>
                <w:rFonts w:cs="Calibri"/>
                <w:color w:val="000000"/>
              </w:rPr>
              <w:t>,</w:t>
            </w:r>
            <w:r w:rsidRPr="007B16F9">
              <w:rPr>
                <w:rFonts w:cs="Calibri"/>
                <w:color w:val="000000"/>
              </w:rPr>
              <w:t xml:space="preserve"> training </w:t>
            </w:r>
            <w:proofErr w:type="gramStart"/>
            <w:r w:rsidRPr="007B16F9">
              <w:rPr>
                <w:rFonts w:cs="Calibri"/>
                <w:color w:val="000000"/>
              </w:rPr>
              <w:t>48 law</w:t>
            </w:r>
            <w:proofErr w:type="gramEnd"/>
            <w:r w:rsidRPr="007B16F9">
              <w:rPr>
                <w:rFonts w:cs="Calibri"/>
                <w:color w:val="000000"/>
              </w:rPr>
              <w:t xml:space="preserve"> enforcement personnel (M/F) from beneficiary countries in WPS</w:t>
            </w:r>
            <w:r w:rsidR="00754AED">
              <w:rPr>
                <w:rFonts w:cs="Calibri"/>
                <w:color w:val="000000"/>
              </w:rPr>
              <w:t>.</w:t>
            </w:r>
          </w:p>
        </w:tc>
      </w:tr>
      <w:tr w:rsidR="00235E67" w:rsidRPr="007B16F9" w:rsidTr="004630C0">
        <w:trPr>
          <w:trHeight w:val="760"/>
        </w:trPr>
        <w:tc>
          <w:tcPr>
            <w:tcW w:w="1832" w:type="dxa"/>
            <w:gridSpan w:val="2"/>
            <w:tcBorders>
              <w:top w:val="single" w:sz="8" w:space="0" w:color="auto"/>
              <w:left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3.2</w:t>
            </w:r>
          </w:p>
        </w:tc>
        <w:tc>
          <w:tcPr>
            <w:tcW w:w="0" w:type="auto"/>
            <w:gridSpan w:val="2"/>
            <w:tcBorders>
              <w:top w:val="single" w:sz="8" w:space="0" w:color="auto"/>
              <w:left w:val="nil"/>
              <w:right w:val="single" w:sz="8" w:space="0" w:color="000000"/>
            </w:tcBorders>
            <w:shd w:val="clear" w:color="auto" w:fill="auto"/>
            <w:vAlign w:val="center"/>
            <w:hideMark/>
          </w:tcPr>
          <w:p w:rsidR="00235E67" w:rsidRPr="007B16F9" w:rsidRDefault="00235E67" w:rsidP="0076616A">
            <w:r w:rsidRPr="007B16F9">
              <w:t>Project records of our (4) trainings on gender and Women Peace and Security delivered to 12 participant</w:t>
            </w:r>
            <w:r w:rsidR="00754AED">
              <w:t>,</w:t>
            </w:r>
            <w:r w:rsidRPr="007B16F9">
              <w:t xml:space="preserve"> each delivered in collaboration with KAIPTC</w:t>
            </w:r>
            <w:r w:rsidR="00754AED">
              <w:t>,</w:t>
            </w:r>
            <w:r w:rsidRPr="007B16F9">
              <w:t xml:space="preserve"> that in total </w:t>
            </w:r>
            <w:r w:rsidR="00754AED">
              <w:t xml:space="preserve">amount to </w:t>
            </w:r>
            <w:r w:rsidRPr="007B16F9">
              <w:t>48 law enforcement personnel (M/F) from beneficiary countries trained in WPS</w:t>
            </w:r>
            <w:r w:rsidR="00754AED">
              <w:t>.</w:t>
            </w:r>
          </w:p>
        </w:tc>
      </w:tr>
      <w:tr w:rsidR="00235E67" w:rsidRPr="007B16F9" w:rsidTr="004630C0">
        <w:trPr>
          <w:trHeight w:val="340"/>
        </w:trPr>
        <w:tc>
          <w:tcPr>
            <w:tcW w:w="1149" w:type="dxa"/>
            <w:tcBorders>
              <w:top w:val="nil"/>
              <w:left w:val="single" w:sz="8"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35E67" w:rsidRPr="007B16F9" w:rsidRDefault="00235E67" w:rsidP="0076616A">
            <w:r w:rsidRPr="007B16F9">
              <w:t>2021</w:t>
            </w:r>
          </w:p>
        </w:tc>
        <w:tc>
          <w:tcPr>
            <w:tcW w:w="0" w:type="auto"/>
            <w:tcBorders>
              <w:top w:val="nil"/>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No WPS training</w:t>
            </w:r>
            <w:r w:rsidR="00754AED">
              <w:t xml:space="preserve"> and</w:t>
            </w:r>
            <w:r w:rsidRPr="007B16F9">
              <w:t xml:space="preserve"> no collaboration with KAIPT/WPSI on WPS</w:t>
            </w:r>
            <w:r w:rsidR="00754AED">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5E67" w:rsidRPr="007B16F9" w:rsidRDefault="00235E67" w:rsidP="0076616A">
            <w:r w:rsidRPr="007B16F9">
              <w:t>2022</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Collaboration with KAIPTC/WPSI established</w:t>
            </w:r>
            <w:r w:rsidR="00754AED">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2023</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1 WPS training for 12 maritime law enforcement personnel (M/F)</w:t>
            </w:r>
            <w:r w:rsidR="00754AED">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2024</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1 WPS training for 12 maritime law enforcement personnel (M/F)</w:t>
            </w:r>
            <w:r w:rsidR="00754AED">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Target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2025</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1 WPS training for 12 maritime law enforcement personnel (M/F)</w:t>
            </w:r>
            <w:r w:rsidR="00754AED">
              <w:t>.</w:t>
            </w:r>
          </w:p>
        </w:tc>
      </w:tr>
      <w:tr w:rsidR="00235E67" w:rsidRPr="007B16F9"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single" w:sz="4" w:space="0" w:color="auto"/>
              <w:bottom w:val="single" w:sz="8" w:space="0" w:color="auto"/>
              <w:right w:val="single" w:sz="8" w:space="0" w:color="auto"/>
            </w:tcBorders>
            <w:shd w:val="clear" w:color="auto" w:fill="auto"/>
            <w:vAlign w:val="center"/>
          </w:tcPr>
          <w:p w:rsidR="00235E67" w:rsidRPr="007B16F9" w:rsidRDefault="00235E67" w:rsidP="0076616A">
            <w:r w:rsidRPr="007B16F9">
              <w:t>1 WPS training for 12 maritime law enforcement personnel (M/F)</w:t>
            </w:r>
            <w:r w:rsidR="00754AED">
              <w:t>.</w:t>
            </w:r>
          </w:p>
        </w:tc>
      </w:tr>
      <w:tr w:rsidR="00235E67" w:rsidRPr="007B16F9"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235E67" w:rsidRPr="007B16F9" w:rsidRDefault="00235E67" w:rsidP="0076616A">
            <w:pPr>
              <w:rPr>
                <w:b/>
                <w:bCs/>
              </w:rPr>
            </w:pPr>
            <w:r w:rsidRPr="007B16F9">
              <w:rPr>
                <w:b/>
                <w:bCs/>
              </w:rPr>
              <w:t>Outcome 4</w:t>
            </w:r>
          </w:p>
        </w:tc>
        <w:tc>
          <w:tcPr>
            <w:tcW w:w="0" w:type="auto"/>
            <w:gridSpan w:val="2"/>
            <w:tcBorders>
              <w:top w:val="single" w:sz="8" w:space="0" w:color="auto"/>
              <w:left w:val="nil"/>
              <w:bottom w:val="nil"/>
              <w:right w:val="single" w:sz="8" w:space="0" w:color="000000"/>
            </w:tcBorders>
            <w:shd w:val="clear" w:color="auto" w:fill="auto"/>
            <w:hideMark/>
          </w:tcPr>
          <w:p w:rsidR="00235E67" w:rsidRPr="007B16F9" w:rsidRDefault="00235E67" w:rsidP="0076616A">
            <w:r w:rsidRPr="007B16F9">
              <w:t>UNODC Maritime Security Monitoring Hub tracks key maritime security trends and MLE engagement and improv</w:t>
            </w:r>
            <w:r w:rsidR="00754AED">
              <w:t>e</w:t>
            </w:r>
            <w:r w:rsidRPr="007B16F9">
              <w:t>s donor coordination</w:t>
            </w:r>
            <w:r w:rsidR="00754AED">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235E67" w:rsidRPr="007B16F9" w:rsidRDefault="00235E67" w:rsidP="0076616A">
            <w:r w:rsidRPr="007B16F9">
              <w:t>Outcome indicator 4.1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 xml:space="preserve">Well-informed donors provide aligned and coordinated supported to </w:t>
            </w:r>
            <w:proofErr w:type="spellStart"/>
            <w:r w:rsidRPr="007B16F9">
              <w:t>ECJCrelated</w:t>
            </w:r>
            <w:proofErr w:type="spellEnd"/>
            <w:r w:rsidRPr="007B16F9">
              <w:t xml:space="preserve"> to maritime security</w:t>
            </w:r>
            <w:r w:rsidR="00216D74">
              <w:t>,</w:t>
            </w:r>
            <w:r w:rsidRPr="007B16F9">
              <w:t xml:space="preserve"> and continued demand for UNODC Monitoring Hub </w:t>
            </w:r>
            <w:proofErr w:type="gramStart"/>
            <w:r w:rsidRPr="007B16F9">
              <w:t>is expressed</w:t>
            </w:r>
            <w:proofErr w:type="gramEnd"/>
            <w:r w:rsidRPr="007B16F9">
              <w:t xml:space="preserve"> in donor support beyond 2026</w:t>
            </w:r>
            <w:r w:rsidR="00216D74">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Monitoring hub</w:t>
            </w:r>
            <w:r w:rsidR="00216D74">
              <w:t xml:space="preserve"> and</w:t>
            </w:r>
            <w:r w:rsidRPr="007B16F9">
              <w:t xml:space="preserve"> no regular VDTG meeting or briefings</w:t>
            </w:r>
            <w:r w:rsidR="00216D74">
              <w:t>.</w:t>
            </w:r>
          </w:p>
        </w:tc>
      </w:tr>
      <w:tr w:rsidR="00235E67" w:rsidRPr="007B16F9"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UNODC Maritime Security Monitoring Hub functioning and at least three (3) years of continued operating costs secured.</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4.1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UNODC Maritime Security Monitoring Hub provides half</w:t>
            </w:r>
            <w:r w:rsidR="00216D74">
              <w:t>-</w:t>
            </w:r>
            <w:r w:rsidRPr="007B16F9">
              <w:t>yearly updates to virtual donor technical group</w:t>
            </w:r>
            <w:r w:rsidR="00216D74">
              <w:t>.</w:t>
            </w:r>
          </w:p>
        </w:tc>
      </w:tr>
      <w:tr w:rsidR="00235E67" w:rsidRPr="007B16F9"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235E67" w:rsidRPr="007B16F9" w:rsidRDefault="00235E67" w:rsidP="0076616A">
            <w:r w:rsidRPr="007B16F9">
              <w:t>Output Indicator 4.1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35E67" w:rsidRPr="007B16F9" w:rsidRDefault="00235E67" w:rsidP="0076616A">
            <w:r w:rsidRPr="007B16F9">
              <w:t>ECJC/MLE baseline profiles of Benin, Cameroun, Côte d’Ivoire, Ghana, Nigeria, and Togo prepared and updated</w:t>
            </w:r>
            <w:r w:rsidR="00216D74">
              <w:t>.</w:t>
            </w:r>
          </w:p>
          <w:p w:rsidR="00235E67" w:rsidRPr="007B16F9" w:rsidRDefault="00235E67" w:rsidP="0076616A">
            <w:r w:rsidRPr="007B16F9">
              <w:t>ECJC virtual donor technical group (VDTG) meetings conducted</w:t>
            </w:r>
            <w:r w:rsidR="00216D74">
              <w:t xml:space="preserve"> twice a year</w:t>
            </w:r>
            <w:r w:rsidRPr="007B16F9">
              <w:t xml:space="preserve"> and with meeting records available</w:t>
            </w:r>
            <w:r w:rsidR="00216D74">
              <w:t>.</w:t>
            </w:r>
          </w:p>
          <w:p w:rsidR="00235E67" w:rsidRPr="007B16F9" w:rsidRDefault="00235E67" w:rsidP="0076616A">
            <w:r w:rsidRPr="007B16F9">
              <w:t>UNODC tracks key regional and national indicators to inform VDTG members</w:t>
            </w:r>
            <w:r w:rsidRPr="007B16F9">
              <w:rPr>
                <w:rStyle w:val="CommentReference"/>
              </w:rPr>
              <w:t xml:space="preserve"> </w:t>
            </w:r>
            <w:r w:rsidRPr="007B16F9">
              <w:t>through a developed matrix</w:t>
            </w:r>
            <w:r w:rsidR="00216D74">
              <w:t>.</w:t>
            </w:r>
          </w:p>
        </w:tc>
      </w:tr>
      <w:tr w:rsidR="00235E67" w:rsidRPr="007B16F9"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hideMark/>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Monitoring Hub</w:t>
            </w:r>
            <w:r w:rsidR="00216D74">
              <w:t xml:space="preserve"> and</w:t>
            </w:r>
            <w:r w:rsidRPr="007B16F9">
              <w:t xml:space="preserve"> no regular VDTG meeting or briefings</w:t>
            </w:r>
            <w:r w:rsidR="00216D74">
              <w:t>.</w:t>
            </w:r>
          </w:p>
        </w:tc>
      </w:tr>
      <w:tr w:rsidR="00235E67" w:rsidRPr="007B16F9"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235E67" w:rsidRPr="007B16F9" w:rsidRDefault="00235E67" w:rsidP="0076616A">
            <w:r w:rsidRPr="007B16F9">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235E67" w:rsidRPr="007B16F9" w:rsidRDefault="00235E67" w:rsidP="0076616A">
            <w:r w:rsidRPr="007B16F9">
              <w:t>2022</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ECJC/MLE baseline profiles of Benin, Cameroun, Côte d’Ivoire, Ghana, Nigeria, and Togo prepared</w:t>
            </w:r>
            <w:r w:rsidR="00216D74">
              <w:t>.</w:t>
            </w:r>
          </w:p>
          <w:p w:rsidR="00235E67" w:rsidRPr="007B16F9" w:rsidRDefault="00235E67" w:rsidP="0076616A"/>
          <w:p w:rsidR="00235E67" w:rsidRPr="007B16F9" w:rsidRDefault="00235E67" w:rsidP="0076616A">
            <w:r w:rsidRPr="007B16F9">
              <w:t>VDTG established and at least one meeting held</w:t>
            </w:r>
            <w:r w:rsidR="00216D74">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2023</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2 VDTG meetings and related monitoring presentations and underlying records</w:t>
            </w:r>
            <w:r w:rsidR="00216D74">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2024</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2 VDTG meetings and related monitoring presentations and underlying records</w:t>
            </w:r>
            <w:r w:rsidR="00216D74">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Target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2025</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2 VDTG meetings and related monitoring presentations and underlying records</w:t>
            </w:r>
            <w:r w:rsidR="00216D74">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2 VDTG meetings and related monitoring presentations and underlying records</w:t>
            </w:r>
            <w:r w:rsidR="00216D74">
              <w:t>.</w:t>
            </w:r>
          </w:p>
        </w:tc>
      </w:tr>
      <w:tr w:rsidR="00235E67" w:rsidRPr="007B16F9" w:rsidTr="00A77066">
        <w:trPr>
          <w:trHeight w:val="340"/>
        </w:trPr>
        <w:tc>
          <w:tcPr>
            <w:tcW w:w="9486"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tcPr>
          <w:p w:rsidR="00235E67" w:rsidRPr="007B16F9" w:rsidRDefault="00235E67" w:rsidP="0076616A">
            <w:pPr>
              <w:jc w:val="center"/>
              <w:rPr>
                <w:b/>
                <w:bCs/>
              </w:rPr>
            </w:pPr>
            <w:r w:rsidRPr="007B16F9">
              <w:rPr>
                <w:b/>
                <w:bCs/>
              </w:rPr>
              <w:t>Non-ODA finance by MoD/part of PSED 4 budget</w:t>
            </w:r>
          </w:p>
        </w:tc>
      </w:tr>
      <w:tr w:rsidR="00235E67" w:rsidRPr="007B16F9"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tcPr>
          <w:p w:rsidR="00235E67" w:rsidRPr="007B16F9" w:rsidRDefault="00235E67" w:rsidP="0076616A">
            <w:pPr>
              <w:rPr>
                <w:b/>
                <w:bCs/>
              </w:rPr>
            </w:pPr>
            <w:r w:rsidRPr="007B16F9">
              <w:rPr>
                <w:b/>
                <w:bCs/>
              </w:rPr>
              <w:t>Outcome 5</w:t>
            </w:r>
          </w:p>
        </w:tc>
        <w:tc>
          <w:tcPr>
            <w:tcW w:w="0" w:type="auto"/>
            <w:gridSpan w:val="2"/>
            <w:tcBorders>
              <w:top w:val="single" w:sz="8" w:space="0" w:color="auto"/>
              <w:left w:val="nil"/>
              <w:bottom w:val="nil"/>
              <w:right w:val="single" w:sz="8" w:space="0" w:color="000000"/>
            </w:tcBorders>
            <w:shd w:val="clear" w:color="auto" w:fill="auto"/>
            <w:vAlign w:val="center"/>
          </w:tcPr>
          <w:p w:rsidR="00235E67" w:rsidRPr="007B16F9" w:rsidRDefault="00235E67" w:rsidP="0076616A">
            <w:r w:rsidRPr="007B16F9">
              <w:t>Navy personnel from Zone E (Togo, Benin,</w:t>
            </w:r>
            <w:r w:rsidR="00216D74">
              <w:t xml:space="preserve"> and</w:t>
            </w:r>
            <w:r w:rsidRPr="007B16F9">
              <w:t xml:space="preserve"> Nigeria), Zone D (Camero</w:t>
            </w:r>
            <w:r w:rsidR="00832AAD">
              <w:t>o</w:t>
            </w:r>
            <w:r w:rsidRPr="007B16F9">
              <w:t>n) and Zone F (Côte d’Ivoire</w:t>
            </w:r>
            <w:r w:rsidR="00216D74">
              <w:t xml:space="preserve"> and</w:t>
            </w:r>
            <w:r w:rsidRPr="007B16F9">
              <w:t xml:space="preserve"> Ghana) can detect, interdict, arrest, seize</w:t>
            </w:r>
            <w:r w:rsidR="00216D74">
              <w:t>,</w:t>
            </w:r>
            <w:r w:rsidRPr="007B16F9">
              <w:t xml:space="preserve"> and hand over in the maritime domain, enhancing coordination between UNODC, INTERPOL</w:t>
            </w:r>
            <w:r w:rsidR="00216D74">
              <w:t>,</w:t>
            </w:r>
            <w:r w:rsidRPr="007B16F9">
              <w:t xml:space="preserve"> and Defence Command Denmark</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tcPr>
          <w:p w:rsidR="00235E67" w:rsidRPr="007B16F9" w:rsidRDefault="00235E67" w:rsidP="0076616A"/>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832AAD" w:rsidP="00832AAD">
            <w:r>
              <w:t>Navies capable of handing over suspects for piracy and maritime crime to the justice system.</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 xml:space="preserve">19 convictions for piracy following successful handover, of which 10 in Nigeria and 9 in Togo. </w:t>
            </w:r>
          </w:p>
        </w:tc>
      </w:tr>
      <w:tr w:rsidR="00235E67" w:rsidRPr="007B16F9"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235E67" w:rsidRPr="007B16F9" w:rsidRDefault="00235E67" w:rsidP="0076616A">
            <w:r w:rsidRPr="007B16F9">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235E67" w:rsidRPr="007B16F9" w:rsidRDefault="00235E67" w:rsidP="0076616A">
            <w:r w:rsidRPr="007B16F9">
              <w:t>90 suspects for piracy and maritime crime handed over by Navies/MLE to the justice system</w:t>
            </w:r>
            <w:r w:rsidR="00216D74">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Output 5.1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4C32CC">
              <w:rPr>
                <w:bCs/>
              </w:rPr>
              <w:t>Training Scoping Assessment (TSA) of the navies of Benin, Cameroun, C</w:t>
            </w:r>
            <w:r>
              <w:rPr>
                <w:bCs/>
              </w:rPr>
              <w:t>ôte</w:t>
            </w:r>
            <w:r w:rsidRPr="004C32CC">
              <w:rPr>
                <w:bCs/>
              </w:rPr>
              <w:t xml:space="preserve"> d’Ivoire, Ghana, Nigeria, and Togo </w:t>
            </w:r>
            <w:r>
              <w:rPr>
                <w:bCs/>
              </w:rPr>
              <w:t xml:space="preserve">and related </w:t>
            </w:r>
            <w:r w:rsidRPr="004C32CC">
              <w:rPr>
                <w:bCs/>
              </w:rPr>
              <w:t>VBSS training plan</w:t>
            </w:r>
            <w:r w:rsidR="00216D74">
              <w:rPr>
                <w:bCs/>
              </w:rPr>
              <w:t>.</w:t>
            </w:r>
          </w:p>
        </w:tc>
      </w:tr>
      <w:tr w:rsidR="00235E67" w:rsidRPr="007B16F9" w:rsidTr="0076616A">
        <w:trPr>
          <w:trHeight w:val="70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r w:rsidRPr="007B16F9">
              <w:t>Output Indicator 5.1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4C32CC">
              <w:t xml:space="preserve">VBBS Training Scoping Assessment report </w:t>
            </w:r>
            <w:r>
              <w:t xml:space="preserve">and VBSS training plan documents </w:t>
            </w:r>
            <w:r w:rsidRPr="004C32CC">
              <w:t xml:space="preserve">covering Benin, Cameroun, Côte d'Ivoire, Ghana, Nigeria, </w:t>
            </w:r>
            <w:r w:rsidR="00216D74">
              <w:t xml:space="preserve">and </w:t>
            </w:r>
            <w:r w:rsidRPr="004C32CC">
              <w:t>Togo</w:t>
            </w:r>
            <w:r w:rsidR="00216D74">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No needs assessment</w:t>
            </w:r>
            <w:r w:rsidR="00216D74">
              <w:t>.</w:t>
            </w:r>
          </w:p>
        </w:tc>
      </w:tr>
      <w:tr w:rsidR="00235E67" w:rsidRPr="007B16F9"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2021</w:t>
            </w:r>
          </w:p>
        </w:tc>
        <w:tc>
          <w:tcPr>
            <w:tcW w:w="0" w:type="auto"/>
            <w:tcBorders>
              <w:top w:val="nil"/>
              <w:left w:val="nil"/>
              <w:bottom w:val="single" w:sz="8" w:space="0" w:color="auto"/>
              <w:right w:val="single" w:sz="8" w:space="0" w:color="auto"/>
            </w:tcBorders>
            <w:shd w:val="clear" w:color="auto" w:fill="auto"/>
            <w:vAlign w:val="center"/>
          </w:tcPr>
          <w:p w:rsidR="00235E67" w:rsidRPr="007B16F9" w:rsidRDefault="00235E67" w:rsidP="0076616A">
            <w:r w:rsidRPr="007B16F9">
              <w:t>Needs assessment shared</w:t>
            </w:r>
            <w:r>
              <w:t xml:space="preserve"> with DCD and Danish Embassy in Accra</w:t>
            </w:r>
            <w:r w:rsidR="00216D74">
              <w:t>.</w:t>
            </w:r>
          </w:p>
        </w:tc>
      </w:tr>
      <w:tr w:rsidR="00235E67" w:rsidRPr="007B16F9"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235E67" w:rsidRPr="007B16F9" w:rsidRDefault="00235E67" w:rsidP="0076616A">
            <w:pPr>
              <w:rPr>
                <w:b/>
                <w:bCs/>
              </w:rPr>
            </w:pPr>
            <w:r w:rsidRPr="007B16F9">
              <w:rPr>
                <w:b/>
                <w:bCs/>
              </w:rPr>
              <w:t xml:space="preserve">Output </w:t>
            </w:r>
            <w:r>
              <w:rPr>
                <w:b/>
                <w:bCs/>
              </w:rPr>
              <w:t>5</w:t>
            </w:r>
            <w:r w:rsidRPr="007B16F9">
              <w:rPr>
                <w:b/>
                <w:bCs/>
              </w:rPr>
              <w:t>.</w:t>
            </w:r>
            <w:r>
              <w:rPr>
                <w:b/>
                <w:bCs/>
              </w:rPr>
              <w:t>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235E67" w:rsidRPr="007B16F9" w:rsidRDefault="00235E67" w:rsidP="0076616A">
            <w:r w:rsidRPr="007B16F9">
              <w:t xml:space="preserve">Cadre of </w:t>
            </w:r>
            <w:r w:rsidR="00290979">
              <w:t>N</w:t>
            </w:r>
            <w:r w:rsidRPr="007B16F9">
              <w:t>avy personnel from Benin, Cameroun, Côte d’Ivoire, Ghana, Nigeria, and Togo trained in VBSS through 20 military VBSS training</w:t>
            </w:r>
            <w:r w:rsidR="00216D74">
              <w:t>s</w:t>
            </w:r>
            <w:r w:rsidRPr="007B16F9">
              <w:t xml:space="preserve"> for </w:t>
            </w:r>
            <w:r>
              <w:t>384</w:t>
            </w:r>
            <w:r w:rsidRPr="007B16F9">
              <w:t xml:space="preserve"> participants</w:t>
            </w:r>
            <w:r w:rsidR="0053307D">
              <w:t xml:space="preserve">, </w:t>
            </w:r>
            <w:r w:rsidRPr="007B16F9">
              <w:t>of which 16 participants (4 %) achieve Certified National Instructor level</w:t>
            </w:r>
            <w:r w:rsidR="00216D74">
              <w:t>.</w:t>
            </w:r>
          </w:p>
        </w:tc>
      </w:tr>
      <w:tr w:rsidR="00235E67" w:rsidRPr="007B16F9" w:rsidTr="004630C0">
        <w:trPr>
          <w:trHeight w:val="700"/>
        </w:trPr>
        <w:tc>
          <w:tcPr>
            <w:tcW w:w="1832" w:type="dxa"/>
            <w:gridSpan w:val="2"/>
            <w:tcBorders>
              <w:top w:val="single" w:sz="8" w:space="0" w:color="auto"/>
              <w:left w:val="single" w:sz="8" w:space="0" w:color="auto"/>
              <w:right w:val="single" w:sz="8" w:space="0" w:color="000000"/>
            </w:tcBorders>
            <w:shd w:val="clear" w:color="auto" w:fill="95B3D7" w:themeFill="accent1" w:themeFillTint="99"/>
            <w:vAlign w:val="center"/>
          </w:tcPr>
          <w:p w:rsidR="00235E67" w:rsidRPr="007B16F9" w:rsidRDefault="00235E67" w:rsidP="0076616A">
            <w:r w:rsidRPr="007B16F9">
              <w:t>Output Indicator 5.2</w:t>
            </w:r>
          </w:p>
        </w:tc>
        <w:tc>
          <w:tcPr>
            <w:tcW w:w="0" w:type="auto"/>
            <w:gridSpan w:val="2"/>
            <w:tcBorders>
              <w:top w:val="single" w:sz="8" w:space="0" w:color="auto"/>
              <w:left w:val="nil"/>
              <w:right w:val="single" w:sz="8" w:space="0" w:color="000000"/>
            </w:tcBorders>
            <w:shd w:val="clear" w:color="auto" w:fill="auto"/>
            <w:vAlign w:val="center"/>
          </w:tcPr>
          <w:p w:rsidR="00235E67" w:rsidRPr="007B16F9" w:rsidRDefault="00235E67" w:rsidP="0076616A">
            <w:r>
              <w:t>384</w:t>
            </w:r>
            <w:r w:rsidRPr="007B16F9">
              <w:t xml:space="preserve"> personnel from navies of Benin, Cameroun, Côte d’Ivoire, Ghana, Nigeria, and Togo </w:t>
            </w:r>
            <w:proofErr w:type="gramStart"/>
            <w:r w:rsidRPr="007B16F9">
              <w:t>trained</w:t>
            </w:r>
            <w:r w:rsidR="00D50200">
              <w:t xml:space="preserve"> </w:t>
            </w:r>
            <w:r w:rsidR="004D7396">
              <w:t>,</w:t>
            </w:r>
            <w:r w:rsidRPr="007B16F9">
              <w:t>with</w:t>
            </w:r>
            <w:proofErr w:type="gramEnd"/>
            <w:r w:rsidRPr="007B16F9">
              <w:t xml:space="preserve"> 16 reaching Certified National Instructor level</w:t>
            </w:r>
            <w:r w:rsidR="00D50200">
              <w:t>.</w:t>
            </w:r>
          </w:p>
        </w:tc>
      </w:tr>
      <w:tr w:rsidR="00235E67" w:rsidRPr="007B16F9" w:rsidTr="004630C0">
        <w:trPr>
          <w:trHeight w:val="340"/>
        </w:trPr>
        <w:tc>
          <w:tcPr>
            <w:tcW w:w="1149" w:type="dxa"/>
            <w:tcBorders>
              <w:top w:val="nil"/>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Baseline</w:t>
            </w:r>
          </w:p>
        </w:tc>
        <w:tc>
          <w:tcPr>
            <w:tcW w:w="0" w:type="auto"/>
            <w:tcBorders>
              <w:top w:val="nil"/>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nil"/>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2021</w:t>
            </w:r>
          </w:p>
        </w:tc>
        <w:tc>
          <w:tcPr>
            <w:tcW w:w="0" w:type="auto"/>
            <w:tcBorders>
              <w:top w:val="nil"/>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 xml:space="preserve">0 personnel from </w:t>
            </w:r>
            <w:r w:rsidR="00290979">
              <w:t>N</w:t>
            </w:r>
            <w:r w:rsidRPr="007B16F9">
              <w:t>avy trained in VBSS</w:t>
            </w:r>
            <w:r w:rsidR="00D50200">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2022</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76616A">
            <w:r w:rsidRPr="007B16F9">
              <w:t xml:space="preserve">48 personnel from </w:t>
            </w:r>
            <w:r w:rsidR="00290979">
              <w:t>N</w:t>
            </w:r>
            <w:r w:rsidRPr="007B16F9">
              <w:t>avy of Ghana trained</w:t>
            </w:r>
            <w:r w:rsidR="00D50200">
              <w:t>.</w:t>
            </w:r>
          </w:p>
        </w:tc>
      </w:tr>
      <w:tr w:rsidR="00235E67" w:rsidRPr="007B16F9"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5E67" w:rsidRPr="007B16F9" w:rsidRDefault="00235E67" w:rsidP="0076616A">
            <w:r w:rsidRPr="007B16F9">
              <w:t>2023</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35E67" w:rsidRPr="007B16F9" w:rsidRDefault="00235E67" w:rsidP="00D50200">
            <w:r>
              <w:t>168</w:t>
            </w:r>
            <w:r w:rsidRPr="007B16F9">
              <w:t xml:space="preserve"> personnel (M/F) from navies of Benin, Cameroun, Côte d’Ivoire, Ghana, Nigeria, and Togo trained</w:t>
            </w:r>
            <w:r w:rsidR="004D7396">
              <w:t>,</w:t>
            </w:r>
            <w:r w:rsidRPr="007B16F9">
              <w:t xml:space="preserve"> with 8 reaching </w:t>
            </w:r>
            <w:r w:rsidR="00D50200">
              <w:t>Certified National I</w:t>
            </w:r>
            <w:r w:rsidRPr="007B16F9">
              <w:t>nstructor level</w:t>
            </w:r>
            <w:r w:rsidR="00D50200">
              <w:t>.</w:t>
            </w:r>
          </w:p>
        </w:tc>
      </w:tr>
      <w:tr w:rsidR="00235E67" w:rsidRPr="007B16F9"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235E67" w:rsidRPr="007B16F9" w:rsidRDefault="00235E67" w:rsidP="0076616A">
            <w:r w:rsidRPr="007B16F9">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235E67" w:rsidRPr="007B16F9" w:rsidRDefault="00235E67" w:rsidP="0076616A">
            <w:r w:rsidRPr="007B16F9">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235E67" w:rsidRPr="007B16F9" w:rsidRDefault="00235E67" w:rsidP="0076616A">
            <w:r w:rsidRPr="007B16F9">
              <w:t>2024</w:t>
            </w:r>
          </w:p>
        </w:tc>
        <w:tc>
          <w:tcPr>
            <w:tcW w:w="0" w:type="auto"/>
            <w:tcBorders>
              <w:top w:val="single" w:sz="4" w:space="0" w:color="auto"/>
              <w:left w:val="single" w:sz="4" w:space="0" w:color="auto"/>
              <w:bottom w:val="single" w:sz="8" w:space="0" w:color="auto"/>
              <w:right w:val="single" w:sz="8" w:space="0" w:color="auto"/>
            </w:tcBorders>
            <w:shd w:val="clear" w:color="auto" w:fill="auto"/>
            <w:vAlign w:val="center"/>
          </w:tcPr>
          <w:p w:rsidR="00235E67" w:rsidRPr="007B16F9" w:rsidRDefault="00235E67" w:rsidP="00D50200">
            <w:r>
              <w:t>168</w:t>
            </w:r>
            <w:r w:rsidRPr="007B16F9">
              <w:t xml:space="preserve"> personnel (M/F) from navies of Benin, Cameroun, Côte d’Ivoire, Ghana, Nigeria, and Togo trained</w:t>
            </w:r>
            <w:r w:rsidR="004D7396">
              <w:t>,</w:t>
            </w:r>
            <w:r w:rsidRPr="007B16F9">
              <w:t xml:space="preserve"> with 8 reaching</w:t>
            </w:r>
            <w:r w:rsidR="00D50200">
              <w:t xml:space="preserve"> Certified National I</w:t>
            </w:r>
            <w:r w:rsidRPr="007B16F9">
              <w:t>nstructor level</w:t>
            </w:r>
            <w:r w:rsidR="00D50200">
              <w:t>.</w:t>
            </w:r>
          </w:p>
        </w:tc>
      </w:tr>
    </w:tbl>
    <w:p w:rsidR="00235E67" w:rsidRDefault="00235E67" w:rsidP="00D759B6">
      <w:pPr>
        <w:jc w:val="left"/>
        <w:rPr>
          <w:rFonts w:cs="Times New Roman"/>
          <w:color w:val="000000" w:themeColor="text1"/>
        </w:rPr>
      </w:pPr>
    </w:p>
    <w:p w:rsidR="00FE7E1F" w:rsidRPr="007237E6" w:rsidRDefault="00FE7E1F" w:rsidP="006A0C95">
      <w:pPr>
        <w:pStyle w:val="Heading1"/>
        <w:pageBreakBefore/>
      </w:pPr>
      <w:bookmarkStart w:id="8" w:name="_Toc89077032"/>
      <w:r w:rsidRPr="007237E6">
        <w:t>PSE 2</w:t>
      </w:r>
      <w:r w:rsidR="00597053" w:rsidRPr="007237E6">
        <w:t xml:space="preserve"> </w:t>
      </w:r>
      <w:r w:rsidR="00597053" w:rsidRPr="007237E6">
        <w:rPr>
          <w:rFonts w:cs="Calibri"/>
        </w:rPr>
        <w:t xml:space="preserve">– </w:t>
      </w:r>
      <w:r w:rsidR="007237E6" w:rsidRPr="007237E6">
        <w:rPr>
          <w:rFonts w:cs="Calibri"/>
        </w:rPr>
        <w:t>INTERPOL: Maritime policing, investigation, and evidence collection</w:t>
      </w:r>
      <w:bookmarkEnd w:id="8"/>
    </w:p>
    <w:p w:rsidR="006A0C95" w:rsidRDefault="006A0C95" w:rsidP="006A0C95"/>
    <w:p w:rsidR="00597053" w:rsidRPr="00A80B7A" w:rsidRDefault="007237E6" w:rsidP="0076616A">
      <w:pPr>
        <w:pStyle w:val="Heading2"/>
      </w:pPr>
      <w:bookmarkStart w:id="9" w:name="_Toc89077033"/>
      <w:r w:rsidRPr="00A80B7A">
        <w:t xml:space="preserve">PSE 2 </w:t>
      </w:r>
      <w:r w:rsidR="00A80B7A" w:rsidRPr="00A80B7A">
        <w:t>– Theory of Change</w:t>
      </w:r>
      <w:bookmarkEnd w:id="9"/>
    </w:p>
    <w:tbl>
      <w:tblPr>
        <w:tblStyle w:val="TableGrid"/>
        <w:tblW w:w="0" w:type="auto"/>
        <w:tblLook w:val="04A0" w:firstRow="1" w:lastRow="0" w:firstColumn="1" w:lastColumn="0" w:noHBand="0" w:noVBand="1"/>
      </w:tblPr>
      <w:tblGrid>
        <w:gridCol w:w="1696"/>
        <w:gridCol w:w="7790"/>
      </w:tblGrid>
      <w:tr w:rsidR="006A0C95" w:rsidRPr="00D5609F" w:rsidTr="0076616A">
        <w:tc>
          <w:tcPr>
            <w:tcW w:w="9486" w:type="dxa"/>
            <w:gridSpan w:val="2"/>
            <w:shd w:val="clear" w:color="auto" w:fill="auto"/>
          </w:tcPr>
          <w:p w:rsidR="006A0C95" w:rsidRPr="00D5609F" w:rsidRDefault="006A0C95" w:rsidP="0076616A">
            <w:pPr>
              <w:jc w:val="center"/>
              <w:rPr>
                <w:rFonts w:cs="Times New Roman"/>
                <w:b/>
                <w:bCs/>
                <w:noProof/>
                <w:color w:val="000000" w:themeColor="text1"/>
              </w:rPr>
            </w:pPr>
            <w:r w:rsidRPr="00D5609F">
              <w:rPr>
                <w:rFonts w:cs="Times New Roman"/>
                <w:b/>
                <w:bCs/>
                <w:noProof/>
                <w:color w:val="000000" w:themeColor="text1"/>
              </w:rPr>
              <w:t>Theory of Change</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r w:rsidRPr="00D5609F">
              <w:rPr>
                <w:rFonts w:cs="Times New Roman"/>
                <w:noProof/>
                <w:color w:val="000000" w:themeColor="text1"/>
              </w:rPr>
              <w:t>Output level</w:t>
            </w:r>
          </w:p>
        </w:tc>
        <w:tc>
          <w:tcPr>
            <w:tcW w:w="7790" w:type="dxa"/>
            <w:shd w:val="clear" w:color="auto" w:fill="auto"/>
          </w:tcPr>
          <w:p w:rsidR="006A0C95" w:rsidRPr="00D5609F" w:rsidRDefault="006A0C95" w:rsidP="00543D4A">
            <w:pPr>
              <w:rPr>
                <w:rFonts w:cs="Times New Roman"/>
                <w:noProof/>
                <w:color w:val="000000" w:themeColor="text1"/>
              </w:rPr>
            </w:pPr>
            <w:r w:rsidRPr="00D5609F">
              <w:rPr>
                <w:rFonts w:cs="Times New Roman"/>
                <w:i/>
                <w:iCs/>
                <w:noProof/>
                <w:color w:val="000000" w:themeColor="text1"/>
              </w:rPr>
              <w:t xml:space="preserve">If </w:t>
            </w:r>
            <w:r w:rsidRPr="00D5609F">
              <w:rPr>
                <w:rFonts w:cs="Times New Roman"/>
                <w:noProof/>
                <w:color w:val="000000" w:themeColor="text1"/>
              </w:rPr>
              <w:t>the</w:t>
            </w:r>
            <w:r w:rsidRPr="00D5609F">
              <w:rPr>
                <w:rFonts w:cs="Times New Roman"/>
                <w:i/>
                <w:iCs/>
                <w:noProof/>
                <w:color w:val="000000" w:themeColor="text1"/>
              </w:rPr>
              <w:t xml:space="preserve"> </w:t>
            </w:r>
            <w:r w:rsidRPr="00D5609F">
              <w:rPr>
                <w:rFonts w:cs="Times New Roman"/>
                <w:noProof/>
                <w:color w:val="000000" w:themeColor="text1"/>
              </w:rPr>
              <w:t>beneficiaries improve their crime scene management</w:t>
            </w:r>
            <w:r w:rsidR="00543D4A">
              <w:rPr>
                <w:rFonts w:cs="Times New Roman"/>
                <w:noProof/>
                <w:color w:val="000000" w:themeColor="text1"/>
              </w:rPr>
              <w:t>,</w:t>
            </w:r>
            <w:r w:rsidRPr="00D5609F">
              <w:rPr>
                <w:rFonts w:cs="Times New Roman"/>
                <w:noProof/>
                <w:color w:val="000000" w:themeColor="text1"/>
              </w:rPr>
              <w:t xml:space="preserve"> evidence exploitation</w:t>
            </w:r>
            <w:r w:rsidR="00543D4A">
              <w:rPr>
                <w:rFonts w:cs="Times New Roman"/>
                <w:noProof/>
                <w:color w:val="000000" w:themeColor="text1"/>
              </w:rPr>
              <w:t>,</w:t>
            </w:r>
            <w:r w:rsidRPr="00D5609F">
              <w:rPr>
                <w:rFonts w:cs="Times New Roman"/>
                <w:noProof/>
                <w:color w:val="000000" w:themeColor="text1"/>
              </w:rPr>
              <w:t xml:space="preserve"> and debriefing of hostages in order to successfully conduct evidence-based investigations</w:t>
            </w:r>
          </w:p>
        </w:tc>
      </w:tr>
      <w:tr w:rsidR="006A0C95" w:rsidRPr="00D5609F" w:rsidTr="0076616A">
        <w:tc>
          <w:tcPr>
            <w:tcW w:w="9486" w:type="dxa"/>
            <w:gridSpan w:val="2"/>
            <w:shd w:val="clear" w:color="auto" w:fill="auto"/>
          </w:tcPr>
          <w:p w:rsidR="006A0C95" w:rsidRPr="00D5609F" w:rsidRDefault="00543D4A" w:rsidP="0076616A">
            <w:pPr>
              <w:jc w:val="center"/>
              <w:rPr>
                <w:rFonts w:cs="Times New Roman"/>
                <w:i/>
                <w:iCs/>
                <w:noProof/>
                <w:color w:val="000000" w:themeColor="text1"/>
              </w:rPr>
            </w:pPr>
            <w:r>
              <w:rPr>
                <w:rFonts w:cs="Times New Roman"/>
                <w:i/>
                <w:iCs/>
                <w:noProof/>
                <w:color w:val="000000" w:themeColor="text1"/>
              </w:rPr>
              <w:t>A</w:t>
            </w:r>
            <w:r w:rsidR="006A0C95" w:rsidRPr="00D5609F">
              <w:rPr>
                <w:rFonts w:cs="Times New Roman"/>
                <w:i/>
                <w:iCs/>
                <w:noProof/>
                <w:color w:val="000000" w:themeColor="text1"/>
              </w:rPr>
              <w:t>nd</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p>
        </w:tc>
        <w:tc>
          <w:tcPr>
            <w:tcW w:w="7790" w:type="dxa"/>
            <w:shd w:val="clear" w:color="auto" w:fill="auto"/>
          </w:tcPr>
          <w:p w:rsidR="006A0C95" w:rsidRPr="00D5609F" w:rsidRDefault="005B7FA0" w:rsidP="0076616A">
            <w:pPr>
              <w:rPr>
                <w:rFonts w:cs="Times New Roman"/>
                <w:noProof/>
                <w:color w:val="000000" w:themeColor="text1"/>
              </w:rPr>
            </w:pPr>
            <w:r>
              <w:rPr>
                <w:rFonts w:cs="Times New Roman"/>
                <w:i/>
                <w:iCs/>
                <w:noProof/>
                <w:color w:val="000000" w:themeColor="text1"/>
              </w:rPr>
              <w:t>i</w:t>
            </w:r>
            <w:r w:rsidR="006A0C95" w:rsidRPr="00D5609F">
              <w:rPr>
                <w:rFonts w:cs="Times New Roman"/>
                <w:i/>
                <w:iCs/>
                <w:noProof/>
                <w:color w:val="000000" w:themeColor="text1"/>
              </w:rPr>
              <w:t>f</w:t>
            </w:r>
            <w:r w:rsidR="006A0C95" w:rsidRPr="00D5609F">
              <w:rPr>
                <w:rFonts w:cs="Times New Roman"/>
                <w:noProof/>
                <w:color w:val="000000" w:themeColor="text1"/>
              </w:rPr>
              <w:t xml:space="preserve"> they expand their investigations to target the organised crime groups’ leadership structures</w:t>
            </w:r>
          </w:p>
        </w:tc>
      </w:tr>
      <w:tr w:rsidR="006A0C95" w:rsidRPr="00D5609F" w:rsidTr="0076616A">
        <w:tc>
          <w:tcPr>
            <w:tcW w:w="9486" w:type="dxa"/>
            <w:gridSpan w:val="2"/>
            <w:shd w:val="clear" w:color="auto" w:fill="auto"/>
          </w:tcPr>
          <w:p w:rsidR="006A0C95" w:rsidRPr="00D5609F" w:rsidRDefault="00543D4A" w:rsidP="0076616A">
            <w:pPr>
              <w:jc w:val="center"/>
              <w:rPr>
                <w:rFonts w:cs="Times New Roman"/>
                <w:i/>
                <w:iCs/>
                <w:noProof/>
                <w:color w:val="000000" w:themeColor="text1"/>
              </w:rPr>
            </w:pPr>
            <w:r>
              <w:rPr>
                <w:rFonts w:cs="Times New Roman"/>
                <w:i/>
                <w:iCs/>
                <w:noProof/>
                <w:color w:val="000000" w:themeColor="text1"/>
              </w:rPr>
              <w:t>A</w:t>
            </w:r>
            <w:r w:rsidR="006A0C95" w:rsidRPr="00D5609F">
              <w:rPr>
                <w:rFonts w:cs="Times New Roman"/>
                <w:i/>
                <w:iCs/>
                <w:noProof/>
                <w:color w:val="000000" w:themeColor="text1"/>
              </w:rPr>
              <w:t>nd</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p>
        </w:tc>
        <w:tc>
          <w:tcPr>
            <w:tcW w:w="7790" w:type="dxa"/>
            <w:shd w:val="clear" w:color="auto" w:fill="auto"/>
          </w:tcPr>
          <w:p w:rsidR="00543D4A" w:rsidRPr="004630C0" w:rsidRDefault="005B7FA0" w:rsidP="0076616A">
            <w:pPr>
              <w:rPr>
                <w:rFonts w:cs="Times New Roman"/>
                <w:noProof/>
                <w:color w:val="000000" w:themeColor="text1"/>
              </w:rPr>
            </w:pPr>
            <w:r>
              <w:rPr>
                <w:rFonts w:cs="Times New Roman"/>
                <w:i/>
                <w:iCs/>
                <w:noProof/>
                <w:color w:val="000000" w:themeColor="text1"/>
              </w:rPr>
              <w:t>i</w:t>
            </w:r>
            <w:r w:rsidR="006A0C95" w:rsidRPr="00D5609F">
              <w:rPr>
                <w:rFonts w:cs="Times New Roman"/>
                <w:i/>
                <w:iCs/>
                <w:noProof/>
                <w:color w:val="000000" w:themeColor="text1"/>
              </w:rPr>
              <w:t>f</w:t>
            </w:r>
            <w:r w:rsidR="006A0C95" w:rsidRPr="00D5609F">
              <w:rPr>
                <w:rFonts w:cs="Times New Roman"/>
                <w:noProof/>
                <w:color w:val="000000" w:themeColor="text1"/>
              </w:rPr>
              <w:t xml:space="preserve"> they continue to improve cooperation between LEAs internally and at the international level</w:t>
            </w:r>
          </w:p>
        </w:tc>
      </w:tr>
      <w:tr w:rsidR="006A0C95" w:rsidRPr="00D5609F" w:rsidTr="0076616A">
        <w:tc>
          <w:tcPr>
            <w:tcW w:w="9486" w:type="dxa"/>
            <w:gridSpan w:val="2"/>
            <w:shd w:val="clear" w:color="auto" w:fill="auto"/>
          </w:tcPr>
          <w:p w:rsidR="006A0C95" w:rsidRPr="00D5609F" w:rsidRDefault="00543D4A" w:rsidP="0076616A">
            <w:pPr>
              <w:jc w:val="center"/>
              <w:rPr>
                <w:rFonts w:cs="Times New Roman"/>
                <w:i/>
                <w:iCs/>
                <w:noProof/>
                <w:color w:val="000000" w:themeColor="text1"/>
              </w:rPr>
            </w:pPr>
            <w:r>
              <w:rPr>
                <w:rFonts w:cs="Times New Roman"/>
                <w:i/>
                <w:iCs/>
                <w:noProof/>
                <w:color w:val="000000" w:themeColor="text1"/>
              </w:rPr>
              <w:t>A</w:t>
            </w:r>
            <w:r w:rsidR="006A0C95" w:rsidRPr="00D5609F">
              <w:rPr>
                <w:rFonts w:cs="Times New Roman"/>
                <w:i/>
                <w:iCs/>
                <w:noProof/>
                <w:color w:val="000000" w:themeColor="text1"/>
              </w:rPr>
              <w:t>nd</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p>
        </w:tc>
        <w:tc>
          <w:tcPr>
            <w:tcW w:w="7790" w:type="dxa"/>
            <w:shd w:val="clear" w:color="auto" w:fill="auto"/>
          </w:tcPr>
          <w:p w:rsidR="006A0C95" w:rsidRPr="00D5609F" w:rsidRDefault="005B7FA0" w:rsidP="0076616A">
            <w:pPr>
              <w:rPr>
                <w:rFonts w:cs="Times New Roman"/>
                <w:i/>
                <w:iCs/>
                <w:noProof/>
                <w:color w:val="000000" w:themeColor="text1"/>
              </w:rPr>
            </w:pPr>
            <w:r>
              <w:rPr>
                <w:rFonts w:cs="Times New Roman"/>
                <w:i/>
                <w:iCs/>
                <w:noProof/>
                <w:color w:val="000000" w:themeColor="text1"/>
              </w:rPr>
              <w:t>i</w:t>
            </w:r>
            <w:r w:rsidR="006A0C95" w:rsidRPr="00D5609F">
              <w:rPr>
                <w:rFonts w:cs="Times New Roman"/>
                <w:i/>
                <w:iCs/>
                <w:noProof/>
                <w:color w:val="000000" w:themeColor="text1"/>
              </w:rPr>
              <w:t xml:space="preserve">f </w:t>
            </w:r>
            <w:r w:rsidR="006A0C95" w:rsidRPr="00D5609F">
              <w:rPr>
                <w:rFonts w:cs="Times New Roman"/>
                <w:noProof/>
                <w:color w:val="000000" w:themeColor="text1"/>
              </w:rPr>
              <w:t>they improve safety and security at key port facilities</w:t>
            </w:r>
          </w:p>
        </w:tc>
      </w:tr>
      <w:tr w:rsidR="006A0C95" w:rsidRPr="00D5609F" w:rsidTr="0076616A">
        <w:tc>
          <w:tcPr>
            <w:tcW w:w="9486" w:type="dxa"/>
            <w:gridSpan w:val="2"/>
            <w:shd w:val="clear" w:color="auto" w:fill="auto"/>
          </w:tcPr>
          <w:p w:rsidR="006A0C95" w:rsidRPr="00D5609F" w:rsidRDefault="00543D4A" w:rsidP="0076616A">
            <w:pPr>
              <w:jc w:val="center"/>
              <w:rPr>
                <w:rFonts w:cs="Times New Roman"/>
                <w:i/>
                <w:iCs/>
                <w:noProof/>
                <w:color w:val="000000" w:themeColor="text1"/>
              </w:rPr>
            </w:pPr>
            <w:r>
              <w:rPr>
                <w:rFonts w:cs="Times New Roman"/>
                <w:i/>
                <w:iCs/>
                <w:noProof/>
                <w:color w:val="000000" w:themeColor="text1"/>
              </w:rPr>
              <w:t>T</w:t>
            </w:r>
            <w:r w:rsidR="006A0C95" w:rsidRPr="00D5609F">
              <w:rPr>
                <w:rFonts w:cs="Times New Roman"/>
                <w:i/>
                <w:iCs/>
                <w:noProof/>
                <w:color w:val="000000" w:themeColor="text1"/>
              </w:rPr>
              <w:t>hen</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r w:rsidRPr="00D5609F">
              <w:rPr>
                <w:rFonts w:cs="Times New Roman"/>
                <w:noProof/>
                <w:color w:val="000000" w:themeColor="text1"/>
              </w:rPr>
              <w:t>Outcome Level</w:t>
            </w:r>
          </w:p>
        </w:tc>
        <w:tc>
          <w:tcPr>
            <w:tcW w:w="7790" w:type="dxa"/>
            <w:shd w:val="clear" w:color="auto" w:fill="auto"/>
          </w:tcPr>
          <w:p w:rsidR="006A0C95" w:rsidRPr="00D5609F" w:rsidRDefault="005B7FA0" w:rsidP="005B7FA0">
            <w:pPr>
              <w:rPr>
                <w:rFonts w:cs="Times New Roman"/>
                <w:i/>
                <w:iCs/>
                <w:noProof/>
                <w:color w:val="000000" w:themeColor="text1"/>
              </w:rPr>
            </w:pPr>
            <w:r>
              <w:rPr>
                <w:rFonts w:cs="Times New Roman"/>
                <w:noProof/>
                <w:color w:val="000000" w:themeColor="text1"/>
              </w:rPr>
              <w:t>t</w:t>
            </w:r>
            <w:r w:rsidR="006A0C95" w:rsidRPr="00D5609F">
              <w:rPr>
                <w:rFonts w:cs="Times New Roman"/>
                <w:noProof/>
                <w:color w:val="000000" w:themeColor="text1"/>
              </w:rPr>
              <w:t>hey are able to more effectively prevent, detect, investigate</w:t>
            </w:r>
            <w:r w:rsidR="00543D4A">
              <w:rPr>
                <w:rFonts w:cs="Times New Roman"/>
                <w:noProof/>
                <w:color w:val="000000" w:themeColor="text1"/>
              </w:rPr>
              <w:t>,</w:t>
            </w:r>
            <w:r w:rsidR="006A0C95" w:rsidRPr="00D5609F">
              <w:rPr>
                <w:rFonts w:cs="Times New Roman"/>
                <w:noProof/>
                <w:color w:val="000000" w:themeColor="text1"/>
              </w:rPr>
              <w:t xml:space="preserve"> and respond to maritime security threats</w:t>
            </w:r>
          </w:p>
        </w:tc>
      </w:tr>
      <w:tr w:rsidR="006A0C95" w:rsidRPr="00D5609F" w:rsidTr="0076616A">
        <w:tc>
          <w:tcPr>
            <w:tcW w:w="9486" w:type="dxa"/>
            <w:gridSpan w:val="2"/>
            <w:shd w:val="clear" w:color="auto" w:fill="auto"/>
          </w:tcPr>
          <w:p w:rsidR="006A0C95" w:rsidRPr="00D5609F" w:rsidRDefault="005B7FA0" w:rsidP="0076616A">
            <w:pPr>
              <w:jc w:val="center"/>
              <w:rPr>
                <w:rFonts w:cs="Times New Roman"/>
                <w:i/>
                <w:iCs/>
                <w:noProof/>
                <w:color w:val="000000" w:themeColor="text1"/>
              </w:rPr>
            </w:pPr>
            <w:r>
              <w:rPr>
                <w:rFonts w:cs="Times New Roman"/>
                <w:i/>
                <w:iCs/>
                <w:noProof/>
                <w:color w:val="000000" w:themeColor="text1"/>
              </w:rPr>
              <w:t>le</w:t>
            </w:r>
            <w:r w:rsidR="006A0C95" w:rsidRPr="00D5609F">
              <w:rPr>
                <w:rFonts w:cs="Times New Roman"/>
                <w:i/>
                <w:iCs/>
                <w:noProof/>
                <w:color w:val="000000" w:themeColor="text1"/>
              </w:rPr>
              <w:t>ading to</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r w:rsidRPr="00D5609F">
              <w:rPr>
                <w:rFonts w:cs="Times New Roman"/>
                <w:noProof/>
                <w:color w:val="000000" w:themeColor="text1"/>
              </w:rPr>
              <w:t>Impact level</w:t>
            </w:r>
          </w:p>
        </w:tc>
        <w:tc>
          <w:tcPr>
            <w:tcW w:w="7790" w:type="dxa"/>
            <w:shd w:val="clear" w:color="auto" w:fill="auto"/>
          </w:tcPr>
          <w:p w:rsidR="006A0C95" w:rsidRPr="00D5609F" w:rsidRDefault="005B7FA0" w:rsidP="0076616A">
            <w:pPr>
              <w:rPr>
                <w:rFonts w:cs="Times New Roman"/>
                <w:i/>
                <w:iCs/>
                <w:noProof/>
                <w:color w:val="000000" w:themeColor="text1"/>
              </w:rPr>
            </w:pPr>
            <w:r>
              <w:rPr>
                <w:rFonts w:cs="Times New Roman"/>
                <w:noProof/>
                <w:color w:val="000000" w:themeColor="text1"/>
              </w:rPr>
              <w:t>m</w:t>
            </w:r>
            <w:r w:rsidR="006A0C95" w:rsidRPr="00D5609F">
              <w:rPr>
                <w:rFonts w:cs="Times New Roman"/>
                <w:noProof/>
                <w:color w:val="000000" w:themeColor="text1"/>
              </w:rPr>
              <w:t>ore profound law enforcement outcomes that target the leadership structures of the terrorists and organised crime groups involved in crime in the maritime domain.</w:t>
            </w:r>
          </w:p>
        </w:tc>
      </w:tr>
      <w:tr w:rsidR="006A0C95" w:rsidRPr="00D5609F" w:rsidTr="0076616A">
        <w:tc>
          <w:tcPr>
            <w:tcW w:w="9486" w:type="dxa"/>
            <w:gridSpan w:val="2"/>
            <w:shd w:val="clear" w:color="auto" w:fill="auto"/>
          </w:tcPr>
          <w:p w:rsidR="006A0C95" w:rsidRPr="00D5609F" w:rsidRDefault="005B7FA0" w:rsidP="0076616A">
            <w:pPr>
              <w:jc w:val="center"/>
              <w:rPr>
                <w:rFonts w:cs="Times New Roman"/>
                <w:i/>
                <w:iCs/>
                <w:noProof/>
                <w:color w:val="000000" w:themeColor="text1"/>
              </w:rPr>
            </w:pPr>
            <w:r>
              <w:rPr>
                <w:rFonts w:cs="Times New Roman"/>
                <w:i/>
                <w:iCs/>
                <w:noProof/>
                <w:color w:val="000000" w:themeColor="text1"/>
              </w:rPr>
              <w:t>p</w:t>
            </w:r>
            <w:r w:rsidR="006A0C95" w:rsidRPr="00D5609F">
              <w:rPr>
                <w:rFonts w:cs="Times New Roman"/>
                <w:i/>
                <w:iCs/>
                <w:noProof/>
                <w:color w:val="000000" w:themeColor="text1"/>
              </w:rPr>
              <w:t xml:space="preserve">rovided that </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r w:rsidRPr="00D5609F">
              <w:rPr>
                <w:rFonts w:cs="Times New Roman"/>
                <w:noProof/>
                <w:color w:val="000000" w:themeColor="text1"/>
              </w:rPr>
              <w:t>Assumptions</w:t>
            </w:r>
          </w:p>
        </w:tc>
        <w:tc>
          <w:tcPr>
            <w:tcW w:w="7790" w:type="dxa"/>
            <w:shd w:val="clear" w:color="auto" w:fill="auto"/>
          </w:tcPr>
          <w:p w:rsidR="006A0C95" w:rsidRPr="00D5609F" w:rsidRDefault="006A0C95" w:rsidP="004630C0">
            <w:pPr>
              <w:pStyle w:val="ListParagraph"/>
              <w:numPr>
                <w:ilvl w:val="0"/>
                <w:numId w:val="32"/>
              </w:numPr>
              <w:contextualSpacing/>
              <w:jc w:val="left"/>
              <w:rPr>
                <w:noProof/>
                <w:lang w:eastAsia="en-AU"/>
              </w:rPr>
            </w:pPr>
            <w:r w:rsidRPr="00D5609F">
              <w:rPr>
                <w:noProof/>
                <w:lang w:eastAsia="en-AU"/>
              </w:rPr>
              <w:t>Countries initiate investigations and prosecute cases</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lang w:eastAsia="en-AU"/>
              </w:rPr>
            </w:pPr>
            <w:r w:rsidRPr="00D5609F">
              <w:rPr>
                <w:noProof/>
                <w:lang w:eastAsia="en-AU"/>
              </w:rPr>
              <w:t>Trained officers are assigned in the investigation of cases and crime scene investigations</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lang w:eastAsia="en-AU"/>
              </w:rPr>
            </w:pPr>
            <w:r w:rsidRPr="00D5609F">
              <w:rPr>
                <w:noProof/>
                <w:lang w:eastAsia="en-AU"/>
              </w:rPr>
              <w:t>Crime scene is not contaminated by the crew</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lang w:eastAsia="en-AU"/>
              </w:rPr>
            </w:pPr>
            <w:r w:rsidRPr="00D5609F">
              <w:rPr>
                <w:noProof/>
                <w:lang w:eastAsia="en-AU"/>
              </w:rPr>
              <w:t>Effective coordination among agencies involved, including NCBs</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rPr>
            </w:pPr>
            <w:r w:rsidRPr="00D5609F">
              <w:rPr>
                <w:noProof/>
              </w:rPr>
              <w:t>Adequate regional cooperation and exchange of information on cases that affect more than one country</w:t>
            </w:r>
            <w:r w:rsidR="005B7FA0">
              <w:rPr>
                <w:noProof/>
              </w:rPr>
              <w:t>.</w:t>
            </w:r>
          </w:p>
          <w:p w:rsidR="006A0C95" w:rsidRPr="00D5609F" w:rsidRDefault="006A0C95" w:rsidP="006A0C95">
            <w:pPr>
              <w:pStyle w:val="ListParagraph"/>
              <w:numPr>
                <w:ilvl w:val="0"/>
                <w:numId w:val="32"/>
              </w:numPr>
              <w:spacing w:before="120"/>
              <w:contextualSpacing/>
              <w:jc w:val="left"/>
              <w:rPr>
                <w:noProof/>
              </w:rPr>
            </w:pPr>
            <w:r w:rsidRPr="00D5609F">
              <w:rPr>
                <w:noProof/>
                <w:lang w:eastAsia="en-AU"/>
              </w:rPr>
              <w:t>Effective cooperation with regional naval exercises and UNODC Global Maritime Crime Programme in the delivery of mock crime scene exercises and mock trials</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rPr>
            </w:pPr>
            <w:r w:rsidRPr="00D5609F">
              <w:rPr>
                <w:noProof/>
                <w:lang w:eastAsia="en-AU"/>
              </w:rPr>
              <w:t>Former hostages can be located and agree to be debriefed</w:t>
            </w:r>
            <w:r w:rsidR="005B7FA0">
              <w:rPr>
                <w:noProof/>
                <w:lang w:eastAsia="en-AU"/>
              </w:rPr>
              <w:t>.</w:t>
            </w:r>
          </w:p>
          <w:p w:rsidR="006A0C95" w:rsidRPr="00D5609F" w:rsidRDefault="006A0C95" w:rsidP="006A0C95">
            <w:pPr>
              <w:pStyle w:val="ListParagraph"/>
              <w:numPr>
                <w:ilvl w:val="0"/>
                <w:numId w:val="32"/>
              </w:numPr>
              <w:spacing w:before="120"/>
              <w:contextualSpacing/>
              <w:jc w:val="left"/>
              <w:rPr>
                <w:noProof/>
              </w:rPr>
            </w:pPr>
            <w:r w:rsidRPr="00D5609F">
              <w:rPr>
                <w:noProof/>
                <w:lang w:eastAsia="en-AU"/>
              </w:rPr>
              <w:t>Assets are available to be deployed during the tactical phase of the operational exercises.</w:t>
            </w:r>
          </w:p>
        </w:tc>
      </w:tr>
      <w:tr w:rsidR="006A0C95" w:rsidRPr="00D5609F" w:rsidTr="0076616A">
        <w:tc>
          <w:tcPr>
            <w:tcW w:w="9486" w:type="dxa"/>
            <w:gridSpan w:val="2"/>
            <w:shd w:val="clear" w:color="auto" w:fill="auto"/>
          </w:tcPr>
          <w:p w:rsidR="006A0C95" w:rsidRPr="00D5609F" w:rsidRDefault="00543D4A" w:rsidP="0076616A">
            <w:pPr>
              <w:jc w:val="center"/>
              <w:rPr>
                <w:i/>
                <w:iCs/>
                <w:noProof/>
              </w:rPr>
            </w:pPr>
            <w:r>
              <w:rPr>
                <w:i/>
                <w:iCs/>
                <w:noProof/>
              </w:rPr>
              <w:t>a</w:t>
            </w:r>
            <w:r w:rsidR="006A0C95" w:rsidRPr="00D5609F">
              <w:rPr>
                <w:i/>
                <w:iCs/>
                <w:noProof/>
              </w:rPr>
              <w:t>nd assuming the following preconditions apply</w:t>
            </w:r>
          </w:p>
        </w:tc>
      </w:tr>
      <w:tr w:rsidR="006A0C95" w:rsidRPr="00D5609F" w:rsidTr="0076616A">
        <w:tc>
          <w:tcPr>
            <w:tcW w:w="1696" w:type="dxa"/>
            <w:shd w:val="clear" w:color="auto" w:fill="auto"/>
          </w:tcPr>
          <w:p w:rsidR="006A0C95" w:rsidRPr="00D5609F" w:rsidRDefault="006A0C95" w:rsidP="0076616A">
            <w:pPr>
              <w:rPr>
                <w:rFonts w:cs="Times New Roman"/>
                <w:noProof/>
                <w:color w:val="000000" w:themeColor="text1"/>
              </w:rPr>
            </w:pPr>
          </w:p>
        </w:tc>
        <w:tc>
          <w:tcPr>
            <w:tcW w:w="7790" w:type="dxa"/>
            <w:shd w:val="clear" w:color="auto" w:fill="auto"/>
          </w:tcPr>
          <w:p w:rsidR="00831038" w:rsidRPr="00831038" w:rsidRDefault="00831038" w:rsidP="004630C0">
            <w:pPr>
              <w:pStyle w:val="ListParagraph"/>
              <w:numPr>
                <w:ilvl w:val="0"/>
                <w:numId w:val="32"/>
              </w:numPr>
              <w:contextualSpacing/>
              <w:jc w:val="left"/>
              <w:rPr>
                <w:noProof/>
              </w:rPr>
            </w:pPr>
            <w:r>
              <w:rPr>
                <w:noProof/>
              </w:rPr>
              <w:t>Learning will be institutionalised</w:t>
            </w:r>
            <w:r w:rsidR="005B7FA0">
              <w:rPr>
                <w:noProof/>
              </w:rPr>
              <w:t>.</w:t>
            </w:r>
          </w:p>
          <w:p w:rsidR="006A0C95" w:rsidRPr="00D5609F" w:rsidRDefault="006A0C95" w:rsidP="006A0C95">
            <w:pPr>
              <w:pStyle w:val="ListParagraph"/>
              <w:numPr>
                <w:ilvl w:val="0"/>
                <w:numId w:val="32"/>
              </w:numPr>
              <w:spacing w:before="120"/>
              <w:contextualSpacing/>
              <w:jc w:val="left"/>
              <w:rPr>
                <w:noProof/>
              </w:rPr>
            </w:pPr>
            <w:r w:rsidRPr="00D5609F">
              <w:rPr>
                <w:noProof/>
              </w:rPr>
              <w:t>Continued commitment of countries to strengthen regional and international cooperation in the fight against terrorism and crime in the maritime domain in the framework of the Yaoundé Code of Conduct</w:t>
            </w:r>
            <w:r w:rsidR="005B7FA0">
              <w:rPr>
                <w:noProof/>
              </w:rPr>
              <w:t>.</w:t>
            </w:r>
          </w:p>
          <w:p w:rsidR="006A0C95" w:rsidRPr="00D5609F" w:rsidRDefault="006A0C95" w:rsidP="006A0C95">
            <w:pPr>
              <w:pStyle w:val="ListParagraph"/>
              <w:numPr>
                <w:ilvl w:val="0"/>
                <w:numId w:val="32"/>
              </w:numPr>
              <w:spacing w:before="120"/>
              <w:contextualSpacing/>
              <w:jc w:val="left"/>
              <w:rPr>
                <w:noProof/>
              </w:rPr>
            </w:pPr>
            <w:r w:rsidRPr="00D5609F">
              <w:rPr>
                <w:noProof/>
              </w:rPr>
              <w:t>Beneficiary countries demonstrate continuing political will to intensify the fight against maritime crime.</w:t>
            </w:r>
          </w:p>
        </w:tc>
      </w:tr>
    </w:tbl>
    <w:p w:rsidR="00872976" w:rsidRDefault="00872976" w:rsidP="00872976"/>
    <w:p w:rsidR="00872976" w:rsidRDefault="00872976" w:rsidP="00872976"/>
    <w:p w:rsidR="005B7FA0" w:rsidRDefault="005B7FA0" w:rsidP="00872976"/>
    <w:p w:rsidR="005B7FA0" w:rsidRDefault="005B7FA0" w:rsidP="00872976"/>
    <w:p w:rsidR="00E72B0D" w:rsidRDefault="00E72B0D">
      <w:pPr>
        <w:jc w:val="left"/>
        <w:rPr>
          <w:rFonts w:eastAsiaTheme="majorEastAsia" w:cstheme="majorBidi"/>
          <w:b/>
          <w:color w:val="4F81BD" w:themeColor="accent1"/>
          <w:sz w:val="26"/>
          <w:szCs w:val="26"/>
        </w:rPr>
      </w:pPr>
      <w:r>
        <w:br w:type="page"/>
      </w:r>
    </w:p>
    <w:p w:rsidR="00872976" w:rsidRPr="00A1332A" w:rsidRDefault="00A80B7A" w:rsidP="0076616A">
      <w:pPr>
        <w:pStyle w:val="Heading2"/>
      </w:pPr>
      <w:bookmarkStart w:id="10" w:name="_Toc89077034"/>
      <w:r w:rsidRPr="00A1332A">
        <w:t xml:space="preserve">PSE 2 – </w:t>
      </w:r>
      <w:r w:rsidR="00A1332A" w:rsidRPr="00A1332A">
        <w:t>Results Framework</w:t>
      </w:r>
      <w:bookmarkEnd w:id="10"/>
    </w:p>
    <w:p w:rsidR="00872976" w:rsidRPr="00872976" w:rsidRDefault="00872976" w:rsidP="00872976"/>
    <w:tbl>
      <w:tblPr>
        <w:tblW w:w="0" w:type="auto"/>
        <w:tblInd w:w="-10" w:type="dxa"/>
        <w:tblLook w:val="04A0" w:firstRow="1" w:lastRow="0" w:firstColumn="1" w:lastColumn="0" w:noHBand="0" w:noVBand="1"/>
      </w:tblPr>
      <w:tblGrid>
        <w:gridCol w:w="1137"/>
        <w:gridCol w:w="11"/>
        <w:gridCol w:w="658"/>
        <w:gridCol w:w="15"/>
        <w:gridCol w:w="51"/>
        <w:gridCol w:w="600"/>
        <w:gridCol w:w="333"/>
        <w:gridCol w:w="6681"/>
      </w:tblGrid>
      <w:tr w:rsidR="00872976" w:rsidRPr="00D5609F" w:rsidTr="0076616A">
        <w:trPr>
          <w:trHeight w:val="600"/>
        </w:trPr>
        <w:tc>
          <w:tcPr>
            <w:tcW w:w="1848" w:type="dxa"/>
            <w:gridSpan w:val="5"/>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872976" w:rsidRPr="00D5609F" w:rsidRDefault="00872976" w:rsidP="0076616A">
            <w:pPr>
              <w:rPr>
                <w:rFonts w:eastAsia="Times New Roman" w:cs="Times New Roman"/>
                <w:b/>
                <w:bCs/>
                <w:noProof/>
                <w:color w:val="000000"/>
                <w:highlight w:val="yellow"/>
                <w:lang w:eastAsia="ko-KR"/>
              </w:rPr>
            </w:pPr>
            <w:r w:rsidRPr="00D5609F">
              <w:rPr>
                <w:rFonts w:eastAsia="Times New Roman" w:cs="Times New Roman"/>
                <w:b/>
                <w:bCs/>
                <w:noProof/>
                <w:color w:val="000000"/>
                <w:lang w:eastAsia="ko-KR"/>
              </w:rPr>
              <w:t>Project objective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cs="Times New Roman"/>
                <w:noProof/>
              </w:rPr>
            </w:pPr>
            <w:r w:rsidRPr="00D5609F">
              <w:rPr>
                <w:rFonts w:cs="Times New Roman"/>
                <w:noProof/>
              </w:rPr>
              <w:t>Beneficiary countries Benin, Côte d’Ivoire, Ghana, Nigeria</w:t>
            </w:r>
            <w:r w:rsidR="005B7FA0">
              <w:rPr>
                <w:rFonts w:cs="Times New Roman"/>
                <w:noProof/>
              </w:rPr>
              <w:t>,</w:t>
            </w:r>
            <w:r w:rsidRPr="00D5609F">
              <w:rPr>
                <w:rFonts w:cs="Times New Roman"/>
                <w:noProof/>
              </w:rPr>
              <w:t xml:space="preserve"> and Togo are tackling maritime-based crime more effectively through deeper investigations into the wider organisational structures of organised criminal groups and reinforced security at port facilities.</w:t>
            </w:r>
          </w:p>
        </w:tc>
      </w:tr>
      <w:tr w:rsidR="00872976" w:rsidRPr="00D5609F" w:rsidTr="0076616A">
        <w:trPr>
          <w:trHeight w:val="680"/>
        </w:trPr>
        <w:tc>
          <w:tcPr>
            <w:tcW w:w="1848" w:type="dxa"/>
            <w:gridSpan w:val="5"/>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872976" w:rsidRPr="00D5609F" w:rsidRDefault="00872976" w:rsidP="0076616A">
            <w:pPr>
              <w:rPr>
                <w:rFonts w:eastAsia="Times New Roman" w:cs="Times New Roman"/>
                <w:noProof/>
                <w:color w:val="000000"/>
                <w:highlight w:val="yellow"/>
                <w:lang w:eastAsia="ko-KR"/>
              </w:rPr>
            </w:pPr>
            <w:r w:rsidRPr="00D5609F">
              <w:rPr>
                <w:rFonts w:eastAsia="Times New Roman" w:cs="Times New Roman"/>
                <w:noProof/>
                <w:color w:val="000000"/>
                <w:lang w:eastAsia="ko-KR"/>
              </w:rPr>
              <w:t>Impact indicator</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Number of regionally coordinated investigations conducted and admitted in case prosecutions.</w:t>
            </w:r>
          </w:p>
        </w:tc>
      </w:tr>
      <w:tr w:rsidR="00872976" w:rsidRPr="00D5609F" w:rsidTr="0076616A">
        <w:trPr>
          <w:trHeight w:val="660"/>
        </w:trPr>
        <w:tc>
          <w:tcPr>
            <w:tcW w:w="1148" w:type="dxa"/>
            <w:gridSpan w:val="2"/>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Baseline</w:t>
            </w:r>
          </w:p>
        </w:tc>
        <w:tc>
          <w:tcPr>
            <w:tcW w:w="0" w:type="auto"/>
            <w:gridSpan w:val="3"/>
            <w:tcBorders>
              <w:top w:val="nil"/>
              <w:left w:val="nil"/>
              <w:bottom w:val="single" w:sz="8" w:space="0" w:color="auto"/>
              <w:right w:val="single" w:sz="8" w:space="0" w:color="auto"/>
            </w:tcBorders>
            <w:shd w:val="clear" w:color="auto" w:fill="C2D69B" w:themeFill="accent3" w:themeFillTint="99"/>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2021</w:t>
            </w:r>
          </w:p>
        </w:tc>
        <w:tc>
          <w:tcPr>
            <w:tcW w:w="0" w:type="auto"/>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Isolated investigations of the lower-ranking members of crime syndicates involved in maritime-based crime. Investigations and prosecutions do not target the leadership structure of the organised crime groups.</w:t>
            </w:r>
          </w:p>
        </w:tc>
      </w:tr>
      <w:tr w:rsidR="00872976" w:rsidRPr="00D5609F" w:rsidTr="0076616A">
        <w:trPr>
          <w:trHeight w:val="660"/>
        </w:trPr>
        <w:tc>
          <w:tcPr>
            <w:tcW w:w="1148" w:type="dxa"/>
            <w:gridSpan w:val="2"/>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Target</w:t>
            </w:r>
          </w:p>
        </w:tc>
        <w:tc>
          <w:tcPr>
            <w:tcW w:w="0" w:type="auto"/>
            <w:gridSpan w:val="3"/>
            <w:tcBorders>
              <w:top w:val="nil"/>
              <w:left w:val="nil"/>
              <w:bottom w:val="single" w:sz="8" w:space="0" w:color="auto"/>
              <w:right w:val="single" w:sz="8" w:space="0" w:color="auto"/>
            </w:tcBorders>
            <w:shd w:val="clear" w:color="auto" w:fill="C2D69B" w:themeFill="accent3" w:themeFillTint="99"/>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2026</w:t>
            </w:r>
          </w:p>
        </w:tc>
        <w:tc>
          <w:tcPr>
            <w:tcW w:w="0" w:type="auto"/>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Beneficiary countries’ investigations aim to dismantle criminal groups as a whole, rather than focusing on the low-level perpetrators at sea.</w:t>
            </w:r>
          </w:p>
        </w:tc>
      </w:tr>
      <w:tr w:rsidR="00872976" w:rsidRPr="00D5609F" w:rsidTr="0076616A">
        <w:trPr>
          <w:trHeight w:val="340"/>
        </w:trPr>
        <w:tc>
          <w:tcPr>
            <w:tcW w:w="1148" w:type="dxa"/>
            <w:gridSpan w:val="2"/>
            <w:tcBorders>
              <w:top w:val="nil"/>
              <w:left w:val="nil"/>
              <w:bottom w:val="nil"/>
              <w:right w:val="nil"/>
            </w:tcBorders>
            <w:shd w:val="clear" w:color="auto" w:fill="auto"/>
            <w:vAlign w:val="bottom"/>
            <w:hideMark/>
          </w:tcPr>
          <w:p w:rsidR="00872976" w:rsidRPr="00D5609F" w:rsidRDefault="00872976" w:rsidP="0076616A">
            <w:pPr>
              <w:rPr>
                <w:rFonts w:eastAsia="Times New Roman" w:cs="Times New Roman"/>
                <w:noProof/>
                <w:highlight w:val="yellow"/>
                <w:lang w:eastAsia="ko-KR"/>
              </w:rPr>
            </w:pPr>
          </w:p>
        </w:tc>
        <w:tc>
          <w:tcPr>
            <w:tcW w:w="0" w:type="auto"/>
            <w:gridSpan w:val="3"/>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gridSpan w:val="2"/>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r>
      <w:tr w:rsidR="00872976" w:rsidRPr="00D5609F" w:rsidTr="0076616A">
        <w:trPr>
          <w:trHeight w:val="620"/>
        </w:trPr>
        <w:tc>
          <w:tcPr>
            <w:tcW w:w="1848" w:type="dxa"/>
            <w:gridSpan w:val="5"/>
            <w:tcBorders>
              <w:top w:val="single" w:sz="8" w:space="0" w:color="auto"/>
              <w:left w:val="single" w:sz="8" w:space="0" w:color="auto"/>
              <w:bottom w:val="nil"/>
              <w:right w:val="single" w:sz="8" w:space="0" w:color="000000"/>
            </w:tcBorders>
            <w:shd w:val="clear" w:color="000000" w:fill="DBE5F1"/>
            <w:vAlign w:val="center"/>
            <w:hideMark/>
          </w:tcPr>
          <w:p w:rsidR="00872976" w:rsidRPr="00D5609F" w:rsidRDefault="00872976" w:rsidP="0076616A">
            <w:pPr>
              <w:rPr>
                <w:rFonts w:eastAsia="Times New Roman" w:cs="Times New Roman"/>
                <w:b/>
                <w:bCs/>
                <w:noProof/>
                <w:color w:val="000000"/>
                <w:lang w:eastAsia="ko-KR"/>
              </w:rPr>
            </w:pPr>
            <w:r w:rsidRPr="00D5609F">
              <w:rPr>
                <w:rFonts w:eastAsia="Times New Roman" w:cs="Times New Roman"/>
                <w:b/>
                <w:bCs/>
                <w:noProof/>
                <w:color w:val="000000"/>
                <w:lang w:eastAsia="ko-KR"/>
              </w:rPr>
              <w:t>Outcome 1</w:t>
            </w:r>
          </w:p>
        </w:tc>
        <w:tc>
          <w:tcPr>
            <w:tcW w:w="0" w:type="auto"/>
            <w:gridSpan w:val="3"/>
            <w:tcBorders>
              <w:top w:val="single" w:sz="8" w:space="0" w:color="auto"/>
              <w:left w:val="nil"/>
              <w:bottom w:val="nil"/>
              <w:right w:val="single" w:sz="8" w:space="0" w:color="000000"/>
            </w:tcBorders>
            <w:shd w:val="clear" w:color="auto" w:fill="auto"/>
            <w:vAlign w:val="center"/>
            <w:hideMark/>
          </w:tcPr>
          <w:p w:rsidR="00872976" w:rsidRPr="00D5609F" w:rsidRDefault="00872976" w:rsidP="0076616A">
            <w:pPr>
              <w:rPr>
                <w:rFonts w:eastAsia="Times New Roman" w:cs="Times New Roman"/>
                <w:noProof/>
                <w:color w:val="000000"/>
                <w:highlight w:val="yellow"/>
                <w:lang w:eastAsia="ko-KR"/>
              </w:rPr>
            </w:pPr>
            <w:r w:rsidRPr="00D5609F">
              <w:rPr>
                <w:rFonts w:eastAsia="Times New Roman" w:cs="Times New Roman"/>
                <w:noProof/>
                <w:color w:val="000000"/>
                <w:lang w:eastAsia="ko-KR"/>
              </w:rPr>
              <w:t>Maritime law enforcement improve</w:t>
            </w:r>
            <w:r>
              <w:rPr>
                <w:rFonts w:eastAsia="Times New Roman" w:cs="Times New Roman"/>
                <w:noProof/>
                <w:color w:val="000000"/>
                <w:lang w:eastAsia="ko-KR"/>
              </w:rPr>
              <w:t>d</w:t>
            </w:r>
            <w:r w:rsidRPr="00D5609F">
              <w:rPr>
                <w:rFonts w:eastAsia="Times New Roman" w:cs="Times New Roman"/>
                <w:noProof/>
                <w:color w:val="000000"/>
                <w:lang w:eastAsia="ko-KR"/>
              </w:rPr>
              <w:t xml:space="preserve"> by strengthening beneficiary units’ crime scene management and evidence collection skills and ability to debrief former hostages.</w:t>
            </w:r>
          </w:p>
        </w:tc>
      </w:tr>
      <w:tr w:rsidR="00872976" w:rsidRPr="00D5609F" w:rsidTr="0076616A">
        <w:trPr>
          <w:trHeight w:val="640"/>
        </w:trPr>
        <w:tc>
          <w:tcPr>
            <w:tcW w:w="184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Outcome indicator</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Number of cases where evidence collected at crime scenes is admitted in case prosecutions.</w:t>
            </w:r>
          </w:p>
        </w:tc>
      </w:tr>
      <w:tr w:rsidR="00872976" w:rsidRPr="00D5609F" w:rsidTr="0076616A">
        <w:trPr>
          <w:trHeight w:val="340"/>
        </w:trPr>
        <w:tc>
          <w:tcPr>
            <w:tcW w:w="1148" w:type="dxa"/>
            <w:gridSpan w:val="2"/>
            <w:tcBorders>
              <w:top w:val="nil"/>
              <w:left w:val="single" w:sz="8" w:space="0" w:color="auto"/>
              <w:bottom w:val="single" w:sz="8" w:space="0" w:color="auto"/>
              <w:right w:val="single" w:sz="8" w:space="0" w:color="auto"/>
            </w:tcBorders>
            <w:shd w:val="clear" w:color="000000" w:fill="DBE5F1"/>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Baseline</w:t>
            </w:r>
          </w:p>
        </w:tc>
        <w:tc>
          <w:tcPr>
            <w:tcW w:w="0" w:type="auto"/>
            <w:gridSpan w:val="3"/>
            <w:tcBorders>
              <w:top w:val="nil"/>
              <w:left w:val="nil"/>
              <w:bottom w:val="single" w:sz="8" w:space="0" w:color="auto"/>
              <w:right w:val="single" w:sz="8" w:space="0" w:color="auto"/>
            </w:tcBorders>
            <w:shd w:val="clear" w:color="000000" w:fill="DBE5F1"/>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2021</w:t>
            </w:r>
          </w:p>
        </w:tc>
        <w:tc>
          <w:tcPr>
            <w:tcW w:w="0" w:type="auto"/>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Four (4) piracy-related cases admitted in case prosecutions (3 in Togo</w:t>
            </w:r>
            <w:r w:rsidR="001B6EE7">
              <w:rPr>
                <w:rFonts w:eastAsia="Times New Roman" w:cs="Times New Roman"/>
                <w:noProof/>
                <w:lang w:eastAsia="ko-KR"/>
              </w:rPr>
              <w:t xml:space="preserve"> and</w:t>
            </w:r>
            <w:r w:rsidRPr="00D5609F">
              <w:rPr>
                <w:rFonts w:eastAsia="Times New Roman" w:cs="Times New Roman"/>
                <w:noProof/>
                <w:lang w:eastAsia="ko-KR"/>
              </w:rPr>
              <w:t xml:space="preserve"> 1 in Benin between 2015 </w:t>
            </w:r>
            <w:r w:rsidR="001B6EE7">
              <w:rPr>
                <w:rFonts w:eastAsia="Times New Roman" w:cs="Times New Roman"/>
                <w:noProof/>
                <w:lang w:eastAsia="ko-KR"/>
              </w:rPr>
              <w:t>and</w:t>
            </w:r>
            <w:r w:rsidRPr="00D5609F">
              <w:rPr>
                <w:rFonts w:eastAsia="Times New Roman" w:cs="Times New Roman"/>
                <w:noProof/>
                <w:lang w:eastAsia="ko-KR"/>
              </w:rPr>
              <w:t xml:space="preserve"> 2020).</w:t>
            </w:r>
          </w:p>
        </w:tc>
      </w:tr>
      <w:tr w:rsidR="00872976" w:rsidRPr="00D5609F" w:rsidTr="0076616A">
        <w:trPr>
          <w:trHeight w:val="340"/>
        </w:trPr>
        <w:tc>
          <w:tcPr>
            <w:tcW w:w="1148" w:type="dxa"/>
            <w:gridSpan w:val="2"/>
            <w:tcBorders>
              <w:top w:val="single" w:sz="4" w:space="0" w:color="auto"/>
              <w:left w:val="single" w:sz="8" w:space="0" w:color="auto"/>
              <w:bottom w:val="single" w:sz="8" w:space="0" w:color="auto"/>
              <w:right w:val="single" w:sz="8" w:space="0" w:color="auto"/>
            </w:tcBorders>
            <w:shd w:val="clear" w:color="000000" w:fill="DBE5F1"/>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Target</w:t>
            </w:r>
          </w:p>
        </w:tc>
        <w:tc>
          <w:tcPr>
            <w:tcW w:w="0" w:type="auto"/>
            <w:gridSpan w:val="3"/>
            <w:tcBorders>
              <w:top w:val="single" w:sz="4" w:space="0" w:color="auto"/>
              <w:left w:val="nil"/>
              <w:bottom w:val="single" w:sz="8" w:space="0" w:color="auto"/>
              <w:right w:val="single" w:sz="8" w:space="0" w:color="auto"/>
            </w:tcBorders>
            <w:shd w:val="clear" w:color="000000" w:fill="DBE5F1"/>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2"/>
            <w:tcBorders>
              <w:top w:val="single" w:sz="4" w:space="0" w:color="auto"/>
              <w:left w:val="nil"/>
              <w:bottom w:val="single" w:sz="8" w:space="0" w:color="auto"/>
              <w:right w:val="single" w:sz="8" w:space="0" w:color="auto"/>
            </w:tcBorders>
            <w:shd w:val="clear" w:color="auto" w:fill="auto"/>
            <w:vAlign w:val="center"/>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A cumulative total of 5 cases over the course of the implementation where evidence collected at crime scenes is admitted in prosecutions.</w:t>
            </w:r>
          </w:p>
        </w:tc>
      </w:tr>
      <w:tr w:rsidR="00872976" w:rsidRPr="00D5609F" w:rsidTr="0076616A">
        <w:trPr>
          <w:trHeight w:val="340"/>
        </w:trPr>
        <w:tc>
          <w:tcPr>
            <w:tcW w:w="1148" w:type="dxa"/>
            <w:gridSpan w:val="2"/>
            <w:tcBorders>
              <w:top w:val="nil"/>
              <w:left w:val="nil"/>
              <w:bottom w:val="nil"/>
              <w:right w:val="nil"/>
            </w:tcBorders>
            <w:shd w:val="clear" w:color="auto" w:fill="auto"/>
            <w:vAlign w:val="bottom"/>
            <w:hideMark/>
          </w:tcPr>
          <w:p w:rsidR="00872976" w:rsidRPr="00D5609F" w:rsidRDefault="00872976" w:rsidP="0076616A">
            <w:pPr>
              <w:rPr>
                <w:rFonts w:eastAsia="Times New Roman" w:cs="Times New Roman"/>
                <w:noProof/>
                <w:highlight w:val="yellow"/>
                <w:lang w:eastAsia="ko-KR"/>
              </w:rPr>
            </w:pPr>
          </w:p>
        </w:tc>
        <w:tc>
          <w:tcPr>
            <w:tcW w:w="0" w:type="auto"/>
            <w:gridSpan w:val="3"/>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gridSpan w:val="2"/>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r>
      <w:tr w:rsidR="00872976" w:rsidRPr="00D5609F" w:rsidTr="0076616A">
        <w:trPr>
          <w:trHeight w:val="640"/>
        </w:trPr>
        <w:tc>
          <w:tcPr>
            <w:tcW w:w="1848" w:type="dxa"/>
            <w:gridSpan w:val="5"/>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Output 1.1</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 xml:space="preserve">National VBSS </w:t>
            </w:r>
            <w:r>
              <w:rPr>
                <w:rFonts w:eastAsia="Times New Roman" w:cs="Times New Roman"/>
                <w:noProof/>
                <w:lang w:eastAsia="ko-KR"/>
              </w:rPr>
              <w:t xml:space="preserve">civilian </w:t>
            </w:r>
            <w:r w:rsidRPr="00D5609F">
              <w:rPr>
                <w:rFonts w:eastAsia="Times New Roman" w:cs="Times New Roman"/>
                <w:noProof/>
                <w:lang w:eastAsia="ko-KR"/>
              </w:rPr>
              <w:t>teams are supported through targeted training to develop a stronger capacity to preserve a crime scene and manage it until law enforcement teams board to collect evidence, with at least 29 cases of properly preserved crime scenes on record.</w:t>
            </w:r>
          </w:p>
        </w:tc>
      </w:tr>
      <w:tr w:rsidR="00872976" w:rsidRPr="00D5609F" w:rsidTr="004630C0">
        <w:trPr>
          <w:trHeight w:val="700"/>
        </w:trPr>
        <w:tc>
          <w:tcPr>
            <w:tcW w:w="1848" w:type="dxa"/>
            <w:gridSpan w:val="5"/>
            <w:tcBorders>
              <w:top w:val="single" w:sz="8" w:space="0" w:color="auto"/>
              <w:left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Output Indicator</w:t>
            </w:r>
            <w:r>
              <w:rPr>
                <w:rFonts w:eastAsia="Times New Roman" w:cs="Times New Roman"/>
                <w:noProof/>
                <w:lang w:eastAsia="ko-KR"/>
              </w:rPr>
              <w:t xml:space="preserve"> 1.1</w:t>
            </w:r>
          </w:p>
        </w:tc>
        <w:tc>
          <w:tcPr>
            <w:tcW w:w="0" w:type="auto"/>
            <w:gridSpan w:val="3"/>
            <w:tcBorders>
              <w:top w:val="single" w:sz="8" w:space="0" w:color="auto"/>
              <w:left w:val="nil"/>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At least 29 cases of crime scenes that are not contaminated by first responders or investigators.</w:t>
            </w:r>
          </w:p>
        </w:tc>
      </w:tr>
      <w:tr w:rsidR="00872976" w:rsidRPr="00D5609F" w:rsidTr="004630C0">
        <w:trPr>
          <w:trHeight w:val="340"/>
        </w:trPr>
        <w:tc>
          <w:tcPr>
            <w:tcW w:w="1148" w:type="dxa"/>
            <w:gridSpan w:val="2"/>
            <w:tcBorders>
              <w:top w:val="nil"/>
              <w:left w:val="single" w:sz="8" w:space="0" w:color="auto"/>
              <w:bottom w:val="single" w:sz="4"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Baseline</w:t>
            </w:r>
          </w:p>
        </w:tc>
        <w:tc>
          <w:tcPr>
            <w:tcW w:w="0" w:type="auto"/>
            <w:gridSpan w:val="3"/>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2021</w:t>
            </w:r>
          </w:p>
        </w:tc>
        <w:tc>
          <w:tcPr>
            <w:tcW w:w="0" w:type="auto"/>
            <w:tcBorders>
              <w:top w:val="nil"/>
              <w:left w:val="single" w:sz="4" w:space="0" w:color="auto"/>
              <w:bottom w:val="single" w:sz="4"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Eighteen (18) crime scenes that were not contaminated by first responders over the period 2016-2020.</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2022</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Eight cases (8) (including all types of crime in the maritime domain).</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2023</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Eight cases (8) (including all types of crime in the maritime domain).</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2024</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Seven cases (7) (including all types of crime in the maritime domain).</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2025</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Six cases (6) (including all types of crime in the maritime domain).</w:t>
            </w:r>
          </w:p>
        </w:tc>
      </w:tr>
      <w:tr w:rsidR="00872976" w:rsidRPr="00D5609F" w:rsidTr="004630C0">
        <w:trPr>
          <w:trHeight w:val="340"/>
        </w:trPr>
        <w:tc>
          <w:tcPr>
            <w:tcW w:w="1148" w:type="dxa"/>
            <w:gridSpan w:val="2"/>
            <w:tcBorders>
              <w:top w:val="single" w:sz="4" w:space="0" w:color="auto"/>
              <w:left w:val="single" w:sz="8" w:space="0" w:color="auto"/>
              <w:bottom w:val="single" w:sz="8"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Target</w:t>
            </w:r>
          </w:p>
        </w:tc>
        <w:tc>
          <w:tcPr>
            <w:tcW w:w="0" w:type="auto"/>
            <w:gridSpan w:val="3"/>
            <w:tcBorders>
              <w:top w:val="single" w:sz="4" w:space="0" w:color="auto"/>
              <w:left w:val="single" w:sz="4" w:space="0" w:color="auto"/>
              <w:bottom w:val="single" w:sz="8"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2026</w:t>
            </w:r>
          </w:p>
        </w:tc>
        <w:tc>
          <w:tcPr>
            <w:tcW w:w="0" w:type="auto"/>
            <w:tcBorders>
              <w:top w:val="single" w:sz="4" w:space="0" w:color="auto"/>
              <w:left w:val="single" w:sz="4" w:space="0" w:color="auto"/>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A cumulative total of 29 cases.</w:t>
            </w:r>
          </w:p>
        </w:tc>
      </w:tr>
      <w:tr w:rsidR="00872976" w:rsidRPr="00D5609F" w:rsidTr="0076616A">
        <w:trPr>
          <w:trHeight w:val="340"/>
        </w:trPr>
        <w:tc>
          <w:tcPr>
            <w:tcW w:w="1148" w:type="dxa"/>
            <w:gridSpan w:val="2"/>
            <w:tcBorders>
              <w:top w:val="nil"/>
              <w:left w:val="nil"/>
              <w:bottom w:val="nil"/>
              <w:right w:val="nil"/>
            </w:tcBorders>
            <w:shd w:val="clear" w:color="auto" w:fill="auto"/>
            <w:vAlign w:val="bottom"/>
            <w:hideMark/>
          </w:tcPr>
          <w:p w:rsidR="00872976" w:rsidRPr="00D5609F" w:rsidRDefault="00872976" w:rsidP="0076616A">
            <w:pPr>
              <w:rPr>
                <w:rFonts w:eastAsia="Times New Roman" w:cs="Times New Roman"/>
                <w:noProof/>
                <w:highlight w:val="yellow"/>
                <w:lang w:eastAsia="ko-KR"/>
              </w:rPr>
            </w:pPr>
          </w:p>
        </w:tc>
        <w:tc>
          <w:tcPr>
            <w:tcW w:w="0" w:type="auto"/>
            <w:gridSpan w:val="3"/>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gridSpan w:val="2"/>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c>
          <w:tcPr>
            <w:tcW w:w="0" w:type="auto"/>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highlight w:val="yellow"/>
                <w:lang w:eastAsia="ko-KR"/>
              </w:rPr>
            </w:pPr>
          </w:p>
        </w:tc>
      </w:tr>
      <w:tr w:rsidR="00872976" w:rsidRPr="00D5609F" w:rsidTr="0076616A">
        <w:trPr>
          <w:trHeight w:val="640"/>
        </w:trPr>
        <w:tc>
          <w:tcPr>
            <w:tcW w:w="1848" w:type="dxa"/>
            <w:gridSpan w:val="5"/>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Output 1.2</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Law enforcement authorities in the beneficiary countries possess relevant skills to interview former hostages, collect information</w:t>
            </w:r>
            <w:r w:rsidR="001B6EE7">
              <w:rPr>
                <w:rFonts w:eastAsia="Times New Roman" w:cs="Times New Roman"/>
                <w:noProof/>
                <w:lang w:eastAsia="ko-KR"/>
              </w:rPr>
              <w:t>,</w:t>
            </w:r>
            <w:r w:rsidRPr="00D5609F">
              <w:rPr>
                <w:rFonts w:eastAsia="Times New Roman" w:cs="Times New Roman"/>
                <w:noProof/>
                <w:lang w:eastAsia="ko-KR"/>
              </w:rPr>
              <w:t xml:space="preserve"> and share internally or internationally (if and where applicable).</w:t>
            </w:r>
          </w:p>
        </w:tc>
      </w:tr>
      <w:tr w:rsidR="00872976" w:rsidRPr="00D5609F" w:rsidTr="0076616A">
        <w:trPr>
          <w:trHeight w:val="760"/>
        </w:trPr>
        <w:tc>
          <w:tcPr>
            <w:tcW w:w="1848" w:type="dxa"/>
            <w:gridSpan w:val="5"/>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Output Indicator</w:t>
            </w:r>
            <w:r>
              <w:rPr>
                <w:rFonts w:eastAsia="Times New Roman" w:cs="Times New Roman"/>
                <w:noProof/>
                <w:lang w:eastAsia="ko-KR"/>
              </w:rPr>
              <w:t xml:space="preserve"> 1.2</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At least 8 hostage debriefings that support national (or international) investigations.</w:t>
            </w:r>
          </w:p>
        </w:tc>
      </w:tr>
      <w:tr w:rsidR="00872976" w:rsidRPr="00D5609F" w:rsidTr="004630C0">
        <w:trPr>
          <w:trHeight w:val="340"/>
        </w:trPr>
        <w:tc>
          <w:tcPr>
            <w:tcW w:w="1148" w:type="dxa"/>
            <w:gridSpan w:val="2"/>
            <w:tcBorders>
              <w:top w:val="nil"/>
              <w:left w:val="single" w:sz="8" w:space="0" w:color="auto"/>
              <w:bottom w:val="single" w:sz="8" w:space="0" w:color="auto"/>
              <w:right w:val="single" w:sz="8"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Baseline</w:t>
            </w:r>
          </w:p>
        </w:tc>
        <w:tc>
          <w:tcPr>
            <w:tcW w:w="0" w:type="auto"/>
            <w:gridSpan w:val="3"/>
            <w:tcBorders>
              <w:top w:val="nil"/>
              <w:left w:val="nil"/>
              <w:bottom w:val="single" w:sz="8" w:space="0" w:color="auto"/>
              <w:right w:val="single" w:sz="8"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2021</w:t>
            </w:r>
          </w:p>
        </w:tc>
        <w:tc>
          <w:tcPr>
            <w:tcW w:w="0" w:type="auto"/>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No systematic debriefing of seafarers released from pirate captivity. Where debriefings do take place, information is rarely shared across regions. Involvement of multiple agencies and insufficient inter-agency coordination.</w:t>
            </w:r>
          </w:p>
        </w:tc>
      </w:tr>
      <w:tr w:rsidR="00872976" w:rsidRPr="00D5609F" w:rsidTr="004630C0">
        <w:trPr>
          <w:trHeight w:val="340"/>
        </w:trPr>
        <w:tc>
          <w:tcPr>
            <w:tcW w:w="1148" w:type="dxa"/>
            <w:gridSpan w:val="2"/>
            <w:tcBorders>
              <w:top w:val="single" w:sz="8"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8"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8"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2022</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0 systematic debriefings of seafarers released from pirate captivity</w:t>
            </w:r>
            <w:r w:rsidR="001B6EE7">
              <w:rPr>
                <w:rFonts w:eastAsia="Times New Roman" w:cs="Times New Roman"/>
                <w:noProof/>
                <w:lang w:eastAsia="ko-KR"/>
              </w:rPr>
              <w:t>.</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2023</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 systematic debriefings of seafarers released from pirate captivity</w:t>
            </w:r>
            <w:r w:rsidR="001B6EE7">
              <w:rPr>
                <w:rFonts w:eastAsia="Times New Roman" w:cs="Times New Roman"/>
                <w:noProof/>
                <w:lang w:eastAsia="ko-KR"/>
              </w:rPr>
              <w:t>.</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2024</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 systematic debriefings of seafarers released from pirate captivity</w:t>
            </w:r>
            <w:r w:rsidR="001B6EE7">
              <w:rPr>
                <w:rFonts w:eastAsia="Times New Roman" w:cs="Times New Roman"/>
                <w:noProof/>
                <w:lang w:eastAsia="ko-KR"/>
              </w:rPr>
              <w:t>.</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2025</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 systematic debriefings of seafarers released from pirate captivity</w:t>
            </w:r>
            <w:r w:rsidR="001B6EE7">
              <w:rPr>
                <w:rFonts w:eastAsia="Times New Roman" w:cs="Times New Roman"/>
                <w:noProof/>
                <w:lang w:eastAsia="ko-KR"/>
              </w:rPr>
              <w:t>.</w:t>
            </w:r>
          </w:p>
        </w:tc>
      </w:tr>
      <w:tr w:rsidR="00872976" w:rsidRPr="00D5609F" w:rsidTr="004630C0">
        <w:trPr>
          <w:trHeight w:val="340"/>
        </w:trPr>
        <w:tc>
          <w:tcPr>
            <w:tcW w:w="1148" w:type="dxa"/>
            <w:gridSpan w:val="2"/>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2026</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 systematic debriefings of seafarers released from pirate captivity</w:t>
            </w:r>
            <w:r w:rsidR="001B6EE7">
              <w:rPr>
                <w:rFonts w:eastAsia="Times New Roman" w:cs="Times New Roman"/>
                <w:noProof/>
                <w:lang w:eastAsia="ko-KR"/>
              </w:rPr>
              <w:t>.</w:t>
            </w:r>
          </w:p>
        </w:tc>
      </w:tr>
      <w:tr w:rsidR="00872976" w:rsidRPr="00D5609F" w:rsidTr="004630C0">
        <w:trPr>
          <w:trHeight w:val="340"/>
        </w:trPr>
        <w:tc>
          <w:tcPr>
            <w:tcW w:w="1148" w:type="dxa"/>
            <w:gridSpan w:val="2"/>
            <w:tcBorders>
              <w:top w:val="single" w:sz="4" w:space="0" w:color="auto"/>
              <w:left w:val="single" w:sz="8" w:space="0" w:color="auto"/>
              <w:bottom w:val="single" w:sz="8"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Target</w:t>
            </w:r>
          </w:p>
        </w:tc>
        <w:tc>
          <w:tcPr>
            <w:tcW w:w="0" w:type="auto"/>
            <w:gridSpan w:val="3"/>
            <w:tcBorders>
              <w:top w:val="single" w:sz="4" w:space="0" w:color="auto"/>
              <w:left w:val="single" w:sz="4" w:space="0" w:color="auto"/>
              <w:bottom w:val="single" w:sz="8"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2026</w:t>
            </w:r>
          </w:p>
        </w:tc>
        <w:tc>
          <w:tcPr>
            <w:tcW w:w="0" w:type="auto"/>
            <w:tcBorders>
              <w:top w:val="single" w:sz="4" w:space="0" w:color="auto"/>
              <w:left w:val="single" w:sz="4" w:space="0" w:color="auto"/>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A cumulative total of eight (8) debriefings are conducted by beneficiary countries by officers who have received specialist training. Debriefings are shared via INTERPOL channels in support of national (or international) investigations.</w:t>
            </w:r>
          </w:p>
        </w:tc>
      </w:tr>
      <w:tr w:rsidR="00872976" w:rsidRPr="00D5609F" w:rsidTr="0076616A">
        <w:trPr>
          <w:trHeight w:val="340"/>
        </w:trPr>
        <w:tc>
          <w:tcPr>
            <w:tcW w:w="1148" w:type="dxa"/>
            <w:gridSpan w:val="2"/>
            <w:tcBorders>
              <w:top w:val="nil"/>
              <w:left w:val="nil"/>
              <w:bottom w:val="nil"/>
              <w:right w:val="nil"/>
            </w:tcBorders>
            <w:shd w:val="clear" w:color="auto" w:fill="auto"/>
            <w:vAlign w:val="bottom"/>
            <w:hideMark/>
          </w:tcPr>
          <w:p w:rsidR="00872976" w:rsidRPr="00D5609F" w:rsidRDefault="00872976" w:rsidP="0076616A">
            <w:pPr>
              <w:rPr>
                <w:rFonts w:eastAsia="Times New Roman" w:cs="Times New Roman"/>
                <w:noProof/>
                <w:lang w:eastAsia="ko-KR"/>
              </w:rPr>
            </w:pPr>
          </w:p>
        </w:tc>
        <w:tc>
          <w:tcPr>
            <w:tcW w:w="0" w:type="auto"/>
            <w:gridSpan w:val="3"/>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lang w:eastAsia="ko-KR"/>
              </w:rPr>
            </w:pPr>
          </w:p>
        </w:tc>
        <w:tc>
          <w:tcPr>
            <w:tcW w:w="0" w:type="auto"/>
            <w:gridSpan w:val="2"/>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lang w:eastAsia="ko-KR"/>
              </w:rPr>
            </w:pPr>
          </w:p>
        </w:tc>
        <w:tc>
          <w:tcPr>
            <w:tcW w:w="0" w:type="auto"/>
            <w:tcBorders>
              <w:top w:val="nil"/>
              <w:left w:val="nil"/>
              <w:bottom w:val="nil"/>
              <w:right w:val="nil"/>
            </w:tcBorders>
            <w:shd w:val="clear" w:color="auto" w:fill="auto"/>
            <w:vAlign w:val="bottom"/>
            <w:hideMark/>
          </w:tcPr>
          <w:p w:rsidR="00872976" w:rsidRPr="00D5609F" w:rsidRDefault="00872976" w:rsidP="0076616A">
            <w:pPr>
              <w:jc w:val="left"/>
              <w:rPr>
                <w:rFonts w:ascii="Times New Roman" w:eastAsia="Times New Roman" w:hAnsi="Times New Roman" w:cs="Times New Roman"/>
                <w:noProof/>
                <w:sz w:val="20"/>
                <w:szCs w:val="20"/>
                <w:lang w:eastAsia="ko-KR"/>
              </w:rPr>
            </w:pPr>
          </w:p>
        </w:tc>
      </w:tr>
      <w:tr w:rsidR="00872976" w:rsidRPr="00D5609F" w:rsidTr="0076616A">
        <w:trPr>
          <w:trHeight w:val="620"/>
        </w:trPr>
        <w:tc>
          <w:tcPr>
            <w:tcW w:w="1848" w:type="dxa"/>
            <w:gridSpan w:val="5"/>
            <w:tcBorders>
              <w:top w:val="single" w:sz="8" w:space="0" w:color="auto"/>
              <w:left w:val="single" w:sz="8" w:space="0" w:color="auto"/>
              <w:bottom w:val="nil"/>
              <w:right w:val="single" w:sz="8" w:space="0" w:color="000000"/>
            </w:tcBorders>
            <w:shd w:val="clear" w:color="000000" w:fill="DBE5F1"/>
            <w:vAlign w:val="center"/>
            <w:hideMark/>
          </w:tcPr>
          <w:p w:rsidR="00872976" w:rsidRPr="00D5609F" w:rsidRDefault="00872976" w:rsidP="0076616A">
            <w:pPr>
              <w:rPr>
                <w:rFonts w:eastAsia="Times New Roman" w:cs="Times New Roman"/>
                <w:b/>
                <w:bCs/>
                <w:noProof/>
                <w:color w:val="000000"/>
                <w:lang w:eastAsia="ko-KR"/>
              </w:rPr>
            </w:pPr>
            <w:bookmarkStart w:id="11" w:name="_Hlk78212204"/>
            <w:bookmarkStart w:id="12" w:name="_Hlk78212241"/>
            <w:r w:rsidRPr="00D5609F">
              <w:rPr>
                <w:rFonts w:eastAsia="Times New Roman" w:cs="Times New Roman"/>
                <w:b/>
                <w:bCs/>
                <w:noProof/>
                <w:color w:val="000000"/>
                <w:lang w:eastAsia="ko-KR"/>
              </w:rPr>
              <w:t>Outcome 2</w:t>
            </w:r>
          </w:p>
        </w:tc>
        <w:tc>
          <w:tcPr>
            <w:tcW w:w="0" w:type="auto"/>
            <w:gridSpan w:val="3"/>
            <w:tcBorders>
              <w:top w:val="single" w:sz="8" w:space="0" w:color="auto"/>
              <w:left w:val="nil"/>
              <w:bottom w:val="nil"/>
              <w:right w:val="single" w:sz="8" w:space="0" w:color="000000"/>
            </w:tcBorders>
            <w:shd w:val="clear" w:color="auto" w:fill="auto"/>
            <w:vAlign w:val="center"/>
            <w:hideMark/>
          </w:tcPr>
          <w:p w:rsidR="00872976" w:rsidRPr="00D5609F" w:rsidRDefault="003806D5" w:rsidP="003806D5">
            <w:pPr>
              <w:rPr>
                <w:rFonts w:eastAsia="Times New Roman" w:cs="Times New Roman"/>
                <w:noProof/>
                <w:color w:val="000000"/>
                <w:highlight w:val="yellow"/>
                <w:lang w:eastAsia="ko-KR"/>
              </w:rPr>
            </w:pPr>
            <w:r>
              <w:rPr>
                <w:rFonts w:cs="Times New Roman"/>
                <w:noProof/>
              </w:rPr>
              <w:t>Improved s</w:t>
            </w:r>
            <w:r w:rsidR="00872976" w:rsidRPr="00D5609F">
              <w:rPr>
                <w:rFonts w:cs="Times New Roman"/>
                <w:noProof/>
              </w:rPr>
              <w:t>afety and security in the GoG</w:t>
            </w:r>
            <w:r w:rsidR="00872976">
              <w:rPr>
                <w:rFonts w:cs="Times New Roman"/>
                <w:noProof/>
              </w:rPr>
              <w:t xml:space="preserve"> </w:t>
            </w:r>
            <w:r w:rsidR="00872976" w:rsidRPr="00D5609F">
              <w:rPr>
                <w:rFonts w:cs="Times New Roman"/>
                <w:noProof/>
              </w:rPr>
              <w:t>through stronger security measures at key port facilities and enhanced law enforcement skills to prevent, detect, investigate</w:t>
            </w:r>
            <w:r w:rsidR="001B6EE7">
              <w:rPr>
                <w:rFonts w:cs="Times New Roman"/>
                <w:noProof/>
              </w:rPr>
              <w:t>,</w:t>
            </w:r>
            <w:r w:rsidR="00872976" w:rsidRPr="00D5609F">
              <w:rPr>
                <w:rFonts w:cs="Times New Roman"/>
                <w:noProof/>
              </w:rPr>
              <w:t xml:space="preserve"> and respond to threats to port security.</w:t>
            </w:r>
          </w:p>
        </w:tc>
      </w:tr>
      <w:bookmarkEnd w:id="11"/>
      <w:tr w:rsidR="00872976" w:rsidRPr="00D5609F" w:rsidTr="0076616A">
        <w:trPr>
          <w:trHeight w:val="640"/>
        </w:trPr>
        <w:tc>
          <w:tcPr>
            <w:tcW w:w="184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Outcome indicator</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Number of incidents related to port security (comprising all crime types) decrease by 25%.</w:t>
            </w:r>
          </w:p>
        </w:tc>
      </w:tr>
      <w:tr w:rsidR="00872976" w:rsidRPr="00D5609F" w:rsidTr="0076616A">
        <w:trPr>
          <w:trHeight w:val="340"/>
        </w:trPr>
        <w:tc>
          <w:tcPr>
            <w:tcW w:w="1148" w:type="dxa"/>
            <w:gridSpan w:val="2"/>
            <w:tcBorders>
              <w:top w:val="nil"/>
              <w:left w:val="single" w:sz="8" w:space="0" w:color="auto"/>
              <w:bottom w:val="single" w:sz="8" w:space="0" w:color="auto"/>
              <w:right w:val="single" w:sz="8" w:space="0" w:color="auto"/>
            </w:tcBorders>
            <w:shd w:val="clear" w:color="000000" w:fill="DBE5F1"/>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Baseline</w:t>
            </w:r>
          </w:p>
        </w:tc>
        <w:tc>
          <w:tcPr>
            <w:tcW w:w="0" w:type="auto"/>
            <w:gridSpan w:val="3"/>
            <w:tcBorders>
              <w:top w:val="nil"/>
              <w:left w:val="nil"/>
              <w:bottom w:val="single" w:sz="8" w:space="0" w:color="auto"/>
              <w:right w:val="single" w:sz="8" w:space="0" w:color="auto"/>
            </w:tcBorders>
            <w:shd w:val="clear" w:color="000000" w:fill="DBE5F1"/>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2021</w:t>
            </w:r>
          </w:p>
        </w:tc>
        <w:tc>
          <w:tcPr>
            <w:tcW w:w="0" w:type="auto"/>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TBD (</w:t>
            </w:r>
            <w:r w:rsidR="001B6EE7">
              <w:rPr>
                <w:rFonts w:eastAsia="Times New Roman" w:cs="Times New Roman"/>
                <w:noProof/>
                <w:lang w:eastAsia="ko-KR"/>
              </w:rPr>
              <w:t>s</w:t>
            </w:r>
            <w:r w:rsidRPr="00D5609F">
              <w:rPr>
                <w:rFonts w:eastAsia="Times New Roman" w:cs="Times New Roman"/>
                <w:noProof/>
                <w:lang w:eastAsia="ko-KR"/>
              </w:rPr>
              <w:t>urvey to beneficiary countries / fact</w:t>
            </w:r>
            <w:r w:rsidR="003806D5">
              <w:rPr>
                <w:rFonts w:eastAsia="Times New Roman" w:cs="Times New Roman"/>
                <w:noProof/>
                <w:lang w:eastAsia="ko-KR"/>
              </w:rPr>
              <w:t>-</w:t>
            </w:r>
            <w:r w:rsidRPr="00D5609F">
              <w:rPr>
                <w:rFonts w:eastAsia="Times New Roman" w:cs="Times New Roman"/>
                <w:noProof/>
                <w:lang w:eastAsia="ko-KR"/>
              </w:rPr>
              <w:t>finding missions).</w:t>
            </w:r>
          </w:p>
        </w:tc>
      </w:tr>
      <w:tr w:rsidR="00872976" w:rsidRPr="00D5609F" w:rsidTr="0076616A">
        <w:trPr>
          <w:trHeight w:val="340"/>
        </w:trPr>
        <w:tc>
          <w:tcPr>
            <w:tcW w:w="1148" w:type="dxa"/>
            <w:gridSpan w:val="2"/>
            <w:tcBorders>
              <w:top w:val="single" w:sz="8" w:space="0" w:color="auto"/>
              <w:left w:val="single" w:sz="8" w:space="0" w:color="auto"/>
              <w:bottom w:val="single" w:sz="4" w:space="0" w:color="auto"/>
              <w:right w:val="single" w:sz="8" w:space="0" w:color="auto"/>
            </w:tcBorders>
            <w:shd w:val="clear" w:color="000000" w:fill="DBE5F1"/>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Target</w:t>
            </w:r>
          </w:p>
        </w:tc>
        <w:tc>
          <w:tcPr>
            <w:tcW w:w="0" w:type="auto"/>
            <w:gridSpan w:val="3"/>
            <w:tcBorders>
              <w:top w:val="single" w:sz="8" w:space="0" w:color="auto"/>
              <w:left w:val="nil"/>
              <w:bottom w:val="single" w:sz="4" w:space="0" w:color="auto"/>
              <w:right w:val="single" w:sz="8" w:space="0" w:color="auto"/>
            </w:tcBorders>
            <w:shd w:val="clear" w:color="000000" w:fill="DBE5F1"/>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Year</w:t>
            </w:r>
          </w:p>
        </w:tc>
        <w:tc>
          <w:tcPr>
            <w:tcW w:w="0" w:type="auto"/>
            <w:gridSpan w:val="2"/>
            <w:tcBorders>
              <w:top w:val="single" w:sz="8"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2026</w:t>
            </w:r>
          </w:p>
        </w:tc>
        <w:tc>
          <w:tcPr>
            <w:tcW w:w="0" w:type="auto"/>
            <w:tcBorders>
              <w:top w:val="single" w:sz="8"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TBD</w:t>
            </w:r>
            <w:r w:rsidR="001B6EE7">
              <w:rPr>
                <w:rFonts w:eastAsia="Times New Roman" w:cs="Times New Roman"/>
                <w:noProof/>
                <w:lang w:eastAsia="ko-KR"/>
              </w:rPr>
              <w:t>.</w:t>
            </w:r>
          </w:p>
        </w:tc>
      </w:tr>
      <w:tr w:rsidR="00872976" w:rsidRPr="00D5609F" w:rsidTr="0076616A">
        <w:trPr>
          <w:trHeight w:val="340"/>
        </w:trPr>
        <w:tc>
          <w:tcPr>
            <w:tcW w:w="1148" w:type="dxa"/>
            <w:gridSpan w:val="2"/>
            <w:tcBorders>
              <w:top w:val="single" w:sz="4" w:space="0" w:color="auto"/>
              <w:bottom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p>
        </w:tc>
        <w:tc>
          <w:tcPr>
            <w:tcW w:w="0" w:type="auto"/>
            <w:gridSpan w:val="3"/>
            <w:tcBorders>
              <w:top w:val="single" w:sz="4" w:space="0" w:color="auto"/>
              <w:bottom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p>
        </w:tc>
        <w:tc>
          <w:tcPr>
            <w:tcW w:w="0" w:type="auto"/>
            <w:gridSpan w:val="2"/>
            <w:tcBorders>
              <w:top w:val="single" w:sz="4" w:space="0" w:color="auto"/>
              <w:bottom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p>
        </w:tc>
        <w:tc>
          <w:tcPr>
            <w:tcW w:w="0" w:type="auto"/>
            <w:tcBorders>
              <w:top w:val="single" w:sz="4" w:space="0" w:color="auto"/>
              <w:bottom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p>
        </w:tc>
      </w:tr>
      <w:bookmarkEnd w:id="12"/>
      <w:tr w:rsidR="00872976" w:rsidRPr="00D5609F" w:rsidTr="0076616A">
        <w:trPr>
          <w:trHeight w:val="620"/>
        </w:trPr>
        <w:tc>
          <w:tcPr>
            <w:tcW w:w="1806" w:type="dxa"/>
            <w:gridSpan w:val="3"/>
            <w:tcBorders>
              <w:top w:val="single" w:sz="4" w:space="0" w:color="auto"/>
              <w:left w:val="single" w:sz="8" w:space="0" w:color="auto"/>
              <w:bottom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b/>
                <w:bCs/>
                <w:noProof/>
                <w:color w:val="000000"/>
                <w:lang w:eastAsia="ko-KR"/>
              </w:rPr>
            </w:pPr>
            <w:r w:rsidRPr="00D5609F">
              <w:rPr>
                <w:rFonts w:eastAsia="Times New Roman" w:cs="Times New Roman"/>
                <w:b/>
                <w:bCs/>
                <w:noProof/>
                <w:color w:val="000000"/>
                <w:lang w:eastAsia="ko-KR"/>
              </w:rPr>
              <w:t>Output 2.1</w:t>
            </w:r>
          </w:p>
        </w:tc>
        <w:tc>
          <w:tcPr>
            <w:tcW w:w="0" w:type="auto"/>
            <w:gridSpan w:val="5"/>
            <w:tcBorders>
              <w:top w:val="single" w:sz="4"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color w:val="000000"/>
                <w:highlight w:val="yellow"/>
                <w:lang w:eastAsia="ko-KR"/>
              </w:rPr>
            </w:pPr>
            <w:r w:rsidRPr="00D5609F">
              <w:rPr>
                <w:rFonts w:cs="Times New Roman"/>
                <w:noProof/>
              </w:rPr>
              <w:t>Development of tailored training curricula (national and regional) to reinforce law enforcement agencies’ and port authorities’ capacities to address port security threats.</w:t>
            </w:r>
          </w:p>
        </w:tc>
      </w:tr>
      <w:tr w:rsidR="00872976" w:rsidRPr="00D5609F" w:rsidTr="0076616A">
        <w:trPr>
          <w:trHeight w:val="640"/>
        </w:trPr>
        <w:tc>
          <w:tcPr>
            <w:tcW w:w="1806" w:type="dxa"/>
            <w:gridSpan w:val="3"/>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Output indicator</w:t>
            </w:r>
            <w:r>
              <w:rPr>
                <w:rFonts w:eastAsia="Times New Roman" w:cs="Times New Roman"/>
                <w:noProof/>
                <w:color w:val="000000"/>
                <w:lang w:eastAsia="ko-KR"/>
              </w:rPr>
              <w:t xml:space="preserve"> 2.1</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100 port facilities officers in the 5 beneficiary countries are trained in law enforcement and port security techniques.</w:t>
            </w:r>
          </w:p>
        </w:tc>
      </w:tr>
      <w:tr w:rsidR="00872976" w:rsidRPr="00D5609F" w:rsidTr="0076616A">
        <w:trPr>
          <w:trHeight w:val="340"/>
        </w:trPr>
        <w:tc>
          <w:tcPr>
            <w:tcW w:w="1133"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Baseline</w:t>
            </w:r>
          </w:p>
        </w:tc>
        <w:tc>
          <w:tcPr>
            <w:tcW w:w="0" w:type="auto"/>
            <w:gridSpan w:val="2"/>
            <w:tcBorders>
              <w:top w:val="nil"/>
              <w:left w:val="nil"/>
              <w:bottom w:val="single" w:sz="8" w:space="0" w:color="auto"/>
              <w:right w:val="single" w:sz="8"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2021</w:t>
            </w:r>
          </w:p>
        </w:tc>
        <w:tc>
          <w:tcPr>
            <w:tcW w:w="0" w:type="auto"/>
            <w:gridSpan w:val="2"/>
            <w:tcBorders>
              <w:top w:val="nil"/>
              <w:left w:val="nil"/>
              <w:bottom w:val="single" w:sz="8" w:space="0" w:color="auto"/>
              <w:right w:val="single" w:sz="8"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TBD (</w:t>
            </w:r>
            <w:r w:rsidR="001B6EE7">
              <w:rPr>
                <w:rFonts w:eastAsia="Times New Roman" w:cs="Times New Roman"/>
                <w:noProof/>
                <w:lang w:eastAsia="ko-KR"/>
              </w:rPr>
              <w:t>s</w:t>
            </w:r>
            <w:r w:rsidRPr="00D5609F">
              <w:rPr>
                <w:rFonts w:eastAsia="Times New Roman" w:cs="Times New Roman"/>
                <w:noProof/>
                <w:lang w:eastAsia="ko-KR"/>
              </w:rPr>
              <w:t>urvey to beneficiary countries).</w:t>
            </w:r>
          </w:p>
        </w:tc>
      </w:tr>
      <w:tr w:rsidR="00872976" w:rsidRPr="00D5609F" w:rsidTr="0076616A">
        <w:trPr>
          <w:trHeight w:val="340"/>
        </w:trPr>
        <w:tc>
          <w:tcPr>
            <w:tcW w:w="1133" w:type="dxa"/>
            <w:tcBorders>
              <w:top w:val="single" w:sz="4" w:space="0" w:color="auto"/>
              <w:left w:val="single" w:sz="8" w:space="0" w:color="auto"/>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2"/>
            <w:tcBorders>
              <w:top w:val="single" w:sz="4" w:space="0" w:color="auto"/>
              <w:left w:val="nil"/>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2022</w:t>
            </w:r>
          </w:p>
        </w:tc>
        <w:tc>
          <w:tcPr>
            <w:tcW w:w="0" w:type="auto"/>
            <w:gridSpan w:val="2"/>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N/A</w:t>
            </w:r>
            <w:r w:rsidR="001B6EE7">
              <w:rPr>
                <w:rFonts w:eastAsia="Times New Roman" w:cs="Times New Roman"/>
                <w:noProof/>
                <w:lang w:eastAsia="ko-KR"/>
              </w:rPr>
              <w:t>.</w:t>
            </w:r>
          </w:p>
        </w:tc>
      </w:tr>
      <w:tr w:rsidR="00872976" w:rsidRPr="00D5609F" w:rsidTr="0076616A">
        <w:trPr>
          <w:trHeight w:val="340"/>
        </w:trPr>
        <w:tc>
          <w:tcPr>
            <w:tcW w:w="1133" w:type="dxa"/>
            <w:tcBorders>
              <w:top w:val="single" w:sz="4" w:space="0" w:color="auto"/>
              <w:left w:val="single" w:sz="8" w:space="0" w:color="auto"/>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2"/>
            <w:tcBorders>
              <w:top w:val="single" w:sz="4" w:space="0" w:color="auto"/>
              <w:left w:val="nil"/>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2023</w:t>
            </w:r>
          </w:p>
        </w:tc>
        <w:tc>
          <w:tcPr>
            <w:tcW w:w="0" w:type="auto"/>
            <w:gridSpan w:val="2"/>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 xml:space="preserve">50 officers (10 officers per beneficiary country) receive training </w:t>
            </w:r>
            <w:r w:rsidR="001B6EE7">
              <w:rPr>
                <w:rFonts w:eastAsia="Times New Roman" w:cs="Times New Roman"/>
                <w:noProof/>
                <w:lang w:eastAsia="ko-KR"/>
              </w:rPr>
              <w:t>i</w:t>
            </w:r>
            <w:r w:rsidRPr="00D5609F">
              <w:rPr>
                <w:rFonts w:eastAsia="Times New Roman" w:cs="Times New Roman"/>
                <w:noProof/>
                <w:lang w:eastAsia="ko-KR"/>
              </w:rPr>
              <w:t>n law enforcement techniques, detection of installation surveillance</w:t>
            </w:r>
            <w:r w:rsidR="001B6EE7">
              <w:rPr>
                <w:rFonts w:eastAsia="Times New Roman" w:cs="Times New Roman"/>
                <w:noProof/>
                <w:lang w:eastAsia="ko-KR"/>
              </w:rPr>
              <w:t>,</w:t>
            </w:r>
            <w:r w:rsidRPr="00D5609F">
              <w:rPr>
                <w:rFonts w:eastAsia="Times New Roman" w:cs="Times New Roman"/>
                <w:noProof/>
                <w:lang w:eastAsia="ko-KR"/>
              </w:rPr>
              <w:t xml:space="preserve"> and physical security of port infrastructure.</w:t>
            </w:r>
          </w:p>
        </w:tc>
      </w:tr>
      <w:tr w:rsidR="00872976" w:rsidRPr="00D5609F" w:rsidTr="0076616A">
        <w:trPr>
          <w:trHeight w:val="340"/>
        </w:trPr>
        <w:tc>
          <w:tcPr>
            <w:tcW w:w="1133" w:type="dxa"/>
            <w:tcBorders>
              <w:top w:val="single" w:sz="4" w:space="0" w:color="auto"/>
              <w:left w:val="single" w:sz="8" w:space="0" w:color="auto"/>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2"/>
            <w:tcBorders>
              <w:top w:val="single" w:sz="4" w:space="0" w:color="auto"/>
              <w:left w:val="nil"/>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2024</w:t>
            </w:r>
          </w:p>
        </w:tc>
        <w:tc>
          <w:tcPr>
            <w:tcW w:w="0" w:type="auto"/>
            <w:gridSpan w:val="2"/>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 xml:space="preserve">50 officers (10 officers per beneficiary country) receive training </w:t>
            </w:r>
            <w:r w:rsidR="001B6EE7">
              <w:rPr>
                <w:rFonts w:eastAsia="Times New Roman" w:cs="Times New Roman"/>
                <w:noProof/>
                <w:lang w:eastAsia="ko-KR"/>
              </w:rPr>
              <w:t>i</w:t>
            </w:r>
            <w:r w:rsidRPr="00D5609F">
              <w:rPr>
                <w:rFonts w:eastAsia="Times New Roman" w:cs="Times New Roman"/>
                <w:noProof/>
                <w:lang w:eastAsia="ko-KR"/>
              </w:rPr>
              <w:t>n harbour security</w:t>
            </w:r>
            <w:r w:rsidR="00A76806">
              <w:rPr>
                <w:rFonts w:eastAsia="Times New Roman" w:cs="Times New Roman"/>
                <w:noProof/>
                <w:lang w:eastAsia="ko-KR"/>
              </w:rPr>
              <w:t>,</w:t>
            </w:r>
            <w:r w:rsidRPr="00D5609F">
              <w:rPr>
                <w:rFonts w:eastAsia="Times New Roman" w:cs="Times New Roman"/>
                <w:noProof/>
                <w:lang w:eastAsia="ko-KR"/>
              </w:rPr>
              <w:t xml:space="preserve"> narcotics checkpoints</w:t>
            </w:r>
            <w:r w:rsidR="00A76806">
              <w:rPr>
                <w:rFonts w:eastAsia="Times New Roman" w:cs="Times New Roman"/>
                <w:noProof/>
                <w:lang w:eastAsia="ko-KR"/>
              </w:rPr>
              <w:t>,</w:t>
            </w:r>
            <w:r w:rsidRPr="00D5609F">
              <w:rPr>
                <w:rFonts w:eastAsia="Times New Roman" w:cs="Times New Roman"/>
                <w:noProof/>
                <w:lang w:eastAsia="ko-KR"/>
              </w:rPr>
              <w:t xml:space="preserve"> and identity, travel</w:t>
            </w:r>
            <w:r w:rsidR="001B6EE7">
              <w:rPr>
                <w:rFonts w:eastAsia="Times New Roman" w:cs="Times New Roman"/>
                <w:noProof/>
                <w:lang w:eastAsia="ko-KR"/>
              </w:rPr>
              <w:t>,</w:t>
            </w:r>
            <w:r w:rsidRPr="00D5609F">
              <w:rPr>
                <w:rFonts w:eastAsia="Times New Roman" w:cs="Times New Roman"/>
                <w:noProof/>
                <w:lang w:eastAsia="ko-KR"/>
              </w:rPr>
              <w:t xml:space="preserve"> and customs documents.</w:t>
            </w:r>
          </w:p>
        </w:tc>
      </w:tr>
      <w:tr w:rsidR="00872976" w:rsidRPr="00D5609F" w:rsidTr="0076616A">
        <w:trPr>
          <w:trHeight w:val="340"/>
        </w:trPr>
        <w:tc>
          <w:tcPr>
            <w:tcW w:w="1133" w:type="dxa"/>
            <w:tcBorders>
              <w:top w:val="single" w:sz="4" w:space="0" w:color="auto"/>
              <w:left w:val="single" w:sz="8" w:space="0" w:color="auto"/>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2"/>
            <w:tcBorders>
              <w:top w:val="single" w:sz="4" w:space="0" w:color="auto"/>
              <w:left w:val="nil"/>
              <w:bottom w:val="single" w:sz="4"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2025</w:t>
            </w:r>
          </w:p>
        </w:tc>
        <w:tc>
          <w:tcPr>
            <w:tcW w:w="0" w:type="auto"/>
            <w:gridSpan w:val="2"/>
            <w:tcBorders>
              <w:top w:val="single" w:sz="4" w:space="0" w:color="auto"/>
              <w:left w:val="nil"/>
              <w:bottom w:val="single" w:sz="4"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N/A</w:t>
            </w:r>
            <w:r w:rsidR="00A76806">
              <w:rPr>
                <w:rFonts w:eastAsia="Times New Roman" w:cs="Times New Roman"/>
                <w:noProof/>
                <w:lang w:eastAsia="ko-KR"/>
              </w:rPr>
              <w:t>.</w:t>
            </w:r>
          </w:p>
        </w:tc>
      </w:tr>
      <w:tr w:rsidR="00872976" w:rsidRPr="00D5609F" w:rsidTr="0076616A">
        <w:trPr>
          <w:trHeight w:val="340"/>
        </w:trPr>
        <w:tc>
          <w:tcPr>
            <w:tcW w:w="1133" w:type="dxa"/>
            <w:tcBorders>
              <w:top w:val="single" w:sz="4" w:space="0" w:color="auto"/>
              <w:left w:val="single" w:sz="8" w:space="0" w:color="auto"/>
              <w:bottom w:val="single" w:sz="8"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Target</w:t>
            </w:r>
          </w:p>
        </w:tc>
        <w:tc>
          <w:tcPr>
            <w:tcW w:w="0" w:type="auto"/>
            <w:gridSpan w:val="2"/>
            <w:tcBorders>
              <w:top w:val="single" w:sz="4" w:space="0" w:color="auto"/>
              <w:left w:val="nil"/>
              <w:bottom w:val="single" w:sz="8" w:space="0" w:color="auto"/>
              <w:right w:val="single" w:sz="8"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nil"/>
              <w:bottom w:val="single" w:sz="8"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2026</w:t>
            </w:r>
          </w:p>
        </w:tc>
        <w:tc>
          <w:tcPr>
            <w:tcW w:w="0" w:type="auto"/>
            <w:gridSpan w:val="2"/>
            <w:tcBorders>
              <w:top w:val="single" w:sz="4" w:space="0" w:color="auto"/>
              <w:left w:val="nil"/>
              <w:bottom w:val="single" w:sz="8" w:space="0" w:color="auto"/>
              <w:right w:val="single" w:sz="8"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100 officers trained in the 5 beneficiary countries</w:t>
            </w:r>
          </w:p>
        </w:tc>
      </w:tr>
      <w:tr w:rsidR="00872976" w:rsidRPr="00D5609F" w:rsidTr="0076616A">
        <w:trPr>
          <w:trHeight w:val="620"/>
        </w:trPr>
        <w:tc>
          <w:tcPr>
            <w:tcW w:w="1814" w:type="dxa"/>
            <w:gridSpan w:val="4"/>
            <w:tcBorders>
              <w:top w:val="single" w:sz="8" w:space="0" w:color="auto"/>
              <w:left w:val="single" w:sz="8" w:space="0" w:color="auto"/>
              <w:bottom w:val="nil"/>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b/>
                <w:bCs/>
                <w:noProof/>
                <w:color w:val="000000"/>
                <w:lang w:eastAsia="ko-KR"/>
              </w:rPr>
            </w:pPr>
            <w:r w:rsidRPr="00D5609F">
              <w:rPr>
                <w:rFonts w:eastAsia="Times New Roman" w:cs="Times New Roman"/>
                <w:b/>
                <w:bCs/>
                <w:noProof/>
                <w:color w:val="000000"/>
                <w:lang w:eastAsia="ko-KR"/>
              </w:rPr>
              <w:t>Output 2.2</w:t>
            </w:r>
          </w:p>
        </w:tc>
        <w:tc>
          <w:tcPr>
            <w:tcW w:w="0" w:type="auto"/>
            <w:gridSpan w:val="4"/>
            <w:tcBorders>
              <w:top w:val="single" w:sz="8" w:space="0" w:color="auto"/>
              <w:left w:val="nil"/>
              <w:bottom w:val="nil"/>
              <w:right w:val="single" w:sz="8" w:space="0" w:color="000000"/>
            </w:tcBorders>
            <w:shd w:val="clear" w:color="auto" w:fill="auto"/>
            <w:vAlign w:val="center"/>
            <w:hideMark/>
          </w:tcPr>
          <w:p w:rsidR="00872976" w:rsidRPr="00D5609F" w:rsidRDefault="00872976" w:rsidP="0076616A">
            <w:pPr>
              <w:rPr>
                <w:rFonts w:eastAsia="Times New Roman" w:cs="Times New Roman"/>
                <w:noProof/>
                <w:color w:val="000000"/>
                <w:highlight w:val="yellow"/>
                <w:lang w:eastAsia="ko-KR"/>
              </w:rPr>
            </w:pPr>
            <w:r w:rsidRPr="00D5609F">
              <w:rPr>
                <w:rFonts w:cs="Times New Roman"/>
                <w:noProof/>
              </w:rPr>
              <w:t>Beneficiary units practice acquired skills during INTERPOL-coordinated operational exercises incorporating port security and crime scene management elements.</w:t>
            </w:r>
          </w:p>
        </w:tc>
      </w:tr>
      <w:tr w:rsidR="00872976" w:rsidRPr="00D5609F" w:rsidTr="004630C0">
        <w:trPr>
          <w:trHeight w:val="640"/>
        </w:trPr>
        <w:tc>
          <w:tcPr>
            <w:tcW w:w="1814" w:type="dxa"/>
            <w:gridSpan w:val="4"/>
            <w:tcBorders>
              <w:top w:val="single" w:sz="8" w:space="0" w:color="auto"/>
              <w:left w:val="single" w:sz="8" w:space="0" w:color="auto"/>
              <w:bottom w:val="single" w:sz="4" w:space="0" w:color="auto"/>
              <w:right w:val="single" w:sz="8" w:space="0" w:color="000000"/>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Output indicator</w:t>
            </w:r>
            <w:r>
              <w:rPr>
                <w:rFonts w:eastAsia="Times New Roman" w:cs="Times New Roman"/>
                <w:noProof/>
                <w:color w:val="000000"/>
                <w:lang w:eastAsia="ko-KR"/>
              </w:rPr>
              <w:t xml:space="preserve"> 2.1</w:t>
            </w:r>
          </w:p>
        </w:tc>
        <w:tc>
          <w:tcPr>
            <w:tcW w:w="0" w:type="auto"/>
            <w:gridSpan w:val="4"/>
            <w:tcBorders>
              <w:top w:val="single" w:sz="8" w:space="0" w:color="auto"/>
              <w:left w:val="nil"/>
              <w:bottom w:val="single" w:sz="4" w:space="0" w:color="auto"/>
              <w:right w:val="single" w:sz="8" w:space="0" w:color="000000"/>
            </w:tcBorders>
            <w:shd w:val="clear" w:color="auto" w:fill="auto"/>
            <w:vAlign w:val="center"/>
            <w:hideMark/>
          </w:tcPr>
          <w:p w:rsidR="00872976" w:rsidRPr="00D5609F" w:rsidRDefault="00872976" w:rsidP="0076616A">
            <w:pPr>
              <w:rPr>
                <w:rFonts w:eastAsia="Times New Roman" w:cs="Times New Roman"/>
                <w:noProof/>
                <w:highlight w:val="yellow"/>
                <w:lang w:eastAsia="ko-KR"/>
              </w:rPr>
            </w:pPr>
            <w:r w:rsidRPr="00D5609F">
              <w:rPr>
                <w:rFonts w:eastAsia="Times New Roman" w:cs="Times New Roman"/>
                <w:noProof/>
                <w:lang w:eastAsia="ko-KR"/>
              </w:rPr>
              <w:t>Number of cases supported through the carrying out of operational exercises and suspects identified / arrested.</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Baseline</w:t>
            </w: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No INTERPOL-coordinated operational exercises carried out.</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N/A</w:t>
            </w:r>
            <w:r w:rsidR="00A76806">
              <w:rPr>
                <w:rFonts w:eastAsia="Times New Roman" w:cs="Times New Roman"/>
                <w:noProof/>
                <w:lang w:eastAsia="ko-KR"/>
              </w:rPr>
              <w:t>.</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One operational exercise carried out.</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N/A</w:t>
            </w:r>
            <w:r w:rsidR="00A76806">
              <w:rPr>
                <w:rFonts w:eastAsia="Times New Roman" w:cs="Times New Roman"/>
                <w:noProof/>
                <w:lang w:eastAsia="ko-KR"/>
              </w:rPr>
              <w:t>.</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One operational exercise carried out.</w:t>
            </w:r>
          </w:p>
        </w:tc>
      </w:tr>
      <w:tr w:rsidR="00872976" w:rsidRPr="00D5609F" w:rsidTr="004630C0">
        <w:trPr>
          <w:trHeight w:val="340"/>
        </w:trPr>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Target</w:t>
            </w:r>
          </w:p>
        </w:tc>
        <w:tc>
          <w:tcPr>
            <w:tcW w:w="0" w:type="auto"/>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72976" w:rsidRPr="00D5609F" w:rsidRDefault="00872976" w:rsidP="0076616A">
            <w:pPr>
              <w:rPr>
                <w:rFonts w:eastAsia="Times New Roman" w:cs="Times New Roman"/>
                <w:noProof/>
                <w:color w:val="000000"/>
                <w:lang w:eastAsia="ko-KR"/>
              </w:rPr>
            </w:pPr>
            <w:r w:rsidRPr="00D5609F">
              <w:rPr>
                <w:rFonts w:eastAsia="Times New Roman" w:cs="Times New Roman"/>
                <w:noProof/>
                <w:color w:val="000000"/>
                <w:lang w:eastAsia="ko-KR"/>
              </w:rPr>
              <w:t>Year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872976" w:rsidP="0076616A">
            <w:pPr>
              <w:rPr>
                <w:rFonts w:eastAsia="Times New Roman" w:cs="Times New Roman"/>
                <w:noProof/>
                <w:lang w:eastAsia="ko-KR"/>
              </w:rPr>
            </w:pPr>
            <w:r w:rsidRPr="00D5609F">
              <w:rPr>
                <w:rFonts w:eastAsia="Times New Roman" w:cs="Times New Roman"/>
                <w:noProof/>
                <w:lang w:eastAsia="ko-KR"/>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72976" w:rsidRPr="00D5609F" w:rsidRDefault="00524291" w:rsidP="0076616A">
            <w:pPr>
              <w:rPr>
                <w:rFonts w:eastAsia="Times New Roman" w:cs="Times New Roman"/>
                <w:noProof/>
                <w:lang w:eastAsia="ko-KR"/>
              </w:rPr>
            </w:pPr>
            <w:r w:rsidRPr="00524291">
              <w:rPr>
                <w:rFonts w:eastAsia="Times New Roman" w:cs="Times New Roman"/>
                <w:noProof/>
                <w:lang w:eastAsia="ko-KR"/>
              </w:rPr>
              <w:t>N/A (pending detailed dialogue)</w:t>
            </w:r>
          </w:p>
        </w:tc>
      </w:tr>
    </w:tbl>
    <w:p w:rsidR="004955DA" w:rsidRDefault="004955DA" w:rsidP="004955DA"/>
    <w:p w:rsidR="004955DA" w:rsidRDefault="004955DA" w:rsidP="004955DA"/>
    <w:p w:rsidR="004955DA" w:rsidRPr="004955DA" w:rsidRDefault="004955DA" w:rsidP="004955DA"/>
    <w:p w:rsidR="00FE7E1F" w:rsidRDefault="00FE7E1F" w:rsidP="00FE7E1F"/>
    <w:p w:rsidR="00FE7E1F" w:rsidRDefault="00FE7E1F" w:rsidP="00FE7E1F"/>
    <w:p w:rsidR="00FE7E1F" w:rsidRDefault="00352200" w:rsidP="00CD3740">
      <w:pPr>
        <w:pStyle w:val="Heading1"/>
        <w:pageBreakBefore/>
      </w:pPr>
      <w:bookmarkStart w:id="13" w:name="_Toc89077035"/>
      <w:r>
        <w:t>PSE 3</w:t>
      </w:r>
      <w:bookmarkEnd w:id="13"/>
    </w:p>
    <w:p w:rsidR="00952D03" w:rsidRPr="00952D03" w:rsidRDefault="00952D03" w:rsidP="0076616A">
      <w:pPr>
        <w:pStyle w:val="Heading2"/>
      </w:pPr>
      <w:bookmarkStart w:id="14" w:name="_Toc89077036"/>
      <w:r>
        <w:t>PSE 3</w:t>
      </w:r>
      <w:r w:rsidR="0076616A">
        <w:t xml:space="preserve"> –</w:t>
      </w:r>
      <w:r>
        <w:t xml:space="preserve"> Theory of Change</w:t>
      </w:r>
      <w:bookmarkEnd w:id="14"/>
    </w:p>
    <w:tbl>
      <w:tblPr>
        <w:tblStyle w:val="TableGrid"/>
        <w:tblW w:w="0" w:type="auto"/>
        <w:tblLook w:val="04A0" w:firstRow="1" w:lastRow="0" w:firstColumn="1" w:lastColumn="0" w:noHBand="0" w:noVBand="1"/>
      </w:tblPr>
      <w:tblGrid>
        <w:gridCol w:w="1696"/>
        <w:gridCol w:w="7790"/>
      </w:tblGrid>
      <w:tr w:rsidR="00E7022C" w:rsidRPr="00D5609F" w:rsidTr="0076616A">
        <w:tc>
          <w:tcPr>
            <w:tcW w:w="9486" w:type="dxa"/>
            <w:gridSpan w:val="2"/>
            <w:shd w:val="clear" w:color="auto" w:fill="auto"/>
          </w:tcPr>
          <w:p w:rsidR="00E7022C" w:rsidRPr="00FF6163" w:rsidRDefault="00E7022C" w:rsidP="0076616A">
            <w:pPr>
              <w:jc w:val="center"/>
              <w:rPr>
                <w:rFonts w:cs="Times New Roman"/>
                <w:b/>
                <w:bCs/>
                <w:noProof/>
                <w:color w:val="000000" w:themeColor="text1"/>
                <w:sz w:val="20"/>
                <w:szCs w:val="20"/>
              </w:rPr>
            </w:pPr>
            <w:r w:rsidRPr="00FF6163">
              <w:rPr>
                <w:rFonts w:cs="Times New Roman"/>
                <w:b/>
                <w:bCs/>
                <w:noProof/>
                <w:color w:val="000000" w:themeColor="text1"/>
                <w:sz w:val="20"/>
                <w:szCs w:val="20"/>
              </w:rPr>
              <w:t>Theory of Change</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r w:rsidRPr="004630C0">
              <w:rPr>
                <w:rFonts w:cs="Times New Roman"/>
                <w:noProof/>
                <w:color w:val="000000" w:themeColor="text1"/>
                <w:sz w:val="24"/>
                <w:szCs w:val="24"/>
              </w:rPr>
              <w:t>Output level</w:t>
            </w:r>
          </w:p>
        </w:tc>
        <w:tc>
          <w:tcPr>
            <w:tcW w:w="7790" w:type="dxa"/>
            <w:shd w:val="clear" w:color="auto" w:fill="auto"/>
          </w:tcPr>
          <w:p w:rsidR="00E7022C" w:rsidRPr="004630C0" w:rsidRDefault="00E7022C" w:rsidP="0076616A">
            <w:pPr>
              <w:rPr>
                <w:rFonts w:cs="Times New Roman"/>
                <w:noProof/>
                <w:color w:val="000000" w:themeColor="text1"/>
              </w:rPr>
            </w:pPr>
            <w:r w:rsidRPr="004630C0">
              <w:rPr>
                <w:rFonts w:cs="Times New Roman"/>
                <w:i/>
                <w:iCs/>
                <w:noProof/>
                <w:color w:val="000000" w:themeColor="text1"/>
                <w:sz w:val="24"/>
                <w:szCs w:val="24"/>
              </w:rPr>
              <w:t xml:space="preserve">If </w:t>
            </w:r>
            <w:r w:rsidRPr="004630C0">
              <w:rPr>
                <w:rFonts w:eastAsia="Times New Roman"/>
                <w:sz w:val="24"/>
                <w:szCs w:val="24"/>
              </w:rPr>
              <w:t>research-based knowledge products concerning key policy and operational maritime security issues are developed at an African centre of excellence</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and</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5B7FA0" w:rsidP="0076616A">
            <w:pPr>
              <w:rPr>
                <w:rFonts w:cs="Times New Roman"/>
                <w:noProof/>
                <w:color w:val="000000" w:themeColor="text1"/>
              </w:rPr>
            </w:pPr>
            <w:r w:rsidRPr="004630C0">
              <w:rPr>
                <w:rFonts w:cs="Times New Roman"/>
                <w:i/>
                <w:iCs/>
                <w:noProof/>
                <w:color w:val="000000" w:themeColor="text1"/>
                <w:sz w:val="24"/>
                <w:szCs w:val="24"/>
              </w:rPr>
              <w:t>i</w:t>
            </w:r>
            <w:r w:rsidR="00E7022C" w:rsidRPr="004630C0">
              <w:rPr>
                <w:rFonts w:cs="Times New Roman"/>
                <w:i/>
                <w:iCs/>
                <w:noProof/>
                <w:color w:val="000000" w:themeColor="text1"/>
                <w:sz w:val="24"/>
                <w:szCs w:val="24"/>
              </w:rPr>
              <w:t xml:space="preserve">f </w:t>
            </w:r>
            <w:r w:rsidR="00E7022C" w:rsidRPr="004630C0">
              <w:rPr>
                <w:rFonts w:cs="Times New Roman"/>
                <w:noProof/>
                <w:color w:val="000000" w:themeColor="text1"/>
                <w:sz w:val="24"/>
                <w:szCs w:val="24"/>
              </w:rPr>
              <w:t>these research-based products inform policy and technical dialogues between maritime policy makers, agencies</w:t>
            </w:r>
            <w:r w:rsidR="00A76806" w:rsidRPr="004630C0">
              <w:rPr>
                <w:rFonts w:cs="Times New Roman"/>
                <w:noProof/>
                <w:color w:val="000000" w:themeColor="text1"/>
                <w:sz w:val="24"/>
                <w:szCs w:val="24"/>
              </w:rPr>
              <w:t>,</w:t>
            </w:r>
            <w:r w:rsidR="00E7022C" w:rsidRPr="004630C0">
              <w:rPr>
                <w:rFonts w:cs="Times New Roman"/>
                <w:noProof/>
                <w:color w:val="000000" w:themeColor="text1"/>
                <w:sz w:val="24"/>
                <w:szCs w:val="24"/>
              </w:rPr>
              <w:t xml:space="preserve"> and practitioners</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and</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5B7FA0" w:rsidP="0076616A">
            <w:pPr>
              <w:rPr>
                <w:rFonts w:cs="Times New Roman"/>
                <w:noProof/>
                <w:color w:val="000000" w:themeColor="text1"/>
              </w:rPr>
            </w:pPr>
            <w:r w:rsidRPr="004630C0">
              <w:rPr>
                <w:rFonts w:cs="Times New Roman"/>
                <w:i/>
                <w:iCs/>
                <w:noProof/>
                <w:color w:val="000000" w:themeColor="text1"/>
                <w:sz w:val="24"/>
                <w:szCs w:val="24"/>
              </w:rPr>
              <w:t>i</w:t>
            </w:r>
            <w:r w:rsidR="00E7022C" w:rsidRPr="004630C0">
              <w:rPr>
                <w:rFonts w:cs="Times New Roman"/>
                <w:i/>
                <w:iCs/>
                <w:noProof/>
                <w:color w:val="000000" w:themeColor="text1"/>
                <w:sz w:val="24"/>
                <w:szCs w:val="24"/>
              </w:rPr>
              <w:t xml:space="preserve">f  </w:t>
            </w:r>
            <w:r w:rsidR="00E7022C" w:rsidRPr="004630C0">
              <w:rPr>
                <w:rFonts w:cs="Times New Roman"/>
                <w:noProof/>
                <w:color w:val="000000" w:themeColor="text1"/>
                <w:sz w:val="24"/>
                <w:szCs w:val="24"/>
              </w:rPr>
              <w:t>non-state actors including the media get trained to reiniforce understanding of the importance of national and regional action to address piracy and other maritime crimes</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and</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5B7FA0" w:rsidP="0076616A">
            <w:pPr>
              <w:rPr>
                <w:rFonts w:cs="Times New Roman"/>
                <w:noProof/>
                <w:color w:val="000000" w:themeColor="text1"/>
              </w:rPr>
            </w:pPr>
            <w:r w:rsidRPr="004630C0">
              <w:rPr>
                <w:rFonts w:cs="Times New Roman"/>
                <w:i/>
                <w:iCs/>
                <w:noProof/>
                <w:color w:val="000000" w:themeColor="text1"/>
                <w:sz w:val="24"/>
                <w:szCs w:val="24"/>
              </w:rPr>
              <w:t>i</w:t>
            </w:r>
            <w:r w:rsidR="00E7022C" w:rsidRPr="004630C0">
              <w:rPr>
                <w:rFonts w:cs="Times New Roman"/>
                <w:i/>
                <w:iCs/>
                <w:noProof/>
                <w:color w:val="000000" w:themeColor="text1"/>
                <w:sz w:val="24"/>
                <w:szCs w:val="24"/>
              </w:rPr>
              <w:t xml:space="preserve">f </w:t>
            </w:r>
            <w:r w:rsidR="00E7022C" w:rsidRPr="004630C0">
              <w:rPr>
                <w:rFonts w:cs="Times New Roman"/>
                <w:noProof/>
                <w:color w:val="000000" w:themeColor="text1"/>
                <w:sz w:val="24"/>
                <w:szCs w:val="24"/>
              </w:rPr>
              <w:t xml:space="preserve"> maritime security training courses and course for meadia actors are adpatively improved to reflect and incorporate the evidence from reseach-based knowledge</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and</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5B7FA0" w:rsidP="0076616A">
            <w:pPr>
              <w:rPr>
                <w:rFonts w:cs="Times New Roman"/>
                <w:noProof/>
                <w:color w:val="000000" w:themeColor="text1"/>
              </w:rPr>
            </w:pPr>
            <w:r w:rsidRPr="004630C0">
              <w:rPr>
                <w:rFonts w:cs="Times New Roman"/>
                <w:i/>
                <w:iCs/>
                <w:noProof/>
                <w:color w:val="000000" w:themeColor="text1"/>
                <w:sz w:val="24"/>
                <w:szCs w:val="24"/>
              </w:rPr>
              <w:t>i</w:t>
            </w:r>
            <w:r w:rsidR="00E7022C" w:rsidRPr="004630C0">
              <w:rPr>
                <w:rFonts w:cs="Times New Roman"/>
                <w:i/>
                <w:iCs/>
                <w:noProof/>
                <w:color w:val="000000" w:themeColor="text1"/>
                <w:sz w:val="24"/>
                <w:szCs w:val="24"/>
              </w:rPr>
              <w:t xml:space="preserve">f  </w:t>
            </w:r>
            <w:r w:rsidR="00E7022C" w:rsidRPr="004630C0">
              <w:rPr>
                <w:rFonts w:cs="Times New Roman"/>
                <w:noProof/>
                <w:color w:val="000000" w:themeColor="text1"/>
                <w:sz w:val="24"/>
                <w:szCs w:val="24"/>
              </w:rPr>
              <w:t>KAIPTC and WPSI take a regional agenda setting role to address the gap between the articulation and operationalisation of of the WPS agenda in instruments of the African Union, ECOWAS, ECCAS</w:t>
            </w:r>
            <w:r w:rsidR="00A76806" w:rsidRPr="004630C0">
              <w:rPr>
                <w:rFonts w:cs="Times New Roman"/>
                <w:noProof/>
                <w:color w:val="000000" w:themeColor="text1"/>
                <w:sz w:val="24"/>
                <w:szCs w:val="24"/>
              </w:rPr>
              <w:t>,</w:t>
            </w:r>
            <w:r w:rsidR="00E7022C" w:rsidRPr="004630C0">
              <w:rPr>
                <w:rFonts w:cs="Times New Roman"/>
                <w:noProof/>
                <w:color w:val="000000" w:themeColor="text1"/>
                <w:sz w:val="24"/>
                <w:szCs w:val="24"/>
              </w:rPr>
              <w:t xml:space="preserve"> and the GoG coastal countries through a combination of policy focussed research, WPS focussed training, and convening of African networks of policy makers and experts</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and</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5B7FA0" w:rsidP="0076616A">
            <w:pPr>
              <w:rPr>
                <w:rFonts w:cs="Times New Roman"/>
                <w:noProof/>
                <w:color w:val="000000" w:themeColor="text1"/>
              </w:rPr>
            </w:pPr>
            <w:r w:rsidRPr="004630C0">
              <w:rPr>
                <w:rFonts w:cs="Times New Roman"/>
                <w:i/>
                <w:iCs/>
                <w:noProof/>
                <w:color w:val="000000" w:themeColor="text1"/>
                <w:sz w:val="24"/>
                <w:szCs w:val="24"/>
              </w:rPr>
              <w:t>i</w:t>
            </w:r>
            <w:r w:rsidR="00E7022C" w:rsidRPr="004630C0">
              <w:rPr>
                <w:rFonts w:cs="Times New Roman"/>
                <w:i/>
                <w:iCs/>
                <w:noProof/>
                <w:color w:val="000000" w:themeColor="text1"/>
                <w:sz w:val="24"/>
                <w:szCs w:val="24"/>
              </w:rPr>
              <w:t xml:space="preserve">f  </w:t>
            </w:r>
            <w:r w:rsidR="00E7022C" w:rsidRPr="004630C0">
              <w:rPr>
                <w:rFonts w:cs="Times New Roman"/>
                <w:noProof/>
                <w:color w:val="000000" w:themeColor="text1"/>
                <w:sz w:val="24"/>
                <w:szCs w:val="24"/>
              </w:rPr>
              <w:t>effective collaboration with UNODC, RDDC</w:t>
            </w:r>
            <w:r w:rsidR="00A76806" w:rsidRPr="004630C0">
              <w:rPr>
                <w:rFonts w:cs="Times New Roman"/>
                <w:noProof/>
                <w:color w:val="000000" w:themeColor="text1"/>
                <w:sz w:val="24"/>
                <w:szCs w:val="24"/>
              </w:rPr>
              <w:t>,</w:t>
            </w:r>
            <w:r w:rsidR="00E7022C" w:rsidRPr="004630C0">
              <w:rPr>
                <w:rFonts w:cs="Times New Roman"/>
                <w:noProof/>
                <w:color w:val="000000" w:themeColor="text1"/>
                <w:sz w:val="24"/>
                <w:szCs w:val="24"/>
              </w:rPr>
              <w:t xml:space="preserve"> and other organisations on the martime WPS agenda is ensured</w:t>
            </w:r>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then</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r w:rsidRPr="004630C0">
              <w:rPr>
                <w:rFonts w:cs="Times New Roman"/>
                <w:noProof/>
                <w:color w:val="000000" w:themeColor="text1"/>
                <w:sz w:val="24"/>
                <w:szCs w:val="24"/>
              </w:rPr>
              <w:t>Outcome Level</w:t>
            </w:r>
          </w:p>
        </w:tc>
        <w:tc>
          <w:tcPr>
            <w:tcW w:w="7790" w:type="dxa"/>
            <w:shd w:val="clear" w:color="auto" w:fill="auto"/>
          </w:tcPr>
          <w:p w:rsidR="00E7022C" w:rsidRPr="004630C0" w:rsidRDefault="00A76806" w:rsidP="0076616A">
            <w:pPr>
              <w:rPr>
                <w:rFonts w:eastAsia="Times New Roman"/>
              </w:rPr>
            </w:pPr>
            <w:proofErr w:type="gramStart"/>
            <w:r w:rsidRPr="004630C0">
              <w:rPr>
                <w:rFonts w:eastAsia="Times New Roman"/>
                <w:sz w:val="24"/>
                <w:szCs w:val="24"/>
              </w:rPr>
              <w:t>e</w:t>
            </w:r>
            <w:r w:rsidR="00E7022C" w:rsidRPr="004630C0">
              <w:rPr>
                <w:rFonts w:eastAsia="Times New Roman"/>
                <w:sz w:val="24"/>
                <w:szCs w:val="24"/>
              </w:rPr>
              <w:t>vidence-based knowledge linked to regional research and policy formulation capacity that integrate WPS action can form the basis for capacity development activities</w:t>
            </w:r>
            <w:r w:rsidRPr="004630C0">
              <w:rPr>
                <w:rFonts w:eastAsia="Times New Roman"/>
                <w:sz w:val="24"/>
                <w:szCs w:val="24"/>
              </w:rPr>
              <w:t>, thus</w:t>
            </w:r>
            <w:r w:rsidR="00E7022C" w:rsidRPr="004630C0">
              <w:rPr>
                <w:rFonts w:eastAsia="Times New Roman"/>
                <w:sz w:val="24"/>
                <w:szCs w:val="24"/>
              </w:rPr>
              <w:t xml:space="preserve"> enhancing institutional and practitioner skill sets to respond to the challenges in the maritime domain and form a basis for institutionalizing </w:t>
            </w:r>
            <w:r w:rsidR="00E7022C" w:rsidRPr="004630C0">
              <w:rPr>
                <w:rFonts w:eastAsia="Times New Roman"/>
                <w:sz w:val="24"/>
                <w:szCs w:val="24"/>
                <w:u w:val="single"/>
              </w:rPr>
              <w:t>convening</w:t>
            </w:r>
            <w:r w:rsidR="00E7022C" w:rsidRPr="004630C0">
              <w:rPr>
                <w:rFonts w:eastAsia="Times New Roman"/>
                <w:sz w:val="24"/>
                <w:szCs w:val="24"/>
              </w:rPr>
              <w:t xml:space="preserve"> platform(s) for regular and meaningful dialogue</w:t>
            </w:r>
            <w:r w:rsidR="00661E9E" w:rsidRPr="004630C0">
              <w:rPr>
                <w:rFonts w:eastAsia="Times New Roman"/>
                <w:sz w:val="24"/>
                <w:szCs w:val="24"/>
              </w:rPr>
              <w:t>,</w:t>
            </w:r>
            <w:r w:rsidR="00E7022C" w:rsidRPr="004630C0">
              <w:rPr>
                <w:rFonts w:eastAsia="Times New Roman"/>
                <w:sz w:val="24"/>
                <w:szCs w:val="24"/>
              </w:rPr>
              <w:t xml:space="preserve"> where ideas can be explored, and collaborative and consensus-based decisions taken</w:t>
            </w:r>
            <w:r w:rsidR="00661E9E" w:rsidRPr="004630C0">
              <w:rPr>
                <w:rFonts w:eastAsia="Times New Roman"/>
                <w:sz w:val="24"/>
                <w:szCs w:val="24"/>
              </w:rPr>
              <w:t>,</w:t>
            </w:r>
            <w:r w:rsidR="00E7022C" w:rsidRPr="004630C0">
              <w:rPr>
                <w:rFonts w:eastAsia="Times New Roman"/>
                <w:sz w:val="24"/>
                <w:szCs w:val="24"/>
              </w:rPr>
              <w:t xml:space="preserve"> amongst relevant maritime authorities and experts</w:t>
            </w:r>
            <w:r w:rsidR="00661E9E" w:rsidRPr="004630C0">
              <w:rPr>
                <w:rFonts w:eastAsia="Times New Roman"/>
                <w:sz w:val="24"/>
                <w:szCs w:val="24"/>
              </w:rPr>
              <w:t>.</w:t>
            </w:r>
            <w:proofErr w:type="gramEnd"/>
          </w:p>
        </w:tc>
      </w:tr>
      <w:tr w:rsidR="00E7022C" w:rsidRPr="00D5609F" w:rsidTr="0076616A">
        <w:tc>
          <w:tcPr>
            <w:tcW w:w="9486" w:type="dxa"/>
            <w:gridSpan w:val="2"/>
            <w:shd w:val="clear" w:color="auto" w:fill="auto"/>
          </w:tcPr>
          <w:p w:rsidR="00E7022C" w:rsidRPr="004630C0" w:rsidRDefault="00E7022C" w:rsidP="0076616A">
            <w:pPr>
              <w:jc w:val="center"/>
              <w:rPr>
                <w:rFonts w:cs="Times New Roman"/>
                <w:i/>
                <w:iCs/>
                <w:noProof/>
                <w:color w:val="000000" w:themeColor="text1"/>
              </w:rPr>
            </w:pPr>
            <w:r w:rsidRPr="004630C0">
              <w:rPr>
                <w:rFonts w:cs="Times New Roman"/>
                <w:i/>
                <w:iCs/>
                <w:noProof/>
                <w:color w:val="000000" w:themeColor="text1"/>
                <w:sz w:val="24"/>
                <w:szCs w:val="24"/>
              </w:rPr>
              <w:t>leading to</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r w:rsidRPr="004630C0">
              <w:rPr>
                <w:rFonts w:cs="Times New Roman"/>
                <w:noProof/>
                <w:color w:val="000000" w:themeColor="text1"/>
                <w:sz w:val="24"/>
                <w:szCs w:val="24"/>
              </w:rPr>
              <w:t>Impact level</w:t>
            </w:r>
          </w:p>
        </w:tc>
        <w:tc>
          <w:tcPr>
            <w:tcW w:w="7790" w:type="dxa"/>
            <w:shd w:val="clear" w:color="auto" w:fill="auto"/>
          </w:tcPr>
          <w:p w:rsidR="00E7022C" w:rsidRPr="004630C0" w:rsidRDefault="00E7022C" w:rsidP="0076616A">
            <w:pPr>
              <w:rPr>
                <w:rFonts w:cs="Times New Roman"/>
                <w:i/>
                <w:iCs/>
                <w:noProof/>
                <w:color w:val="000000" w:themeColor="text1"/>
              </w:rPr>
            </w:pPr>
            <w:r w:rsidRPr="004630C0">
              <w:rPr>
                <w:rFonts w:eastAsia="Times New Roman"/>
                <w:sz w:val="24"/>
                <w:szCs w:val="24"/>
              </w:rPr>
              <w:t>stronger, more cohesive, and effective national and regional approaches to maritime security and an enhanced rate of implementation of the Yaoundé process with positive effects also for the uptake of the other engagements of the DMSP 3</w:t>
            </w:r>
            <w:r w:rsidR="00661E9E" w:rsidRPr="004630C0">
              <w:rPr>
                <w:rFonts w:eastAsia="Times New Roman"/>
                <w:sz w:val="24"/>
                <w:szCs w:val="24"/>
              </w:rPr>
              <w:t>.</w:t>
            </w:r>
          </w:p>
        </w:tc>
      </w:tr>
      <w:tr w:rsidR="00E7022C" w:rsidRPr="00D5609F" w:rsidTr="0076616A">
        <w:tc>
          <w:tcPr>
            <w:tcW w:w="9486" w:type="dxa"/>
            <w:gridSpan w:val="2"/>
            <w:shd w:val="clear" w:color="auto" w:fill="auto"/>
          </w:tcPr>
          <w:p w:rsidR="00E7022C" w:rsidRPr="004630C0" w:rsidRDefault="005B7FA0" w:rsidP="0076616A">
            <w:pPr>
              <w:jc w:val="center"/>
              <w:rPr>
                <w:rFonts w:cs="Times New Roman"/>
                <w:i/>
                <w:iCs/>
                <w:noProof/>
                <w:color w:val="000000" w:themeColor="text1"/>
              </w:rPr>
            </w:pPr>
            <w:r w:rsidRPr="004630C0">
              <w:rPr>
                <w:rFonts w:cs="Times New Roman"/>
                <w:i/>
                <w:iCs/>
                <w:noProof/>
                <w:color w:val="000000" w:themeColor="text1"/>
                <w:sz w:val="24"/>
                <w:szCs w:val="24"/>
              </w:rPr>
              <w:t>p</w:t>
            </w:r>
            <w:r w:rsidR="00E7022C" w:rsidRPr="004630C0">
              <w:rPr>
                <w:rFonts w:cs="Times New Roman"/>
                <w:i/>
                <w:iCs/>
                <w:noProof/>
                <w:color w:val="000000" w:themeColor="text1"/>
                <w:sz w:val="24"/>
                <w:szCs w:val="24"/>
              </w:rPr>
              <w:t xml:space="preserve">rovided that </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r w:rsidRPr="004630C0">
              <w:rPr>
                <w:rFonts w:cs="Times New Roman"/>
                <w:noProof/>
                <w:color w:val="000000" w:themeColor="text1"/>
                <w:sz w:val="24"/>
                <w:szCs w:val="24"/>
              </w:rPr>
              <w:t>Assumptions</w:t>
            </w:r>
          </w:p>
        </w:tc>
        <w:tc>
          <w:tcPr>
            <w:tcW w:w="7790" w:type="dxa"/>
            <w:shd w:val="clear" w:color="auto" w:fill="auto"/>
          </w:tcPr>
          <w:p w:rsidR="00E7022C" w:rsidRPr="004630C0" w:rsidRDefault="00E7022C" w:rsidP="00E7022C">
            <w:pPr>
              <w:pStyle w:val="ListParagraph"/>
              <w:numPr>
                <w:ilvl w:val="0"/>
                <w:numId w:val="32"/>
              </w:numPr>
              <w:tabs>
                <w:tab w:val="right" w:pos="9412"/>
              </w:tabs>
              <w:contextualSpacing/>
              <w:rPr>
                <w:noProof/>
              </w:rPr>
            </w:pPr>
            <w:r w:rsidRPr="004630C0">
              <w:rPr>
                <w:sz w:val="24"/>
                <w:szCs w:val="24"/>
              </w:rPr>
              <w:t>KAIPTC effectively leverages its strategic advantage as an institution with a solid international and regional reputation and links to the Ghanaian Government, ECOWAS, and ICC.</w:t>
            </w:r>
          </w:p>
          <w:p w:rsidR="00E7022C" w:rsidRPr="004630C0" w:rsidRDefault="00E7022C" w:rsidP="00E7022C">
            <w:pPr>
              <w:pStyle w:val="ListParagraph"/>
              <w:numPr>
                <w:ilvl w:val="0"/>
                <w:numId w:val="32"/>
              </w:numPr>
              <w:tabs>
                <w:tab w:val="right" w:pos="9412"/>
              </w:tabs>
              <w:contextualSpacing/>
              <w:rPr>
                <w:noProof/>
              </w:rPr>
            </w:pPr>
            <w:r w:rsidRPr="004630C0">
              <w:rPr>
                <w:sz w:val="24"/>
                <w:szCs w:val="24"/>
              </w:rPr>
              <w:t xml:space="preserve">KAIPTC and WPSI can produce research of sufficient quality and quantity, has access to relevant data, and can present it in a manner that generates increased understanding and uptake by stakeholders. </w:t>
            </w:r>
          </w:p>
          <w:p w:rsidR="00E7022C" w:rsidRPr="004630C0" w:rsidRDefault="00E7022C" w:rsidP="00E7022C">
            <w:pPr>
              <w:pStyle w:val="ListParagraph"/>
              <w:numPr>
                <w:ilvl w:val="0"/>
                <w:numId w:val="32"/>
              </w:numPr>
              <w:tabs>
                <w:tab w:val="right" w:pos="9412"/>
              </w:tabs>
              <w:contextualSpacing/>
              <w:rPr>
                <w:noProof/>
              </w:rPr>
            </w:pPr>
            <w:r w:rsidRPr="004630C0">
              <w:rPr>
                <w:noProof/>
                <w:sz w:val="24"/>
                <w:szCs w:val="24"/>
              </w:rPr>
              <w:t>KAIPTC and WPSI collaborate effectively internally to advance the WPS agenda.</w:t>
            </w:r>
          </w:p>
          <w:p w:rsidR="00E7022C" w:rsidRPr="004630C0" w:rsidRDefault="00E7022C" w:rsidP="00E7022C">
            <w:pPr>
              <w:pStyle w:val="ListParagraph"/>
              <w:numPr>
                <w:ilvl w:val="0"/>
                <w:numId w:val="32"/>
              </w:numPr>
              <w:tabs>
                <w:tab w:val="right" w:pos="9412"/>
              </w:tabs>
              <w:contextualSpacing/>
              <w:rPr>
                <w:noProof/>
              </w:rPr>
            </w:pPr>
            <w:r w:rsidRPr="004630C0">
              <w:rPr>
                <w:noProof/>
                <w:sz w:val="24"/>
                <w:szCs w:val="24"/>
              </w:rPr>
              <w:t>KAIPTC and UNODC collaborate effectively</w:t>
            </w:r>
            <w:r w:rsidR="00661E9E">
              <w:rPr>
                <w:noProof/>
              </w:rPr>
              <w:t>.</w:t>
            </w:r>
          </w:p>
          <w:p w:rsidR="00E7022C" w:rsidRPr="004630C0" w:rsidRDefault="00E7022C" w:rsidP="00E7022C">
            <w:pPr>
              <w:pStyle w:val="ListParagraph"/>
              <w:numPr>
                <w:ilvl w:val="0"/>
                <w:numId w:val="32"/>
              </w:numPr>
              <w:tabs>
                <w:tab w:val="right" w:pos="9412"/>
              </w:tabs>
              <w:contextualSpacing/>
              <w:rPr>
                <w:noProof/>
              </w:rPr>
            </w:pPr>
            <w:r w:rsidRPr="004630C0">
              <w:rPr>
                <w:sz w:val="24"/>
                <w:szCs w:val="24"/>
              </w:rPr>
              <w:t xml:space="preserve">KAIPTC has sufficient convening power to gather relevant experts and officials, and that these interlocutors are willing to contribute to reaching consensus on solutions that </w:t>
            </w:r>
            <w:proofErr w:type="gramStart"/>
            <w:r w:rsidRPr="004630C0">
              <w:rPr>
                <w:sz w:val="24"/>
                <w:szCs w:val="24"/>
              </w:rPr>
              <w:t>will be implemented</w:t>
            </w:r>
            <w:proofErr w:type="gramEnd"/>
            <w:r w:rsidRPr="004630C0">
              <w:rPr>
                <w:sz w:val="24"/>
                <w:szCs w:val="24"/>
              </w:rPr>
              <w:t xml:space="preserve"> within national and regional structures</w:t>
            </w:r>
            <w:r w:rsidR="00661E9E">
              <w:t>.</w:t>
            </w:r>
          </w:p>
          <w:p w:rsidR="00E7022C" w:rsidRPr="00661E9E" w:rsidRDefault="00E7022C" w:rsidP="004630C0">
            <w:pPr>
              <w:pStyle w:val="ListParagraph"/>
              <w:numPr>
                <w:ilvl w:val="0"/>
                <w:numId w:val="32"/>
              </w:numPr>
              <w:tabs>
                <w:tab w:val="right" w:pos="9412"/>
              </w:tabs>
              <w:contextualSpacing/>
              <w:rPr>
                <w:noProof/>
              </w:rPr>
            </w:pPr>
            <w:r w:rsidRPr="004630C0">
              <w:rPr>
                <w:sz w:val="24"/>
                <w:szCs w:val="24"/>
              </w:rPr>
              <w:t xml:space="preserve">Stakeholders can institutionalise the increased contacts, knowledge, and capacity and use it. </w:t>
            </w:r>
          </w:p>
        </w:tc>
      </w:tr>
      <w:tr w:rsidR="00E7022C" w:rsidRPr="00D5609F" w:rsidTr="0076616A">
        <w:tc>
          <w:tcPr>
            <w:tcW w:w="9486" w:type="dxa"/>
            <w:gridSpan w:val="2"/>
            <w:shd w:val="clear" w:color="auto" w:fill="auto"/>
          </w:tcPr>
          <w:p w:rsidR="00E7022C" w:rsidRPr="004630C0" w:rsidRDefault="005B7FA0" w:rsidP="0076616A">
            <w:pPr>
              <w:jc w:val="center"/>
              <w:rPr>
                <w:i/>
                <w:iCs/>
                <w:noProof/>
              </w:rPr>
            </w:pPr>
            <w:r w:rsidRPr="004630C0">
              <w:rPr>
                <w:i/>
                <w:iCs/>
                <w:noProof/>
                <w:sz w:val="24"/>
                <w:szCs w:val="24"/>
              </w:rPr>
              <w:t>a</w:t>
            </w:r>
            <w:r w:rsidR="00E7022C" w:rsidRPr="004630C0">
              <w:rPr>
                <w:i/>
                <w:iCs/>
                <w:noProof/>
                <w:sz w:val="24"/>
                <w:szCs w:val="24"/>
              </w:rPr>
              <w:t>nd assuming the following preconditions apply</w:t>
            </w:r>
          </w:p>
        </w:tc>
      </w:tr>
      <w:tr w:rsidR="00E7022C" w:rsidRPr="00D5609F" w:rsidTr="0076616A">
        <w:tc>
          <w:tcPr>
            <w:tcW w:w="1696" w:type="dxa"/>
            <w:shd w:val="clear" w:color="auto" w:fill="auto"/>
          </w:tcPr>
          <w:p w:rsidR="00E7022C" w:rsidRPr="004630C0" w:rsidRDefault="00E7022C" w:rsidP="0076616A">
            <w:pPr>
              <w:rPr>
                <w:rFonts w:cs="Times New Roman"/>
                <w:noProof/>
                <w:color w:val="000000" w:themeColor="text1"/>
              </w:rPr>
            </w:pPr>
          </w:p>
        </w:tc>
        <w:tc>
          <w:tcPr>
            <w:tcW w:w="7790" w:type="dxa"/>
            <w:shd w:val="clear" w:color="auto" w:fill="auto"/>
          </w:tcPr>
          <w:p w:rsidR="00E7022C" w:rsidRPr="004630C0" w:rsidRDefault="00E7022C" w:rsidP="00E7022C">
            <w:pPr>
              <w:pStyle w:val="ListParagraph"/>
              <w:numPr>
                <w:ilvl w:val="0"/>
                <w:numId w:val="32"/>
              </w:numPr>
              <w:tabs>
                <w:tab w:val="right" w:pos="9412"/>
              </w:tabs>
              <w:contextualSpacing/>
              <w:rPr>
                <w:noProof/>
              </w:rPr>
            </w:pPr>
            <w:r w:rsidRPr="004630C0">
              <w:rPr>
                <w:noProof/>
                <w:sz w:val="24"/>
                <w:szCs w:val="24"/>
              </w:rPr>
              <w:t xml:space="preserve">Regular consultation </w:t>
            </w:r>
            <w:r w:rsidR="00661E9E">
              <w:rPr>
                <w:noProof/>
              </w:rPr>
              <w:t xml:space="preserve">takes place </w:t>
            </w:r>
            <w:r w:rsidRPr="004630C0">
              <w:rPr>
                <w:noProof/>
                <w:sz w:val="24"/>
                <w:szCs w:val="24"/>
              </w:rPr>
              <w:t xml:space="preserve">between KAIPTC and key stakeholders (through a steering committee mechanism) so that country and regional needs and interests are fed into the process. </w:t>
            </w:r>
          </w:p>
          <w:p w:rsidR="00E7022C" w:rsidRPr="004630C0" w:rsidRDefault="00E7022C" w:rsidP="00661E9E">
            <w:pPr>
              <w:pStyle w:val="ListParagraph"/>
              <w:numPr>
                <w:ilvl w:val="0"/>
                <w:numId w:val="32"/>
              </w:numPr>
              <w:tabs>
                <w:tab w:val="right" w:pos="9412"/>
              </w:tabs>
              <w:contextualSpacing/>
              <w:rPr>
                <w:noProof/>
              </w:rPr>
            </w:pPr>
            <w:r w:rsidRPr="004630C0">
              <w:rPr>
                <w:noProof/>
                <w:sz w:val="24"/>
                <w:szCs w:val="24"/>
              </w:rPr>
              <w:t>KAIPTC proactively coordinates through the CESC with the UNODC (PSE 1), INTERPOL (PSE 2), and RDDC (PSE4) to achieve mutual leverage</w:t>
            </w:r>
            <w:r w:rsidR="00661E9E">
              <w:rPr>
                <w:noProof/>
              </w:rPr>
              <w:t>,</w:t>
            </w:r>
            <w:r w:rsidRPr="004630C0">
              <w:rPr>
                <w:noProof/>
                <w:sz w:val="24"/>
                <w:szCs w:val="24"/>
              </w:rPr>
              <w:t xml:space="preserve"> synergies</w:t>
            </w:r>
            <w:r w:rsidR="00661E9E">
              <w:rPr>
                <w:noProof/>
              </w:rPr>
              <w:t>,</w:t>
            </w:r>
            <w:r w:rsidRPr="004630C0">
              <w:rPr>
                <w:noProof/>
                <w:sz w:val="24"/>
                <w:szCs w:val="24"/>
              </w:rPr>
              <w:t xml:space="preserve"> and learning multiplier effects.</w:t>
            </w:r>
          </w:p>
        </w:tc>
      </w:tr>
    </w:tbl>
    <w:p w:rsidR="00952D03" w:rsidRPr="00A1332A" w:rsidRDefault="00952D03" w:rsidP="0076616A">
      <w:pPr>
        <w:pStyle w:val="Heading2"/>
      </w:pPr>
      <w:bookmarkStart w:id="15" w:name="_Toc89077037"/>
      <w:r w:rsidRPr="00A1332A">
        <w:t xml:space="preserve">PSE </w:t>
      </w:r>
      <w:r>
        <w:t>3</w:t>
      </w:r>
      <w:r w:rsidRPr="00A1332A">
        <w:t xml:space="preserve"> – Results Framework</w:t>
      </w:r>
      <w:bookmarkEnd w:id="15"/>
    </w:p>
    <w:tbl>
      <w:tblPr>
        <w:tblW w:w="0" w:type="auto"/>
        <w:tblInd w:w="-10" w:type="dxa"/>
        <w:tblLook w:val="04A0" w:firstRow="1" w:lastRow="0" w:firstColumn="1" w:lastColumn="0" w:noHBand="0" w:noVBand="1"/>
      </w:tblPr>
      <w:tblGrid>
        <w:gridCol w:w="1149"/>
        <w:gridCol w:w="683"/>
        <w:gridCol w:w="700"/>
        <w:gridCol w:w="6954"/>
      </w:tblGrid>
      <w:tr w:rsidR="00AC7D10" w:rsidRPr="00900E1B" w:rsidTr="00CD5F71">
        <w:trPr>
          <w:trHeight w:val="60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AC7D10" w:rsidRPr="00900E1B" w:rsidRDefault="00AC7D10" w:rsidP="00CD5F71">
            <w:pPr>
              <w:rPr>
                <w:b/>
                <w:bCs/>
              </w:rPr>
            </w:pPr>
            <w:r w:rsidRPr="00900E1B">
              <w:rPr>
                <w:b/>
                <w:bCs/>
              </w:rPr>
              <w:t>Project objective</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900E1B" w:rsidRDefault="00AC7D10" w:rsidP="00CD5F71">
            <w:r>
              <w:t>S</w:t>
            </w:r>
            <w:r w:rsidRPr="000549E4">
              <w:t xml:space="preserve">trengthened regional approaches </w:t>
            </w:r>
            <w:proofErr w:type="gramStart"/>
            <w:r w:rsidRPr="000549E4">
              <w:t>to maritime security in the Gulf of Guinea through enhanced joined-up responses to shared threats</w:t>
            </w:r>
            <w:proofErr w:type="gramEnd"/>
            <w:r w:rsidRPr="000549E4">
              <w:t>.</w:t>
            </w:r>
          </w:p>
        </w:tc>
      </w:tr>
      <w:tr w:rsidR="00AC7D10" w:rsidRPr="00900E1B" w:rsidTr="00CD5F71">
        <w:trPr>
          <w:trHeight w:val="68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AC7D10" w:rsidRPr="00900E1B" w:rsidRDefault="00AC7D10" w:rsidP="00CD5F71">
            <w:r w:rsidRPr="00900E1B">
              <w:t>Impact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900E1B" w:rsidRDefault="00AC7D10" w:rsidP="00CD5F71">
            <w:r w:rsidRPr="00686019">
              <w:t xml:space="preserve">% </w:t>
            </w:r>
            <w:r w:rsidR="00AD36BE">
              <w:t>o</w:t>
            </w:r>
            <w:r w:rsidRPr="00686019">
              <w:t>f national and regional maritime security actors utilizing the outputs of the project to promote collaboration and cooperation in the maritime domain.</w:t>
            </w:r>
          </w:p>
        </w:tc>
      </w:tr>
      <w:tr w:rsidR="00AC7D10" w:rsidRPr="00900E1B" w:rsidTr="00CD5F71">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DF3AE5">
              <w:rPr>
                <w:rFonts w:cs="Arial"/>
              </w:rPr>
              <w:t xml:space="preserve">To be </w:t>
            </w:r>
            <w:r w:rsidRPr="00062799">
              <w:rPr>
                <w:rFonts w:cs="Arial"/>
              </w:rPr>
              <w:t>established (baseline study)</w:t>
            </w:r>
            <w:r w:rsidR="00AD36BE">
              <w:rPr>
                <w:rFonts w:cs="Arial"/>
              </w:rPr>
              <w:t>.</w:t>
            </w:r>
          </w:p>
        </w:tc>
      </w:tr>
      <w:tr w:rsidR="00AC7D10" w:rsidRPr="00900E1B" w:rsidTr="00CD5F71">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AC7D10" w:rsidRPr="00900E1B" w:rsidRDefault="00AC7D10" w:rsidP="00CD5F71">
            <w:r w:rsidRPr="00900E1B">
              <w:t>Target</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2026</w:t>
            </w:r>
          </w:p>
        </w:tc>
        <w:tc>
          <w:tcPr>
            <w:tcW w:w="0" w:type="auto"/>
            <w:tcBorders>
              <w:top w:val="nil"/>
              <w:left w:val="nil"/>
              <w:bottom w:val="single" w:sz="8" w:space="0" w:color="auto"/>
              <w:right w:val="single" w:sz="8" w:space="0" w:color="auto"/>
            </w:tcBorders>
            <w:shd w:val="clear" w:color="auto" w:fill="auto"/>
          </w:tcPr>
          <w:p w:rsidR="00AC7D10" w:rsidRPr="00900E1B" w:rsidRDefault="00AC7D10" w:rsidP="00CD5F71">
            <w:r w:rsidRPr="007525A4">
              <w:rPr>
                <w:rFonts w:cs="Arial"/>
              </w:rPr>
              <w:t xml:space="preserve">State </w:t>
            </w:r>
            <w:r>
              <w:rPr>
                <w:rFonts w:cs="Arial"/>
              </w:rPr>
              <w:t xml:space="preserve">actors and non-state actors </w:t>
            </w:r>
            <w:r w:rsidRPr="007525A4">
              <w:rPr>
                <w:rFonts w:cs="Arial"/>
              </w:rPr>
              <w:t>promote maritime security in the Gulf of Guinea</w:t>
            </w:r>
            <w:r>
              <w:rPr>
                <w:rFonts w:cs="Arial"/>
              </w:rPr>
              <w:t xml:space="preserve"> and media provides balanced and independent news coverage on maritime security issues.</w:t>
            </w:r>
          </w:p>
        </w:tc>
      </w:tr>
      <w:tr w:rsidR="00AC7D10" w:rsidRPr="00900E1B" w:rsidTr="00CD5F71">
        <w:trPr>
          <w:trHeight w:val="340"/>
        </w:trPr>
        <w:tc>
          <w:tcPr>
            <w:tcW w:w="1149" w:type="dxa"/>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tcPr>
          <w:p w:rsidR="00AC7D10" w:rsidRPr="00900E1B" w:rsidRDefault="00AC7D10" w:rsidP="00CD5F71"/>
        </w:tc>
      </w:tr>
      <w:tr w:rsidR="00AC7D10" w:rsidRPr="00900E1B" w:rsidTr="00CD5F71">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AC7D10" w:rsidRPr="00900E1B" w:rsidRDefault="00AC7D10" w:rsidP="00CD5F71">
            <w:pPr>
              <w:rPr>
                <w:b/>
                <w:bCs/>
              </w:rPr>
            </w:pPr>
            <w:r w:rsidRPr="00900E1B">
              <w:rPr>
                <w:b/>
                <w:bCs/>
              </w:rPr>
              <w:t>Outcome 1</w:t>
            </w:r>
          </w:p>
        </w:tc>
        <w:tc>
          <w:tcPr>
            <w:tcW w:w="0" w:type="auto"/>
            <w:gridSpan w:val="2"/>
            <w:tcBorders>
              <w:top w:val="single" w:sz="8" w:space="0" w:color="auto"/>
              <w:left w:val="nil"/>
              <w:bottom w:val="nil"/>
              <w:right w:val="single" w:sz="8" w:space="0" w:color="000000"/>
            </w:tcBorders>
            <w:shd w:val="clear" w:color="auto" w:fill="auto"/>
          </w:tcPr>
          <w:p w:rsidR="00AC7D10" w:rsidRPr="00CD4223" w:rsidRDefault="00AC7D10" w:rsidP="00CD5F71">
            <w:r w:rsidRPr="004630C0">
              <w:rPr>
                <w:rFonts w:cs="Arial"/>
                <w:bCs/>
              </w:rPr>
              <w:t>Enhanced collaboration and cooperation among state and non-state maritime actors in the GoG</w:t>
            </w:r>
            <w:r w:rsidR="00CD4223">
              <w:rPr>
                <w:rFonts w:cs="Arial"/>
                <w:bCs/>
              </w:rPr>
              <w:t>.</w:t>
            </w:r>
          </w:p>
        </w:tc>
      </w:tr>
      <w:tr w:rsidR="00AC7D10" w:rsidRPr="00900E1B"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AC7D10" w:rsidRPr="00900E1B" w:rsidRDefault="00AC7D10" w:rsidP="00CD5F71">
            <w:r w:rsidRPr="00900E1B">
              <w:t>Outcome indicator</w:t>
            </w:r>
          </w:p>
        </w:tc>
        <w:tc>
          <w:tcPr>
            <w:tcW w:w="0" w:type="auto"/>
            <w:gridSpan w:val="2"/>
            <w:tcBorders>
              <w:top w:val="single" w:sz="8" w:space="0" w:color="auto"/>
              <w:left w:val="nil"/>
              <w:bottom w:val="single" w:sz="8" w:space="0" w:color="auto"/>
              <w:right w:val="single" w:sz="8" w:space="0" w:color="000000"/>
            </w:tcBorders>
            <w:shd w:val="clear" w:color="auto" w:fill="auto"/>
          </w:tcPr>
          <w:p w:rsidR="00AC7D10" w:rsidRPr="00900E1B" w:rsidRDefault="00AC7D10" w:rsidP="00CD5F71">
            <w:r w:rsidRPr="00A2032B">
              <w:rPr>
                <w:rFonts w:cs="Arial"/>
              </w:rPr>
              <w:t xml:space="preserve">% </w:t>
            </w:r>
            <w:r w:rsidR="00AD36BE">
              <w:rPr>
                <w:rFonts w:cs="Arial"/>
              </w:rPr>
              <w:t>o</w:t>
            </w:r>
            <w:r w:rsidRPr="00A2032B">
              <w:rPr>
                <w:rFonts w:cs="Arial"/>
              </w:rPr>
              <w:t>f national and regional maritime security actors utilizing the outputs of the project to promote collaboration and cooperation in the maritime domain.</w:t>
            </w:r>
          </w:p>
        </w:tc>
      </w:tr>
      <w:tr w:rsidR="00AC7D10" w:rsidRPr="00900E1B" w:rsidTr="00CD5F71">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tcPr>
          <w:p w:rsidR="00AC7D10" w:rsidRPr="00D52962" w:rsidRDefault="00AC7D10" w:rsidP="00CD5F71">
            <w:r w:rsidRPr="00D52962">
              <w:rPr>
                <w:rFonts w:cs="Arial"/>
              </w:rPr>
              <w:t>To be established (baseline study)</w:t>
            </w:r>
            <w:r w:rsidR="00DB2033">
              <w:rPr>
                <w:rFonts w:cs="Arial"/>
              </w:rPr>
              <w:t>.</w:t>
            </w:r>
          </w:p>
        </w:tc>
      </w:tr>
      <w:tr w:rsidR="00AC7D10" w:rsidRPr="00900E1B" w:rsidTr="00CD5F71">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AC7D10" w:rsidRPr="00900E1B" w:rsidRDefault="00AC7D10" w:rsidP="00CD5F71">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AC7D10" w:rsidRPr="00900E1B" w:rsidRDefault="00AC7D10" w:rsidP="00CD5F71">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AC7D10" w:rsidRPr="00900E1B" w:rsidRDefault="00AC7D10" w:rsidP="00CD5F71">
            <w:r w:rsidRPr="00900E1B">
              <w:t>2026</w:t>
            </w:r>
          </w:p>
        </w:tc>
        <w:tc>
          <w:tcPr>
            <w:tcW w:w="0" w:type="auto"/>
            <w:tcBorders>
              <w:top w:val="single" w:sz="4" w:space="0" w:color="auto"/>
              <w:left w:val="nil"/>
              <w:bottom w:val="single" w:sz="8" w:space="0" w:color="auto"/>
              <w:right w:val="single" w:sz="8" w:space="0" w:color="auto"/>
            </w:tcBorders>
            <w:shd w:val="clear" w:color="auto" w:fill="auto"/>
          </w:tcPr>
          <w:p w:rsidR="00AC7D10" w:rsidRPr="00D52962" w:rsidRDefault="00AC7D10" w:rsidP="00CD5F71">
            <w:r w:rsidRPr="00D52962">
              <w:rPr>
                <w:rFonts w:cs="Arial"/>
              </w:rPr>
              <w:t>At least 50% of direct project beneficiaries utilize the project outputs to promote collaborative responses to threats to safety and security in the GoG maritime domain</w:t>
            </w:r>
            <w:r w:rsidR="0084650B">
              <w:rPr>
                <w:rFonts w:cs="Arial"/>
              </w:rPr>
              <w:t>.</w:t>
            </w:r>
            <w:r w:rsidRPr="00D52962">
              <w:rPr>
                <w:rFonts w:cs="Arial"/>
              </w:rPr>
              <w:t xml:space="preserve"> (</w:t>
            </w:r>
            <w:r w:rsidR="0084650B">
              <w:rPr>
                <w:rFonts w:cs="Arial"/>
              </w:rPr>
              <w:t>E</w:t>
            </w:r>
            <w:r w:rsidRPr="00D52962">
              <w:rPr>
                <w:rFonts w:cs="Arial"/>
              </w:rPr>
              <w:t>nd of Project survey)</w:t>
            </w:r>
          </w:p>
        </w:tc>
      </w:tr>
      <w:tr w:rsidR="00AC7D10" w:rsidRPr="00900E1B" w:rsidTr="00CD5F71">
        <w:trPr>
          <w:trHeight w:val="340"/>
        </w:trPr>
        <w:tc>
          <w:tcPr>
            <w:tcW w:w="1149" w:type="dxa"/>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r>
      <w:tr w:rsidR="00AC7D10" w:rsidRPr="00900E1B" w:rsidTr="004630C0">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pPr>
              <w:rPr>
                <w:b/>
                <w:bCs/>
              </w:rPr>
            </w:pPr>
            <w:r w:rsidRPr="00900E1B">
              <w:rPr>
                <w:b/>
                <w:bCs/>
              </w:rPr>
              <w:t>Output 1.1</w:t>
            </w:r>
          </w:p>
        </w:tc>
        <w:tc>
          <w:tcPr>
            <w:tcW w:w="0" w:type="auto"/>
            <w:gridSpan w:val="2"/>
            <w:tcBorders>
              <w:top w:val="single" w:sz="8" w:space="0" w:color="auto"/>
              <w:left w:val="nil"/>
              <w:bottom w:val="single" w:sz="8" w:space="0" w:color="auto"/>
              <w:right w:val="single" w:sz="8" w:space="0" w:color="000000"/>
            </w:tcBorders>
            <w:shd w:val="clear" w:color="auto" w:fill="auto"/>
            <w:vAlign w:val="bottom"/>
          </w:tcPr>
          <w:p w:rsidR="00AC7D10" w:rsidRDefault="00AC7D10" w:rsidP="004630C0">
            <w:pPr>
              <w:jc w:val="left"/>
            </w:pPr>
            <w:r>
              <w:t>15 research papers on maritime security in the GoG developed and published</w:t>
            </w:r>
            <w:r w:rsidR="00DB2033">
              <w:t>.</w:t>
            </w:r>
          </w:p>
          <w:p w:rsidR="00AC7D10" w:rsidRPr="00900E1B" w:rsidRDefault="00AC7D10" w:rsidP="004630C0">
            <w:pPr>
              <w:jc w:val="left"/>
            </w:pPr>
          </w:p>
        </w:tc>
      </w:tr>
      <w:tr w:rsidR="00AC7D10" w:rsidRPr="00900E1B" w:rsidTr="004630C0">
        <w:trPr>
          <w:trHeight w:val="700"/>
        </w:trPr>
        <w:tc>
          <w:tcPr>
            <w:tcW w:w="1832" w:type="dxa"/>
            <w:gridSpan w:val="2"/>
            <w:tcBorders>
              <w:top w:val="single" w:sz="8" w:space="0" w:color="auto"/>
              <w:left w:val="single" w:sz="8" w:space="0" w:color="auto"/>
              <w:bottom w:val="single" w:sz="4" w:space="0" w:color="auto"/>
              <w:right w:val="single" w:sz="8" w:space="0" w:color="000000"/>
            </w:tcBorders>
            <w:shd w:val="clear" w:color="auto" w:fill="95B3D7" w:themeFill="accent1" w:themeFillTint="99"/>
            <w:vAlign w:val="center"/>
            <w:hideMark/>
          </w:tcPr>
          <w:p w:rsidR="00AC7D10" w:rsidRPr="00900E1B" w:rsidRDefault="00AC7D10" w:rsidP="00CD5F71">
            <w:r w:rsidRPr="00900E1B">
              <w:t>Output Indicator</w:t>
            </w:r>
            <w:r>
              <w:t xml:space="preserve"> 1.1</w:t>
            </w:r>
          </w:p>
        </w:tc>
        <w:tc>
          <w:tcPr>
            <w:tcW w:w="0" w:type="auto"/>
            <w:gridSpan w:val="2"/>
            <w:tcBorders>
              <w:top w:val="single" w:sz="8" w:space="0" w:color="auto"/>
              <w:left w:val="nil"/>
              <w:bottom w:val="single" w:sz="4" w:space="0" w:color="auto"/>
              <w:right w:val="single" w:sz="8" w:space="0" w:color="000000"/>
            </w:tcBorders>
            <w:shd w:val="clear" w:color="auto" w:fill="auto"/>
            <w:vAlign w:val="center"/>
          </w:tcPr>
          <w:p w:rsidR="00AC7D10" w:rsidRPr="00B908B3" w:rsidRDefault="00AC7D10" w:rsidP="00CD5F71">
            <w:pPr>
              <w:rPr>
                <w:rFonts w:cs="Arial"/>
              </w:rPr>
            </w:pPr>
            <w:r>
              <w:rPr>
                <w:rFonts w:cs="Arial"/>
              </w:rPr>
              <w:t>15 research papers on issues related to maritime security published by KAIPTC are publicly available electronically or otherwise</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Baseline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2021</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10 (papers produced in DMSP 2 2019-2021)</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2022</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3 published research papers on issues in the maritime domain</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3 published research papers on issues in the maritime domain</w:t>
            </w:r>
            <w:r w:rsidR="00DB2033">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3 published research papers on issues in the maritime domain</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AC7D10" w:rsidRPr="00900E1B" w:rsidRDefault="00AC7D10" w:rsidP="00CD5F71">
            <w:r>
              <w:t>2025</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AC7D10" w:rsidRPr="00900E1B" w:rsidRDefault="00AC7D10" w:rsidP="00CD5F71">
            <w:r>
              <w:rPr>
                <w:rFonts w:cs="Arial"/>
              </w:rPr>
              <w:t>3 published research papers on issues in the maritime domain</w:t>
            </w:r>
            <w:r w:rsidR="00DB2033">
              <w:rPr>
                <w:rFonts w:cs="Arial"/>
              </w:rPr>
              <w:t>.</w:t>
            </w:r>
          </w:p>
        </w:tc>
      </w:tr>
      <w:tr w:rsidR="00AC7D10" w:rsidRPr="00900E1B" w:rsidTr="00CD5F71">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AC7D10" w:rsidRPr="00900E1B" w:rsidRDefault="00AC7D10" w:rsidP="00CD5F71">
            <w:r>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tcPr>
          <w:p w:rsidR="00AC7D10" w:rsidRPr="00900E1B" w:rsidRDefault="00AC7D10" w:rsidP="00CD5F71">
            <w:r>
              <w:t>2026</w:t>
            </w:r>
          </w:p>
        </w:tc>
        <w:tc>
          <w:tcPr>
            <w:tcW w:w="0" w:type="auto"/>
            <w:tcBorders>
              <w:top w:val="nil"/>
              <w:left w:val="nil"/>
              <w:bottom w:val="single" w:sz="8" w:space="0" w:color="auto"/>
              <w:right w:val="single" w:sz="8" w:space="0" w:color="auto"/>
            </w:tcBorders>
            <w:shd w:val="clear" w:color="auto" w:fill="auto"/>
          </w:tcPr>
          <w:p w:rsidR="00AC7D10" w:rsidRPr="00900E1B" w:rsidRDefault="00AC7D10" w:rsidP="00CD5F71">
            <w:r>
              <w:rPr>
                <w:rFonts w:cs="Arial"/>
              </w:rPr>
              <w:t>3 published research papers</w:t>
            </w:r>
            <w:r w:rsidR="00DB2033">
              <w:rPr>
                <w:rFonts w:cs="Arial"/>
              </w:rPr>
              <w:t>.</w:t>
            </w:r>
          </w:p>
        </w:tc>
      </w:tr>
      <w:tr w:rsidR="00AC7D10" w:rsidRPr="00900E1B" w:rsidTr="00CD5F71">
        <w:trPr>
          <w:trHeight w:val="340"/>
        </w:trPr>
        <w:tc>
          <w:tcPr>
            <w:tcW w:w="1149" w:type="dxa"/>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r>
      <w:tr w:rsidR="00AC7D10" w:rsidRPr="00900E1B"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pPr>
              <w:rPr>
                <w:b/>
                <w:bCs/>
              </w:rPr>
            </w:pPr>
            <w:r w:rsidRPr="00900E1B">
              <w:rPr>
                <w:b/>
                <w:bCs/>
              </w:rPr>
              <w:t>Output 1.2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Default="00AC7D10" w:rsidP="00CD5F71">
            <w:r>
              <w:t>A platform for regular consultative research seminars on maritime security established</w:t>
            </w:r>
            <w:r w:rsidR="00DB2033">
              <w:t>.</w:t>
            </w:r>
          </w:p>
          <w:p w:rsidR="00AC7D10" w:rsidRDefault="00AC7D10" w:rsidP="00CD5F71"/>
          <w:p w:rsidR="00AC7D10" w:rsidRDefault="00AC7D10" w:rsidP="00CD5F71">
            <w:proofErr w:type="gramStart"/>
            <w:r>
              <w:t>A total of five</w:t>
            </w:r>
            <w:proofErr w:type="gramEnd"/>
            <w:r>
              <w:t xml:space="preserve"> (5) dialogue events in maritime security with a total of 250 participants (M/F) over a period of 5 years conducted, reported on, and evaluated by KAIPTC’s internal evaluation arrangement</w:t>
            </w:r>
            <w:r w:rsidR="00DB2033">
              <w:t>.</w:t>
            </w:r>
          </w:p>
          <w:p w:rsidR="00AC7D10" w:rsidRPr="00900E1B" w:rsidRDefault="00AC7D10" w:rsidP="00CD5F71"/>
        </w:tc>
      </w:tr>
      <w:tr w:rsidR="00AC7D10" w:rsidRPr="00900E1B" w:rsidTr="00CD5F71">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r w:rsidRPr="00900E1B">
              <w:t>Output Indicator</w:t>
            </w:r>
            <w:r>
              <w:t xml:space="preserve"> 1.2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Default="00AC7D10" w:rsidP="00CD5F71">
            <w:r>
              <w:t>(5) dialogue events for 250 national and regional maritime security practitioners (M/F), of which (3) expert events devoted to experts in the context of the research knowledge developed by the project, and two (2) events devoted to issues around coordinated implementation of regional maritime norms in the Gulf of Guinea maritime domain.</w:t>
            </w:r>
            <w:r>
              <w:tab/>
            </w:r>
          </w:p>
          <w:p w:rsidR="00AC7D10" w:rsidRDefault="00AC7D10" w:rsidP="00CD5F71"/>
          <w:p w:rsidR="00AC7D10" w:rsidRPr="00116D86" w:rsidRDefault="00AC7D10" w:rsidP="00CD5F71">
            <w:pPr>
              <w:rPr>
                <w:i/>
                <w:iCs/>
              </w:rPr>
            </w:pPr>
            <w:r w:rsidRPr="00116D86">
              <w:rPr>
                <w:i/>
                <w:iCs/>
              </w:rPr>
              <w:t xml:space="preserve">Means of verification: Event Reports and other write ups, </w:t>
            </w:r>
          </w:p>
          <w:p w:rsidR="00AC7D10" w:rsidRPr="00900E1B" w:rsidRDefault="00AC7D10" w:rsidP="00CD5F71">
            <w:r w:rsidRPr="00116D86">
              <w:rPr>
                <w:i/>
                <w:iCs/>
              </w:rPr>
              <w:t>Mid-term and end of project internal evaluation reports</w:t>
            </w:r>
            <w:r w:rsidR="00DB2033">
              <w:rPr>
                <w:i/>
                <w:iCs/>
              </w:rPr>
              <w:t>.</w:t>
            </w:r>
          </w:p>
        </w:tc>
      </w:tr>
      <w:tr w:rsidR="00AC7D10"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tcPr>
          <w:p w:rsidR="00AC7D10" w:rsidRPr="00900E1B" w:rsidRDefault="00DB2033" w:rsidP="00CD5F71">
            <w:r>
              <w:t>S</w:t>
            </w:r>
            <w:r w:rsidR="00AC7D10" w:rsidRPr="00F94338">
              <w:t xml:space="preserve">even (7) maritime security culture courses </w:t>
            </w:r>
            <w:proofErr w:type="gramStart"/>
            <w:r w:rsidR="00AC7D10" w:rsidRPr="00F94338">
              <w:t>were organized</w:t>
            </w:r>
            <w:proofErr w:type="gramEnd"/>
            <w:r w:rsidR="00AC7D10" w:rsidRPr="00F94338">
              <w:t xml:space="preserve"> between 2019 and 2021</w:t>
            </w:r>
            <w:r>
              <w:t>.</w:t>
            </w:r>
          </w:p>
        </w:tc>
      </w:tr>
      <w:tr w:rsidR="00AC7D10"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AC7D10" w:rsidRPr="00900E1B" w:rsidRDefault="00AC7D10" w:rsidP="00CD5F71">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2 preparatory consultative visits</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research seminar. 1 symposium on maritime security</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research seminar</w:t>
            </w:r>
            <w:r w:rsidR="00DB203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research seminar. 1 symposium on maritime security</w:t>
            </w:r>
          </w:p>
        </w:tc>
      </w:tr>
      <w:tr w:rsidR="00AC7D10"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AC7D10" w:rsidRDefault="00AC7D10" w:rsidP="00CD5F71">
            <w:r>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AC7D10" w:rsidRDefault="00AC7D10" w:rsidP="00CD5F71">
            <w:r>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AC7D10" w:rsidRDefault="00AC7D10" w:rsidP="00CD5F71">
            <w:r>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AC7D10" w:rsidRPr="00056DFF" w:rsidRDefault="00DB2033" w:rsidP="00CD5F71">
            <w:pPr>
              <w:rPr>
                <w:rFonts w:cs="Arial"/>
                <w:i/>
                <w:iCs/>
              </w:rPr>
            </w:pPr>
            <w:r>
              <w:rPr>
                <w:rFonts w:cs="Arial"/>
                <w:i/>
                <w:iCs/>
              </w:rPr>
              <w:t>N</w:t>
            </w:r>
            <w:r w:rsidR="00AC7D10">
              <w:rPr>
                <w:rFonts w:cs="Arial"/>
                <w:i/>
                <w:iCs/>
              </w:rPr>
              <w:t>one</w:t>
            </w:r>
            <w:r>
              <w:rPr>
                <w:rFonts w:cs="Arial"/>
                <w:i/>
                <w:iCs/>
              </w:rPr>
              <w:t>.</w:t>
            </w:r>
          </w:p>
        </w:tc>
      </w:tr>
      <w:tr w:rsidR="00AC7D10" w:rsidRPr="00900E1B" w:rsidTr="00CD5F71">
        <w:trPr>
          <w:trHeight w:val="340"/>
        </w:trPr>
        <w:tc>
          <w:tcPr>
            <w:tcW w:w="1149" w:type="dxa"/>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c>
          <w:tcPr>
            <w:tcW w:w="0" w:type="auto"/>
            <w:tcBorders>
              <w:top w:val="nil"/>
              <w:left w:val="nil"/>
              <w:bottom w:val="nil"/>
              <w:right w:val="nil"/>
            </w:tcBorders>
            <w:shd w:val="clear" w:color="auto" w:fill="auto"/>
            <w:vAlign w:val="bottom"/>
            <w:hideMark/>
          </w:tcPr>
          <w:p w:rsidR="00AC7D10" w:rsidRPr="00900E1B" w:rsidRDefault="00AC7D10" w:rsidP="00CD5F71"/>
        </w:tc>
      </w:tr>
      <w:tr w:rsidR="00AC7D10" w:rsidRPr="00900E1B"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pPr>
              <w:rPr>
                <w:b/>
                <w:bCs/>
              </w:rPr>
            </w:pPr>
            <w:r w:rsidRPr="00900E1B">
              <w:rPr>
                <w:b/>
                <w:bCs/>
              </w:rPr>
              <w:t>Output 1.</w:t>
            </w:r>
            <w:r>
              <w:rPr>
                <w:b/>
                <w:bCs/>
              </w:rPr>
              <w:t>3</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900E1B" w:rsidRDefault="00AC7D10" w:rsidP="00CD5F71">
            <w:r>
              <w:t xml:space="preserve">A </w:t>
            </w:r>
            <w:r w:rsidRPr="00A97893">
              <w:rPr>
                <w:i/>
                <w:iCs/>
              </w:rPr>
              <w:t>Code of Maritime Practice for Women in the Gulf of Guinea Maritime Domain</w:t>
            </w:r>
            <w:r>
              <w:t xml:space="preserve"> developed and endorsed by at least 7 governments countries that are signatory to the Yaoundé Code of Conduct.</w:t>
            </w:r>
          </w:p>
        </w:tc>
      </w:tr>
      <w:tr w:rsidR="00AC7D10" w:rsidRPr="00900E1B" w:rsidTr="00CD5F71">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r w:rsidRPr="00900E1B">
              <w:t>Output Indicator</w:t>
            </w:r>
            <w:r>
              <w:t xml:space="preserve"> 1.2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Default="00AC7D10" w:rsidP="00AC7D10">
            <w:pPr>
              <w:pStyle w:val="ListParagraph"/>
              <w:numPr>
                <w:ilvl w:val="0"/>
                <w:numId w:val="42"/>
              </w:numPr>
            </w:pPr>
            <w:proofErr w:type="gramStart"/>
            <w:r>
              <w:t>8</w:t>
            </w:r>
            <w:proofErr w:type="gramEnd"/>
            <w:r>
              <w:t xml:space="preserve"> research papers dedicated to at-risk women in maritime or coastal domains in the GoG developed and published</w:t>
            </w:r>
            <w:r w:rsidR="00DB2033">
              <w:t>.</w:t>
            </w:r>
          </w:p>
          <w:p w:rsidR="00AC7D10" w:rsidRDefault="00AC7D10" w:rsidP="00AC7D10">
            <w:pPr>
              <w:pStyle w:val="ListParagraph"/>
              <w:numPr>
                <w:ilvl w:val="0"/>
                <w:numId w:val="42"/>
              </w:numPr>
            </w:pPr>
            <w:proofErr w:type="gramStart"/>
            <w:r w:rsidRPr="001346D4">
              <w:t>1</w:t>
            </w:r>
            <w:proofErr w:type="gramEnd"/>
            <w:r w:rsidRPr="001346D4">
              <w:t xml:space="preserve"> </w:t>
            </w:r>
            <w:r w:rsidRPr="00A97893">
              <w:rPr>
                <w:i/>
                <w:iCs/>
              </w:rPr>
              <w:t>Code of Maritime Practice for Women in the Gulf of Guinea Maritime Domain</w:t>
            </w:r>
            <w:r>
              <w:t xml:space="preserve"> </w:t>
            </w:r>
            <w:r w:rsidRPr="001346D4">
              <w:t>developed and adopted by at least 7 countries in the Gulf of Guinea</w:t>
            </w:r>
            <w:r w:rsidR="00DB2033">
              <w:t>.</w:t>
            </w:r>
          </w:p>
          <w:p w:rsidR="00AC7D10" w:rsidRDefault="00AC7D10" w:rsidP="00AC7D10">
            <w:pPr>
              <w:pStyle w:val="ListParagraph"/>
              <w:numPr>
                <w:ilvl w:val="0"/>
                <w:numId w:val="42"/>
              </w:numPr>
            </w:pPr>
            <w:r w:rsidRPr="00515745">
              <w:t xml:space="preserve">Four (4) dialogues devoted to women in maritime for an estimated </w:t>
            </w:r>
            <w:proofErr w:type="gramStart"/>
            <w:r w:rsidRPr="00515745">
              <w:t>total of 80</w:t>
            </w:r>
            <w:proofErr w:type="gramEnd"/>
            <w:r w:rsidRPr="00515745">
              <w:t xml:space="preserve"> participants from West and Central Africa and beyond</w:t>
            </w:r>
            <w:r w:rsidR="00DB2033">
              <w:t>.</w:t>
            </w:r>
          </w:p>
          <w:p w:rsidR="00AC7D10" w:rsidRPr="00900E1B" w:rsidRDefault="00AC7D10" w:rsidP="00AC7D10">
            <w:pPr>
              <w:pStyle w:val="ListParagraph"/>
              <w:numPr>
                <w:ilvl w:val="0"/>
                <w:numId w:val="42"/>
              </w:numPr>
            </w:pPr>
            <w:proofErr w:type="gramStart"/>
            <w:r>
              <w:t>1</w:t>
            </w:r>
            <w:proofErr w:type="gramEnd"/>
            <w:r>
              <w:t xml:space="preserve"> Training module for women in maritime security incorporated in the KAIPTC foundational maritime security course</w:t>
            </w:r>
            <w:r w:rsidR="008A1BC0">
              <w:t>.</w:t>
            </w:r>
          </w:p>
        </w:tc>
      </w:tr>
      <w:tr w:rsidR="00AC7D10" w:rsidRPr="00900E1B" w:rsidTr="00CD5F71">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tcPr>
          <w:p w:rsidR="00AC7D10" w:rsidRPr="00900E1B" w:rsidRDefault="00AC7D10" w:rsidP="008A1BC0">
            <w:r>
              <w:t>No research papers dedicated to at-risk women in maritime and coastal domains</w:t>
            </w:r>
            <w:r w:rsidR="008A1BC0">
              <w:t>,</w:t>
            </w:r>
            <w:r>
              <w:t xml:space="preserve"> </w:t>
            </w:r>
            <w:r w:rsidR="008A1BC0">
              <w:t>n</w:t>
            </w:r>
            <w:r>
              <w:t>o Code of Practice</w:t>
            </w:r>
            <w:r w:rsidR="008A1BC0">
              <w:t>, and n</w:t>
            </w:r>
            <w:r>
              <w:t>o training module</w:t>
            </w:r>
            <w:r w:rsidR="008A1BC0">
              <w:t>.</w:t>
            </w:r>
          </w:p>
        </w:tc>
      </w:tr>
      <w:tr w:rsidR="00AC7D10"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Target</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2022</w:t>
            </w:r>
          </w:p>
        </w:tc>
        <w:tc>
          <w:tcPr>
            <w:tcW w:w="0" w:type="auto"/>
            <w:tcBorders>
              <w:top w:val="nil"/>
              <w:left w:val="nil"/>
              <w:bottom w:val="single" w:sz="8" w:space="0" w:color="auto"/>
              <w:right w:val="single" w:sz="8" w:space="0" w:color="auto"/>
            </w:tcBorders>
            <w:shd w:val="clear" w:color="auto" w:fill="auto"/>
          </w:tcPr>
          <w:p w:rsidR="00AC7D10" w:rsidRDefault="00AC7D10" w:rsidP="00CD5F71">
            <w:pPr>
              <w:rPr>
                <w:rFonts w:cs="Arial"/>
              </w:rPr>
            </w:pPr>
            <w:r>
              <w:rPr>
                <w:rFonts w:cs="Arial"/>
              </w:rPr>
              <w:t>2 published research papers on at-risk women in the maritime or coastal domains</w:t>
            </w:r>
          </w:p>
          <w:p w:rsidR="00AC7D10" w:rsidRPr="00900E1B" w:rsidRDefault="00AC7D10" w:rsidP="00CD5F71">
            <w:r>
              <w:t xml:space="preserve">Activities for cooperation with UNODC on </w:t>
            </w:r>
            <w:r w:rsidR="008A1BC0">
              <w:t>m</w:t>
            </w:r>
            <w:r>
              <w:t>aritime WPS training course agreed and incorporated in KAIPTC annual implementation plans for 2022/23</w:t>
            </w:r>
            <w:r w:rsidR="008A1BC0">
              <w:t>.</w:t>
            </w:r>
          </w:p>
        </w:tc>
      </w:tr>
      <w:tr w:rsidR="00AC7D10"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2023</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AC7D10" w:rsidRDefault="00AC7D10" w:rsidP="00CD5F71">
            <w:pPr>
              <w:rPr>
                <w:rFonts w:cs="Arial"/>
              </w:rPr>
            </w:pPr>
            <w:r>
              <w:rPr>
                <w:rFonts w:cs="Arial"/>
              </w:rPr>
              <w:t>1 symposium on women in maritime security for 20 women</w:t>
            </w:r>
            <w:r w:rsidR="008A1BC0">
              <w:rPr>
                <w:rFonts w:cs="Arial"/>
              </w:rPr>
              <w:t>.</w:t>
            </w:r>
          </w:p>
          <w:p w:rsidR="00AC7D10" w:rsidRDefault="00AC7D10" w:rsidP="00CD5F71">
            <w:pPr>
              <w:rPr>
                <w:rFonts w:cs="Arial"/>
              </w:rPr>
            </w:pPr>
            <w:r>
              <w:rPr>
                <w:rFonts w:cs="Arial"/>
              </w:rPr>
              <w:t>1 High-level consultative seminar for 20 women leaders in maritime security</w:t>
            </w:r>
            <w:r w:rsidR="008A1BC0">
              <w:rPr>
                <w:rFonts w:cs="Arial"/>
              </w:rPr>
              <w:t>.</w:t>
            </w:r>
          </w:p>
          <w:p w:rsidR="00AC7D10" w:rsidRPr="00C54CF3" w:rsidRDefault="00AC7D10" w:rsidP="00CD5F71">
            <w:pPr>
              <w:rPr>
                <w:rFonts w:cs="Arial"/>
              </w:rPr>
            </w:pPr>
            <w:r>
              <w:rPr>
                <w:rFonts w:cs="Arial"/>
              </w:rPr>
              <w:t xml:space="preserve">1 draft </w:t>
            </w:r>
            <w:r w:rsidRPr="00A97893">
              <w:rPr>
                <w:i/>
                <w:iCs/>
              </w:rPr>
              <w:t>Code of Maritime Practice for Women in the Gulf of Guinea Maritime Domain</w:t>
            </w:r>
            <w:r>
              <w:rPr>
                <w:i/>
                <w:iCs/>
              </w:rPr>
              <w:t xml:space="preserve"> </w:t>
            </w:r>
            <w:r>
              <w:t>produced in English and French (and Portuguese, if relevant)</w:t>
            </w:r>
            <w:r w:rsidR="008A1BC0">
              <w:t>.</w:t>
            </w:r>
          </w:p>
          <w:p w:rsidR="00AC7D10" w:rsidRDefault="00AC7D10" w:rsidP="00CD5F71">
            <w:r>
              <w:rPr>
                <w:rFonts w:cs="Arial"/>
              </w:rPr>
              <w:t xml:space="preserve">1 training module on </w:t>
            </w:r>
            <w:r w:rsidRPr="00A97893">
              <w:rPr>
                <w:i/>
                <w:iCs/>
              </w:rPr>
              <w:t>Code of Maritime Practice for Women in the Gulf of Guinea Maritime Domain</w:t>
            </w:r>
            <w:r>
              <w:rPr>
                <w:i/>
                <w:iCs/>
              </w:rPr>
              <w:t xml:space="preserve"> </w:t>
            </w:r>
            <w:r w:rsidRPr="004630C0">
              <w:rPr>
                <w:iCs/>
              </w:rPr>
              <w:t>prepared</w:t>
            </w:r>
            <w:r>
              <w:t xml:space="preserve"> and incorporated in KAIPTC foundational maritime security training course</w:t>
            </w:r>
            <w:r w:rsidR="008A1BC0">
              <w:t>.</w:t>
            </w:r>
          </w:p>
          <w:p w:rsidR="00AC7D10" w:rsidRPr="00313925" w:rsidRDefault="00AC7D10" w:rsidP="00CD5F71">
            <w:r>
              <w:t>1 Curriculum from Maritime WPS prepared and courses planned</w:t>
            </w:r>
            <w:r w:rsidR="008A1BC0">
              <w:t>.</w:t>
            </w:r>
          </w:p>
          <w:p w:rsidR="00AC7D10" w:rsidRPr="005618F9" w:rsidRDefault="00AC7D10" w:rsidP="00CD5F71">
            <w:pPr>
              <w:rPr>
                <w:rFonts w:cs="Arial"/>
              </w:rPr>
            </w:pPr>
            <w:r>
              <w:rPr>
                <w:rFonts w:cs="Arial"/>
              </w:rPr>
              <w:t>4 published research papers on at-risk women in the maritime or coastal domains</w:t>
            </w:r>
            <w:r w:rsidR="008A1BC0">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Default="00AC7D10" w:rsidP="00CD5F71">
            <w:r>
              <w:rPr>
                <w:rFonts w:cs="Arial"/>
              </w:rPr>
              <w:t>1 published research paper on at-risk women in the maritime or coastal domains</w:t>
            </w:r>
            <w:r w:rsidR="008A1BC0">
              <w:rPr>
                <w:rFonts w:cs="Arial"/>
              </w:rPr>
              <w:t>.</w:t>
            </w:r>
          </w:p>
          <w:p w:rsidR="00AC7D10" w:rsidRPr="00900E1B" w:rsidRDefault="00AC7D10" w:rsidP="00CD5F71">
            <w:r>
              <w:t>1 Validation workshop for Code of Practice for Women in the GoG Maritime domain (20 women)</w:t>
            </w:r>
            <w:r w:rsidR="008A1BC0">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Default="00AC7D10" w:rsidP="00CD5F71">
            <w:r>
              <w:rPr>
                <w:rFonts w:cs="Arial"/>
              </w:rPr>
              <w:t>1 published research paper on at-risk women in the maritime or coastal domains</w:t>
            </w:r>
            <w:r w:rsidR="008A1BC0">
              <w:rPr>
                <w:rFonts w:cs="Arial"/>
              </w:rPr>
              <w:t>.</w:t>
            </w:r>
          </w:p>
          <w:p w:rsidR="00AC7D10" w:rsidRPr="00900E1B" w:rsidRDefault="00AC7D10" w:rsidP="00CD5F71">
            <w:r>
              <w:rPr>
                <w:rFonts w:cs="Arial"/>
              </w:rPr>
              <w:t>1 symposium on women in maritime security for 20 women</w:t>
            </w:r>
            <w:r w:rsidR="008A1BC0">
              <w:t>.</w:t>
            </w:r>
          </w:p>
        </w:tc>
      </w:tr>
      <w:tr w:rsidR="00AC7D10"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AC7D10" w:rsidRDefault="00AC7D10" w:rsidP="00CD5F71">
            <w:r>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AC7D10" w:rsidRDefault="00AC7D10" w:rsidP="00CD5F71">
            <w:r>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AC7D10" w:rsidRDefault="00AC7D10" w:rsidP="00CD5F71">
            <w:r>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AC7D10" w:rsidRDefault="00AC7D10" w:rsidP="00CD5F71">
            <w:pPr>
              <w:rPr>
                <w:rFonts w:cs="Arial"/>
              </w:rPr>
            </w:pPr>
            <w:r w:rsidRPr="00A97893">
              <w:rPr>
                <w:i/>
                <w:iCs/>
              </w:rPr>
              <w:t>Code of Maritime Practice for Women in the Gulf of Guinea Maritime Domain</w:t>
            </w:r>
            <w:r>
              <w:t xml:space="preserve"> </w:t>
            </w:r>
            <w:r w:rsidRPr="001346D4">
              <w:t>developed and adopted by at least 7 countries in the Gulf of Guinea</w:t>
            </w:r>
            <w:r w:rsidR="008A1BC0">
              <w:t>.</w:t>
            </w:r>
          </w:p>
        </w:tc>
      </w:tr>
      <w:tr w:rsidR="00AC7D10" w:rsidRPr="00900E1B" w:rsidTr="00CD5F71">
        <w:trPr>
          <w:trHeight w:val="340"/>
        </w:trPr>
        <w:tc>
          <w:tcPr>
            <w:tcW w:w="1149" w:type="dxa"/>
            <w:tcBorders>
              <w:top w:val="nil"/>
              <w:left w:val="nil"/>
              <w:bottom w:val="nil"/>
              <w:right w:val="nil"/>
            </w:tcBorders>
            <w:shd w:val="clear" w:color="auto" w:fill="auto"/>
            <w:vAlign w:val="bottom"/>
          </w:tcPr>
          <w:p w:rsidR="00AC7D10" w:rsidRPr="00900E1B" w:rsidRDefault="00AC7D10" w:rsidP="00CD5F71"/>
        </w:tc>
        <w:tc>
          <w:tcPr>
            <w:tcW w:w="0" w:type="auto"/>
            <w:tcBorders>
              <w:top w:val="nil"/>
              <w:left w:val="nil"/>
              <w:bottom w:val="nil"/>
              <w:right w:val="nil"/>
            </w:tcBorders>
            <w:shd w:val="clear" w:color="auto" w:fill="auto"/>
            <w:vAlign w:val="bottom"/>
          </w:tcPr>
          <w:p w:rsidR="00AC7D10" w:rsidRPr="00900E1B" w:rsidRDefault="00AC7D10" w:rsidP="00CD5F71"/>
        </w:tc>
        <w:tc>
          <w:tcPr>
            <w:tcW w:w="0" w:type="auto"/>
            <w:tcBorders>
              <w:top w:val="nil"/>
              <w:left w:val="nil"/>
              <w:bottom w:val="nil"/>
              <w:right w:val="nil"/>
            </w:tcBorders>
            <w:shd w:val="clear" w:color="auto" w:fill="auto"/>
            <w:vAlign w:val="bottom"/>
          </w:tcPr>
          <w:p w:rsidR="00AC7D10" w:rsidRPr="00900E1B" w:rsidRDefault="00AC7D10" w:rsidP="00CD5F71"/>
        </w:tc>
        <w:tc>
          <w:tcPr>
            <w:tcW w:w="0" w:type="auto"/>
            <w:tcBorders>
              <w:top w:val="nil"/>
              <w:left w:val="nil"/>
              <w:bottom w:val="nil"/>
              <w:right w:val="nil"/>
            </w:tcBorders>
            <w:shd w:val="clear" w:color="auto" w:fill="auto"/>
            <w:vAlign w:val="bottom"/>
          </w:tcPr>
          <w:p w:rsidR="00AC7D10" w:rsidRPr="00900E1B" w:rsidRDefault="00AC7D10" w:rsidP="00CD5F71"/>
        </w:tc>
      </w:tr>
      <w:tr w:rsidR="00AC7D10" w:rsidRPr="00900E1B" w:rsidTr="00CD5F71">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AC7D10" w:rsidRPr="00900E1B" w:rsidRDefault="00AC7D10" w:rsidP="00CD5F71">
            <w:pPr>
              <w:rPr>
                <w:b/>
                <w:bCs/>
              </w:rPr>
            </w:pPr>
            <w:r w:rsidRPr="00900E1B">
              <w:rPr>
                <w:b/>
                <w:bCs/>
              </w:rPr>
              <w:t xml:space="preserve">Outcome </w:t>
            </w:r>
            <w:r>
              <w:rPr>
                <w:b/>
                <w:bCs/>
              </w:rPr>
              <w:t>2</w:t>
            </w:r>
          </w:p>
        </w:tc>
        <w:tc>
          <w:tcPr>
            <w:tcW w:w="0" w:type="auto"/>
            <w:gridSpan w:val="2"/>
            <w:tcBorders>
              <w:top w:val="single" w:sz="8" w:space="0" w:color="auto"/>
              <w:left w:val="nil"/>
              <w:bottom w:val="nil"/>
              <w:right w:val="single" w:sz="8" w:space="0" w:color="000000"/>
            </w:tcBorders>
            <w:shd w:val="clear" w:color="auto" w:fill="auto"/>
            <w:vAlign w:val="center"/>
          </w:tcPr>
          <w:p w:rsidR="00AC7D10" w:rsidRPr="00900E1B" w:rsidRDefault="00AC7D10" w:rsidP="00CD5F71">
            <w:r w:rsidRPr="00786F94">
              <w:t>Strengthened capacity and approaches among state and non-state maritime actors and stakeholders</w:t>
            </w:r>
            <w:r>
              <w:t xml:space="preserve"> applied, including in the media</w:t>
            </w:r>
            <w:r w:rsidR="008A1BC0">
              <w:t>.</w:t>
            </w:r>
          </w:p>
        </w:tc>
      </w:tr>
      <w:tr w:rsidR="00AC7D10" w:rsidRPr="00900E1B"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AC7D10" w:rsidRPr="00900E1B" w:rsidRDefault="00AC7D10" w:rsidP="00CD5F71">
            <w:r w:rsidRPr="00900E1B">
              <w:t>Outcome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900E1B" w:rsidRDefault="00AC7D10" w:rsidP="00CD5F71">
            <w:r w:rsidRPr="00A97C78">
              <w:t xml:space="preserve">% </w:t>
            </w:r>
            <w:r w:rsidR="008A1BC0">
              <w:t>o</w:t>
            </w:r>
            <w:r w:rsidRPr="00A97C78">
              <w:t>f maritime actors who reported on improved knowledge on maritime issues in the GoG maritime domain and national and regional arrangements to prevent maritime crimes.</w:t>
            </w:r>
          </w:p>
        </w:tc>
      </w:tr>
      <w:tr w:rsidR="00AC7D10" w:rsidRPr="00900E1B" w:rsidTr="00CD5F71">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vAlign w:val="center"/>
          </w:tcPr>
          <w:p w:rsidR="00AC7D10" w:rsidRPr="00900E1B" w:rsidRDefault="00AC7D10" w:rsidP="00CD5F71">
            <w:r w:rsidRPr="00CF1BAD">
              <w:rPr>
                <w:rFonts w:cs="Arial"/>
              </w:rPr>
              <w:t>No actors have reported</w:t>
            </w:r>
            <w:r w:rsidR="0084650B">
              <w:rPr>
                <w:rFonts w:cs="Arial"/>
              </w:rPr>
              <w:t>.</w:t>
            </w:r>
          </w:p>
        </w:tc>
      </w:tr>
      <w:tr w:rsidR="00AC7D10" w:rsidRPr="00900E1B" w:rsidTr="00CD5F71">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AC7D10" w:rsidRPr="00900E1B" w:rsidRDefault="00AC7D10" w:rsidP="00CD5F71">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AC7D10" w:rsidRPr="00900E1B" w:rsidRDefault="00AC7D10" w:rsidP="00CD5F71">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AC7D10" w:rsidRPr="00900E1B" w:rsidRDefault="00AC7D10" w:rsidP="00CD5F71">
            <w:r w:rsidRPr="00900E1B">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AC7D10" w:rsidRPr="00900E1B" w:rsidRDefault="00AC7D10" w:rsidP="00CD5F71">
            <w:r>
              <w:rPr>
                <w:rFonts w:cs="Arial"/>
              </w:rPr>
              <w:t>90% o</w:t>
            </w:r>
            <w:r w:rsidRPr="001E22A1">
              <w:rPr>
                <w:rFonts w:cs="Arial"/>
              </w:rPr>
              <w:t>f maritime actors</w:t>
            </w:r>
            <w:r>
              <w:rPr>
                <w:rFonts w:cs="Arial"/>
              </w:rPr>
              <w:t xml:space="preserve"> trained by KAIPTC </w:t>
            </w:r>
            <w:r w:rsidRPr="001E22A1">
              <w:rPr>
                <w:rFonts w:cs="Arial"/>
              </w:rPr>
              <w:t>reported on improved knowledge on maritime issues in the GoG maritime domain and national and regional arrangements to prevent maritime crimes</w:t>
            </w:r>
            <w:r w:rsidR="003806D5">
              <w:rPr>
                <w:rFonts w:cs="Arial"/>
              </w:rPr>
              <w:t>.</w:t>
            </w:r>
            <w:r>
              <w:rPr>
                <w:rFonts w:cs="Arial"/>
              </w:rPr>
              <w:t xml:space="preserve"> (</w:t>
            </w:r>
            <w:r w:rsidR="003806D5">
              <w:rPr>
                <w:rFonts w:cs="Arial"/>
              </w:rPr>
              <w:t>S</w:t>
            </w:r>
            <w:r>
              <w:rPr>
                <w:rFonts w:cs="Arial"/>
              </w:rPr>
              <w:t>ource: KAIPTC monitoring records and follow-up survey)</w:t>
            </w:r>
          </w:p>
        </w:tc>
      </w:tr>
      <w:tr w:rsidR="00AC7D10" w:rsidRPr="0081263C"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AC7D10" w:rsidRPr="0081263C" w:rsidRDefault="00AC7D10" w:rsidP="00CD5F71">
            <w:pPr>
              <w:rPr>
                <w:b/>
                <w:bCs/>
              </w:rPr>
            </w:pPr>
            <w:r w:rsidRPr="0081263C">
              <w:rPr>
                <w:b/>
                <w:bCs/>
              </w:rPr>
              <w:t>Output 2.1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4630C0" w:rsidRDefault="00AC7D10" w:rsidP="00CD5F71">
            <w:pPr>
              <w:rPr>
                <w:bCs/>
              </w:rPr>
            </w:pPr>
            <w:r w:rsidRPr="004630C0">
              <w:rPr>
                <w:rFonts w:cs="Arial"/>
                <w:bCs/>
              </w:rPr>
              <w:t>Maritime security related capacities of at least 340 maritime security actors</w:t>
            </w:r>
            <w:r w:rsidR="008A1BC0" w:rsidRPr="004630C0">
              <w:rPr>
                <w:rFonts w:cs="Arial"/>
                <w:bCs/>
              </w:rPr>
              <w:t xml:space="preserve"> </w:t>
            </w:r>
            <w:r w:rsidRPr="004630C0">
              <w:rPr>
                <w:rFonts w:cs="Arial"/>
                <w:bCs/>
              </w:rPr>
              <w:t>(M/F) strengthened and applied in their respective areas of responsibility.</w:t>
            </w:r>
          </w:p>
        </w:tc>
      </w:tr>
      <w:tr w:rsidR="00AC7D10" w:rsidRPr="00900E1B" w:rsidTr="00CD5F71">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AC7D10" w:rsidRPr="00900E1B" w:rsidRDefault="00AC7D10" w:rsidP="00CD5F71">
            <w:r w:rsidRPr="00900E1B">
              <w:t>Output Indicator</w:t>
            </w:r>
            <w:r>
              <w:t xml:space="preserve"> 2.1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900E1B" w:rsidRDefault="00AC7D10" w:rsidP="00CD5F71">
            <w:r w:rsidRPr="00275E5B">
              <w:t xml:space="preserve">% </w:t>
            </w:r>
            <w:r w:rsidR="00CD4223">
              <w:t>o</w:t>
            </w:r>
            <w:r w:rsidRPr="00275E5B">
              <w:t>f maritime actors who reported on improved knowledge on maritime issues in the GoG maritime domain and national and regional arrangements to prevent maritime crimes.</w:t>
            </w:r>
          </w:p>
        </w:tc>
      </w:tr>
      <w:tr w:rsidR="00AC7D10"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AC7D10" w:rsidRPr="00900E1B" w:rsidRDefault="00AC7D10" w:rsidP="00CD5F71">
            <w:r w:rsidRPr="00900E1B">
              <w:t>2021</w:t>
            </w:r>
          </w:p>
        </w:tc>
        <w:tc>
          <w:tcPr>
            <w:tcW w:w="0" w:type="auto"/>
            <w:tcBorders>
              <w:top w:val="nil"/>
              <w:left w:val="nil"/>
              <w:bottom w:val="single" w:sz="8" w:space="0" w:color="auto"/>
              <w:right w:val="single" w:sz="8" w:space="0" w:color="auto"/>
            </w:tcBorders>
            <w:shd w:val="clear" w:color="auto" w:fill="auto"/>
          </w:tcPr>
          <w:p w:rsidR="00AC7D10" w:rsidRPr="00900E1B" w:rsidRDefault="00F5602A" w:rsidP="00CD5F71">
            <w:r>
              <w:rPr>
                <w:rFonts w:cs="Arial"/>
              </w:rPr>
              <w:t>Seven (</w:t>
            </w:r>
            <w:r w:rsidRPr="008C77FC">
              <w:rPr>
                <w:rFonts w:cs="Arial"/>
              </w:rPr>
              <w:t>7</w:t>
            </w:r>
            <w:r>
              <w:rPr>
                <w:rFonts w:cs="Arial"/>
              </w:rPr>
              <w:t>)</w:t>
            </w:r>
            <w:r w:rsidRPr="008C77FC">
              <w:rPr>
                <w:rFonts w:cs="Arial"/>
              </w:rPr>
              <w:t xml:space="preserve"> maritime security culture courses organized between 2019 and 2021</w:t>
            </w:r>
          </w:p>
        </w:tc>
      </w:tr>
      <w:tr w:rsidR="00AC7D10"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AC7D10" w:rsidRPr="00900E1B" w:rsidRDefault="00AC7D10" w:rsidP="00CD5F71">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national Maritime Security course</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multinational maritime security course</w:t>
            </w:r>
            <w:r w:rsidR="00CD4223">
              <w:rPr>
                <w:rFonts w:cs="Arial"/>
              </w:rPr>
              <w:t>.</w:t>
            </w:r>
            <w:r>
              <w:rPr>
                <w:rFonts w:cs="Arial"/>
              </w:rPr>
              <w:t xml:space="preserve"> </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 xml:space="preserve">1 national maritime </w:t>
            </w:r>
            <w:proofErr w:type="gramStart"/>
            <w:r>
              <w:rPr>
                <w:rFonts w:cs="Arial"/>
              </w:rPr>
              <w:t>security training</w:t>
            </w:r>
            <w:proofErr w:type="gramEnd"/>
            <w:r>
              <w:rPr>
                <w:rFonts w:cs="Arial"/>
              </w:rPr>
              <w:t xml:space="preserve"> course</w:t>
            </w:r>
            <w:r w:rsidR="00CD4223">
              <w:rPr>
                <w:rFonts w:cs="Arial"/>
              </w:rPr>
              <w:t>.</w:t>
            </w:r>
            <w:r>
              <w:rPr>
                <w:rFonts w:cs="Arial"/>
              </w:rPr>
              <w:t xml:space="preserve"> </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 xml:space="preserve">1 multinational maritime </w:t>
            </w:r>
            <w:proofErr w:type="gramStart"/>
            <w:r>
              <w:rPr>
                <w:rFonts w:cs="Arial"/>
              </w:rPr>
              <w:t>security training</w:t>
            </w:r>
            <w:proofErr w:type="gramEnd"/>
            <w:r>
              <w:rPr>
                <w:rFonts w:cs="Arial"/>
              </w:rPr>
              <w:t xml:space="preserve"> course</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AC7D10" w:rsidRDefault="00AC7D10" w:rsidP="00CD5F71">
            <w:r>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AC7D10" w:rsidRDefault="00AC7D10" w:rsidP="00CD5F71">
            <w:r>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AC7D10" w:rsidRDefault="00AC7D10" w:rsidP="00CD5F71">
            <w:r>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AC7D10" w:rsidRDefault="00AC7D10" w:rsidP="00CD5F71">
            <w:pPr>
              <w:rPr>
                <w:rFonts w:cs="Arial"/>
              </w:rPr>
            </w:pPr>
            <w:r>
              <w:rPr>
                <w:rFonts w:cs="Arial"/>
              </w:rPr>
              <w:t xml:space="preserve">1 national maritime </w:t>
            </w:r>
            <w:proofErr w:type="gramStart"/>
            <w:r>
              <w:rPr>
                <w:rFonts w:cs="Arial"/>
              </w:rPr>
              <w:t>security training</w:t>
            </w:r>
            <w:proofErr w:type="gramEnd"/>
            <w:r>
              <w:rPr>
                <w:rFonts w:cs="Arial"/>
              </w:rPr>
              <w:t xml:space="preserve"> course</w:t>
            </w:r>
            <w:r w:rsidR="00CD4223">
              <w:rPr>
                <w:rFonts w:cs="Arial"/>
              </w:rPr>
              <w:t>.</w:t>
            </w:r>
          </w:p>
        </w:tc>
      </w:tr>
      <w:tr w:rsidR="00AC7D10" w:rsidRPr="00A90D53" w:rsidTr="00CD5F71">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AC7D10" w:rsidRPr="00A90D53" w:rsidRDefault="00AC7D10" w:rsidP="00CD5F71">
            <w:pPr>
              <w:rPr>
                <w:b/>
                <w:bCs/>
              </w:rPr>
            </w:pPr>
            <w:r w:rsidRPr="00A90D53">
              <w:rPr>
                <w:b/>
                <w:bCs/>
              </w:rPr>
              <w:t>Output 2.2</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AC7D10" w:rsidRPr="004630C0" w:rsidRDefault="00AC7D10" w:rsidP="00CD5F71">
            <w:pPr>
              <w:rPr>
                <w:bCs/>
              </w:rPr>
            </w:pPr>
            <w:r w:rsidRPr="004630C0">
              <w:rPr>
                <w:rFonts w:cs="Arial"/>
                <w:bCs/>
              </w:rPr>
              <w:t xml:space="preserve">At least 80 journalist (M/F) and communication officers (M/F) of maritime agencies trained in maritime security </w:t>
            </w:r>
            <w:proofErr w:type="gramStart"/>
            <w:r w:rsidRPr="004630C0">
              <w:rPr>
                <w:rFonts w:cs="Arial"/>
                <w:bCs/>
              </w:rPr>
              <w:t>between 2022-2024</w:t>
            </w:r>
            <w:proofErr w:type="gramEnd"/>
            <w:r w:rsidRPr="004630C0">
              <w:rPr>
                <w:rFonts w:cs="Arial"/>
                <w:bCs/>
              </w:rPr>
              <w:t xml:space="preserve"> publish regular media product on maritime domain issues</w:t>
            </w:r>
            <w:r w:rsidR="00CD4223">
              <w:rPr>
                <w:rFonts w:cs="Arial"/>
                <w:bCs/>
              </w:rPr>
              <w:t>.</w:t>
            </w:r>
          </w:p>
        </w:tc>
      </w:tr>
      <w:tr w:rsidR="00AC7D10" w:rsidRPr="00900E1B" w:rsidTr="004630C0">
        <w:trPr>
          <w:trHeight w:val="760"/>
        </w:trPr>
        <w:tc>
          <w:tcPr>
            <w:tcW w:w="1832" w:type="dxa"/>
            <w:gridSpan w:val="2"/>
            <w:tcBorders>
              <w:top w:val="single" w:sz="8" w:space="0" w:color="auto"/>
              <w:left w:val="single" w:sz="8" w:space="0" w:color="auto"/>
              <w:right w:val="single" w:sz="8" w:space="0" w:color="000000"/>
            </w:tcBorders>
            <w:shd w:val="clear" w:color="auto" w:fill="95B3D7" w:themeFill="accent1" w:themeFillTint="99"/>
            <w:vAlign w:val="center"/>
            <w:hideMark/>
          </w:tcPr>
          <w:p w:rsidR="00AC7D10" w:rsidRPr="00900E1B" w:rsidRDefault="00AC7D10" w:rsidP="00CD5F71">
            <w:r w:rsidRPr="00900E1B">
              <w:t>Output Indicator</w:t>
            </w:r>
            <w:r>
              <w:t xml:space="preserve"> 2.1</w:t>
            </w:r>
          </w:p>
        </w:tc>
        <w:tc>
          <w:tcPr>
            <w:tcW w:w="0" w:type="auto"/>
            <w:gridSpan w:val="2"/>
            <w:tcBorders>
              <w:top w:val="single" w:sz="8" w:space="0" w:color="auto"/>
              <w:left w:val="nil"/>
              <w:right w:val="single" w:sz="8" w:space="0" w:color="000000"/>
            </w:tcBorders>
            <w:shd w:val="clear" w:color="auto" w:fill="auto"/>
            <w:vAlign w:val="center"/>
          </w:tcPr>
          <w:p w:rsidR="00AC7D10" w:rsidRPr="00900E1B" w:rsidRDefault="00AC7D10" w:rsidP="00CD5F71">
            <w:r w:rsidRPr="00275E5B">
              <w:t xml:space="preserve">% </w:t>
            </w:r>
            <w:r w:rsidR="00CD4223">
              <w:t>o</w:t>
            </w:r>
            <w:r w:rsidRPr="00275E5B">
              <w:t>f maritime actors who reported on improved knowledge on maritime issues in the GoG maritime domain and national and regional arrangements to prevent maritime crimes.</w:t>
            </w:r>
          </w:p>
        </w:tc>
      </w:tr>
      <w:tr w:rsidR="00AC7D10" w:rsidRPr="00900E1B" w:rsidTr="004630C0">
        <w:trPr>
          <w:trHeight w:val="340"/>
        </w:trPr>
        <w:tc>
          <w:tcPr>
            <w:tcW w:w="1149" w:type="dxa"/>
            <w:tcBorders>
              <w:top w:val="nil"/>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Baseline</w:t>
            </w:r>
          </w:p>
        </w:tc>
        <w:tc>
          <w:tcPr>
            <w:tcW w:w="0" w:type="auto"/>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AC7D10" w:rsidRPr="00900E1B" w:rsidRDefault="00AC7D10" w:rsidP="00CD5F71">
            <w:r w:rsidRPr="00900E1B">
              <w:t>2021</w:t>
            </w:r>
          </w:p>
        </w:tc>
        <w:tc>
          <w:tcPr>
            <w:tcW w:w="0" w:type="auto"/>
            <w:tcBorders>
              <w:top w:val="nil"/>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No course or curriculum exists</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7D10" w:rsidRPr="00900E1B" w:rsidRDefault="00AC7D10" w:rsidP="00CD5F71">
            <w:r w:rsidRPr="00900E1B">
              <w:t>2022</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national reporting training (20 participants)</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multinational maritime reporting training course (20 participants)</w:t>
            </w:r>
            <w:r w:rsidR="00CD4223">
              <w:rPr>
                <w:rFonts w:cs="Arial"/>
              </w:rPr>
              <w:t>.</w:t>
            </w:r>
            <w:r>
              <w:rPr>
                <w:rFonts w:cs="Arial"/>
              </w:rPr>
              <w:t xml:space="preserve"> </w:t>
            </w:r>
            <w:r w:rsidR="00CD4223">
              <w:rPr>
                <w:rFonts w:cs="Arial"/>
              </w:rPr>
              <w:br/>
            </w:r>
            <w:r>
              <w:rPr>
                <w:rFonts w:cs="Arial"/>
              </w:rPr>
              <w:t>1 national reporting training course (20 participants)</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AC7D10" w:rsidP="00CD5F71">
            <w:r>
              <w:rPr>
                <w:rFonts w:cs="Arial"/>
              </w:rPr>
              <w:t>1 national maritime reporting training course (20 participants)</w:t>
            </w:r>
            <w:r w:rsidR="00CD4223">
              <w:rPr>
                <w:rFonts w:cs="Arial"/>
              </w:rPr>
              <w:t>.</w:t>
            </w:r>
          </w:p>
        </w:tc>
      </w:tr>
      <w:tr w:rsidR="00AC7D10"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C7D10" w:rsidRPr="00900E1B" w:rsidRDefault="00AC7D10" w:rsidP="00CD5F71">
            <w: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7D10" w:rsidRPr="00900E1B" w:rsidRDefault="00AC7D10" w:rsidP="00CD5F71">
            <w:r>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AC7D10" w:rsidRPr="00900E1B" w:rsidRDefault="00F5602A" w:rsidP="00CD5F71">
            <w:r>
              <w:rPr>
                <w:rFonts w:cs="Arial"/>
              </w:rPr>
              <w:t>One (1) multinational maritime security culture training course</w:t>
            </w:r>
          </w:p>
        </w:tc>
      </w:tr>
      <w:tr w:rsidR="00F5602A"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F5602A" w:rsidRPr="00900E1B" w:rsidRDefault="00F5602A" w:rsidP="00F5602A">
            <w:r>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F5602A" w:rsidRPr="00900E1B" w:rsidRDefault="00F5602A" w:rsidP="00F5602A">
            <w:r>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F5602A" w:rsidRPr="00900E1B" w:rsidRDefault="00F5602A" w:rsidP="00F5602A">
            <w:r>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F5602A" w:rsidRPr="00900E1B" w:rsidRDefault="00F5602A" w:rsidP="00F5602A">
            <w:r>
              <w:rPr>
                <w:rFonts w:cs="Arial"/>
              </w:rPr>
              <w:t>One (1) national maritime security culture training course</w:t>
            </w:r>
          </w:p>
        </w:tc>
      </w:tr>
    </w:tbl>
    <w:p w:rsidR="00CD4223" w:rsidRDefault="00CD4223">
      <w:pPr>
        <w:jc w:val="left"/>
        <w:rPr>
          <w:rFonts w:eastAsiaTheme="majorEastAsia" w:cstheme="majorBidi"/>
          <w:b/>
          <w:bCs/>
          <w:color w:val="345A8A" w:themeColor="accent1" w:themeShade="B5"/>
          <w:sz w:val="32"/>
          <w:szCs w:val="32"/>
        </w:rPr>
      </w:pPr>
      <w:r>
        <w:br w:type="page"/>
      </w:r>
    </w:p>
    <w:p w:rsidR="00352200" w:rsidRDefault="002947C5" w:rsidP="00030420">
      <w:pPr>
        <w:pStyle w:val="Heading1"/>
      </w:pPr>
      <w:bookmarkStart w:id="16" w:name="_Toc89077038"/>
      <w:r>
        <w:t xml:space="preserve">PSE </w:t>
      </w:r>
      <w:r w:rsidR="008644E0">
        <w:t>4</w:t>
      </w:r>
      <w:bookmarkEnd w:id="16"/>
    </w:p>
    <w:p w:rsidR="00952D03" w:rsidRPr="00900E1B" w:rsidRDefault="00952D03" w:rsidP="0076616A">
      <w:pPr>
        <w:pStyle w:val="Heading2"/>
      </w:pPr>
      <w:bookmarkStart w:id="17" w:name="_Toc89077039"/>
      <w:r>
        <w:t>PSE 4</w:t>
      </w:r>
      <w:r w:rsidR="007A1BF0">
        <w:t xml:space="preserve"> </w:t>
      </w:r>
      <w:r w:rsidR="0076616A">
        <w:t>–</w:t>
      </w:r>
      <w:r>
        <w:t xml:space="preserve"> Theory of Change</w:t>
      </w:r>
      <w:bookmarkEnd w:id="17"/>
    </w:p>
    <w:p w:rsidR="00952D03" w:rsidRPr="00952D03" w:rsidRDefault="00952D03" w:rsidP="00952D03"/>
    <w:tbl>
      <w:tblPr>
        <w:tblStyle w:val="TableGrid"/>
        <w:tblW w:w="0" w:type="auto"/>
        <w:tblLook w:val="04A0" w:firstRow="1" w:lastRow="0" w:firstColumn="1" w:lastColumn="0" w:noHBand="0" w:noVBand="1"/>
      </w:tblPr>
      <w:tblGrid>
        <w:gridCol w:w="1696"/>
        <w:gridCol w:w="7790"/>
      </w:tblGrid>
      <w:tr w:rsidR="005F5336" w:rsidRPr="004C32CC" w:rsidTr="0076616A">
        <w:tc>
          <w:tcPr>
            <w:tcW w:w="9486" w:type="dxa"/>
            <w:gridSpan w:val="2"/>
            <w:shd w:val="clear" w:color="auto" w:fill="auto"/>
          </w:tcPr>
          <w:p w:rsidR="005F5336" w:rsidRPr="004C32CC" w:rsidRDefault="005F5336" w:rsidP="0076616A">
            <w:pPr>
              <w:jc w:val="center"/>
              <w:rPr>
                <w:rFonts w:cs="Times New Roman"/>
                <w:b/>
                <w:bCs/>
                <w:color w:val="000000" w:themeColor="text1"/>
              </w:rPr>
            </w:pPr>
            <w:r w:rsidRPr="004C32CC">
              <w:rPr>
                <w:rFonts w:cs="Times New Roman"/>
                <w:b/>
                <w:bCs/>
                <w:color w:val="000000" w:themeColor="text1"/>
              </w:rPr>
              <w:t>Theory of Change</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r w:rsidRPr="004C32CC">
              <w:rPr>
                <w:rFonts w:cs="Times New Roman"/>
                <w:color w:val="000000" w:themeColor="text1"/>
              </w:rPr>
              <w:t>Output level</w:t>
            </w:r>
          </w:p>
        </w:tc>
        <w:tc>
          <w:tcPr>
            <w:tcW w:w="7790" w:type="dxa"/>
            <w:shd w:val="clear" w:color="auto" w:fill="auto"/>
          </w:tcPr>
          <w:p w:rsidR="005F5336" w:rsidRPr="004C32CC" w:rsidRDefault="005F5336" w:rsidP="0076616A">
            <w:pPr>
              <w:rPr>
                <w:rFonts w:cs="Times New Roman"/>
                <w:color w:val="000000" w:themeColor="text1"/>
              </w:rPr>
            </w:pPr>
            <w:r w:rsidRPr="004C32CC">
              <w:rPr>
                <w:rFonts w:cs="Times New Roman"/>
                <w:i/>
                <w:iCs/>
                <w:color w:val="000000" w:themeColor="text1"/>
              </w:rPr>
              <w:t xml:space="preserve">If </w:t>
            </w:r>
            <w:r w:rsidRPr="004C32CC">
              <w:rPr>
                <w:rFonts w:cs="Times New Roman"/>
                <w:color w:val="000000" w:themeColor="text1"/>
              </w:rPr>
              <w:t>Denmark supports building enhanced planning and response capacity that allows interregional, regional organizations</w:t>
            </w:r>
            <w:r w:rsidR="00CD4223">
              <w:rPr>
                <w:rFonts w:cs="Times New Roman"/>
                <w:color w:val="000000" w:themeColor="text1"/>
              </w:rPr>
              <w:t>,</w:t>
            </w:r>
            <w:r w:rsidRPr="004C32CC">
              <w:rPr>
                <w:rFonts w:cs="Times New Roman"/>
                <w:color w:val="000000" w:themeColor="text1"/>
              </w:rPr>
              <w:t xml:space="preserve"> and coastal states in the Gulf of Guinea to achieve timely and accurate decision-making that enables actions to neutralize threats in the maritime domain</w:t>
            </w:r>
          </w:p>
        </w:tc>
      </w:tr>
      <w:tr w:rsidR="005F5336" w:rsidRPr="004C32CC" w:rsidTr="0076616A">
        <w:tc>
          <w:tcPr>
            <w:tcW w:w="9486" w:type="dxa"/>
            <w:gridSpan w:val="2"/>
            <w:shd w:val="clear" w:color="auto" w:fill="auto"/>
          </w:tcPr>
          <w:p w:rsidR="005F5336" w:rsidRPr="004C32CC" w:rsidRDefault="005F5336" w:rsidP="0076616A">
            <w:pPr>
              <w:jc w:val="center"/>
              <w:rPr>
                <w:rFonts w:cs="Times New Roman"/>
                <w:i/>
                <w:iCs/>
                <w:color w:val="000000" w:themeColor="text1"/>
              </w:rPr>
            </w:pPr>
            <w:r w:rsidRPr="004C32CC">
              <w:rPr>
                <w:rFonts w:cs="Times New Roman"/>
                <w:i/>
                <w:iCs/>
                <w:color w:val="000000" w:themeColor="text1"/>
              </w:rPr>
              <w:t>and</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p>
        </w:tc>
        <w:tc>
          <w:tcPr>
            <w:tcW w:w="7790" w:type="dxa"/>
            <w:shd w:val="clear" w:color="auto" w:fill="auto"/>
          </w:tcPr>
          <w:p w:rsidR="005F5336" w:rsidRPr="004C32CC" w:rsidRDefault="00CD4223" w:rsidP="0076616A">
            <w:r>
              <w:rPr>
                <w:i/>
                <w:iCs/>
              </w:rPr>
              <w:t>i</w:t>
            </w:r>
            <w:r w:rsidR="005F5336" w:rsidRPr="004C32CC">
              <w:rPr>
                <w:i/>
                <w:iCs/>
              </w:rPr>
              <w:t xml:space="preserve">f </w:t>
            </w:r>
            <w:r w:rsidR="005F5336" w:rsidRPr="004C32CC">
              <w:t xml:space="preserve">Denmark provides expert support to (i) enhance regional dialogue on maritime security, (ii) improve maritime operational response capacities, </w:t>
            </w:r>
            <w:r>
              <w:t xml:space="preserve">and </w:t>
            </w:r>
            <w:r w:rsidR="005F5336" w:rsidRPr="004C32CC">
              <w:t xml:space="preserve">(iii) strengthens the legal capacity to investigate </w:t>
            </w:r>
          </w:p>
        </w:tc>
      </w:tr>
      <w:tr w:rsidR="005F5336" w:rsidRPr="004C32CC" w:rsidTr="0076616A">
        <w:tc>
          <w:tcPr>
            <w:tcW w:w="9486" w:type="dxa"/>
            <w:gridSpan w:val="2"/>
            <w:shd w:val="clear" w:color="auto" w:fill="auto"/>
          </w:tcPr>
          <w:p w:rsidR="005F5336" w:rsidRPr="004C32CC" w:rsidRDefault="005F5336" w:rsidP="0076616A">
            <w:pPr>
              <w:jc w:val="center"/>
              <w:rPr>
                <w:rFonts w:cs="Times New Roman"/>
                <w:i/>
                <w:iCs/>
                <w:color w:val="000000" w:themeColor="text1"/>
              </w:rPr>
            </w:pPr>
            <w:r w:rsidRPr="004C32CC">
              <w:rPr>
                <w:rFonts w:cs="Times New Roman"/>
                <w:i/>
                <w:iCs/>
                <w:color w:val="000000" w:themeColor="text1"/>
              </w:rPr>
              <w:t>then</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r w:rsidRPr="004C32CC">
              <w:rPr>
                <w:rFonts w:cs="Times New Roman"/>
                <w:color w:val="000000" w:themeColor="text1"/>
              </w:rPr>
              <w:t>Outcome Level</w:t>
            </w:r>
          </w:p>
        </w:tc>
        <w:tc>
          <w:tcPr>
            <w:tcW w:w="7790" w:type="dxa"/>
            <w:shd w:val="clear" w:color="auto" w:fill="auto"/>
          </w:tcPr>
          <w:p w:rsidR="005F5336" w:rsidRPr="004C32CC" w:rsidRDefault="005F5336" w:rsidP="004630C0">
            <w:r w:rsidRPr="004C32CC">
              <w:t>Nigeria and Ghana and other beneficiary countries will have increased capacity to detect, share information</w:t>
            </w:r>
            <w:r w:rsidR="00CD4223">
              <w:t>,</w:t>
            </w:r>
            <w:r w:rsidRPr="004C32CC">
              <w:t xml:space="preserve"> and manage responses to threats to shipping and seafarers</w:t>
            </w:r>
            <w:r w:rsidR="00CD4223">
              <w:t xml:space="preserve"> as well as </w:t>
            </w:r>
            <w:r w:rsidRPr="004C32CC">
              <w:t xml:space="preserve"> a stronger basis to prosecute maritime crime and interregional</w:t>
            </w:r>
            <w:r w:rsidR="004630C0">
              <w:t xml:space="preserve"> piracy networks,</w:t>
            </w:r>
          </w:p>
        </w:tc>
      </w:tr>
      <w:tr w:rsidR="005F5336" w:rsidRPr="004C32CC" w:rsidTr="0076616A">
        <w:tc>
          <w:tcPr>
            <w:tcW w:w="9486" w:type="dxa"/>
            <w:gridSpan w:val="2"/>
            <w:shd w:val="clear" w:color="auto" w:fill="auto"/>
          </w:tcPr>
          <w:p w:rsidR="005F5336" w:rsidRPr="004C32CC" w:rsidRDefault="005F5336" w:rsidP="0076616A">
            <w:pPr>
              <w:jc w:val="center"/>
              <w:rPr>
                <w:rFonts w:cs="Times New Roman"/>
                <w:i/>
                <w:iCs/>
                <w:color w:val="000000" w:themeColor="text1"/>
              </w:rPr>
            </w:pPr>
            <w:r w:rsidRPr="004C32CC">
              <w:rPr>
                <w:rFonts w:cs="Times New Roman"/>
                <w:i/>
                <w:iCs/>
                <w:color w:val="000000" w:themeColor="text1"/>
              </w:rPr>
              <w:t>leading to</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r w:rsidRPr="004C32CC">
              <w:rPr>
                <w:rFonts w:cs="Times New Roman"/>
                <w:color w:val="000000" w:themeColor="text1"/>
              </w:rPr>
              <w:t>Impact level</w:t>
            </w:r>
          </w:p>
        </w:tc>
        <w:tc>
          <w:tcPr>
            <w:tcW w:w="7790" w:type="dxa"/>
            <w:shd w:val="clear" w:color="auto" w:fill="auto"/>
          </w:tcPr>
          <w:p w:rsidR="005F5336" w:rsidRPr="004C32CC" w:rsidRDefault="00DD0CDF" w:rsidP="0076616A">
            <w:pPr>
              <w:rPr>
                <w:rFonts w:cs="Times New Roman"/>
                <w:i/>
                <w:iCs/>
                <w:color w:val="000000" w:themeColor="text1"/>
              </w:rPr>
            </w:pPr>
            <w:proofErr w:type="gramStart"/>
            <w:r>
              <w:t>r</w:t>
            </w:r>
            <w:r w:rsidR="005F5336" w:rsidRPr="004C32CC">
              <w:t>egional</w:t>
            </w:r>
            <w:proofErr w:type="gramEnd"/>
            <w:r w:rsidR="005F5336" w:rsidRPr="004C32CC">
              <w:t xml:space="preserve"> organizations and coastal states in the Gulf of Guinea having increased capacities, capabilities</w:t>
            </w:r>
            <w:r>
              <w:t>,</w:t>
            </w:r>
            <w:r w:rsidR="005F5336" w:rsidRPr="004C32CC">
              <w:t xml:space="preserve"> and frameworks feeding into operational and sustainable MDA and responses to emergencies/incidents.</w:t>
            </w:r>
          </w:p>
        </w:tc>
      </w:tr>
      <w:tr w:rsidR="005F5336" w:rsidRPr="004C32CC" w:rsidTr="0076616A">
        <w:tc>
          <w:tcPr>
            <w:tcW w:w="9486" w:type="dxa"/>
            <w:gridSpan w:val="2"/>
            <w:shd w:val="clear" w:color="auto" w:fill="auto"/>
          </w:tcPr>
          <w:p w:rsidR="005F5336" w:rsidRPr="004C32CC" w:rsidRDefault="00DD0CDF" w:rsidP="0076616A">
            <w:pPr>
              <w:jc w:val="center"/>
              <w:rPr>
                <w:rFonts w:cs="Times New Roman"/>
                <w:i/>
                <w:iCs/>
                <w:color w:val="000000" w:themeColor="text1"/>
              </w:rPr>
            </w:pPr>
            <w:r>
              <w:rPr>
                <w:rFonts w:cs="Times New Roman"/>
                <w:i/>
                <w:iCs/>
                <w:color w:val="000000" w:themeColor="text1"/>
              </w:rPr>
              <w:t>p</w:t>
            </w:r>
            <w:r w:rsidR="005F5336" w:rsidRPr="004C32CC">
              <w:rPr>
                <w:rFonts w:cs="Times New Roman"/>
                <w:i/>
                <w:iCs/>
                <w:color w:val="000000" w:themeColor="text1"/>
              </w:rPr>
              <w:t xml:space="preserve">rovided that </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r w:rsidRPr="004C32CC">
              <w:rPr>
                <w:rFonts w:cs="Times New Roman"/>
                <w:color w:val="000000" w:themeColor="text1"/>
              </w:rPr>
              <w:t>Assumptions</w:t>
            </w:r>
          </w:p>
        </w:tc>
        <w:tc>
          <w:tcPr>
            <w:tcW w:w="7790" w:type="dxa"/>
            <w:shd w:val="clear" w:color="auto" w:fill="auto"/>
          </w:tcPr>
          <w:p w:rsidR="005F5336" w:rsidRPr="004C32CC" w:rsidRDefault="005F5336" w:rsidP="004630C0">
            <w:pPr>
              <w:pStyle w:val="ListParagraph"/>
              <w:numPr>
                <w:ilvl w:val="0"/>
                <w:numId w:val="32"/>
              </w:numPr>
              <w:contextualSpacing/>
              <w:jc w:val="left"/>
            </w:pPr>
            <w:r w:rsidRPr="004C32CC">
              <w:t>Stronger inter-agency cooperation mechanisms at national and regional level will help facilitate improvements in maritime law enforcement responses to maritime crime, including stronger judicial processes.</w:t>
            </w:r>
          </w:p>
          <w:p w:rsidR="005F5336" w:rsidRPr="004C32CC" w:rsidRDefault="005F5336" w:rsidP="005F5336">
            <w:pPr>
              <w:pStyle w:val="ListParagraph"/>
              <w:numPr>
                <w:ilvl w:val="0"/>
                <w:numId w:val="32"/>
              </w:numPr>
              <w:spacing w:before="120"/>
              <w:contextualSpacing/>
              <w:jc w:val="left"/>
            </w:pPr>
            <w:r w:rsidRPr="004C32CC">
              <w:t xml:space="preserve">Maritime authorities in beneficiary countries are open to international assistance and are prepared to invest counterpart time and effort in support arrangements, thereby ensuring productive use of the support offered. It </w:t>
            </w:r>
            <w:proofErr w:type="gramStart"/>
            <w:r w:rsidRPr="004C32CC">
              <w:t>is also assumed</w:t>
            </w:r>
            <w:proofErr w:type="gramEnd"/>
            <w:r w:rsidRPr="004C32CC">
              <w:t xml:space="preserve"> that UNODC ha</w:t>
            </w:r>
            <w:r w:rsidR="00DD0CDF">
              <w:t>s</w:t>
            </w:r>
            <w:r w:rsidRPr="004C32CC">
              <w:t xml:space="preserve"> sufficient local weight through their mandates to engage substantively with local authorities</w:t>
            </w:r>
            <w:r w:rsidR="00DD0CDF">
              <w:t>.</w:t>
            </w:r>
          </w:p>
          <w:p w:rsidR="005F5336" w:rsidRPr="004C32CC" w:rsidRDefault="005F5336" w:rsidP="005F5336">
            <w:pPr>
              <w:pStyle w:val="ListParagraph"/>
              <w:numPr>
                <w:ilvl w:val="0"/>
                <w:numId w:val="32"/>
              </w:numPr>
              <w:spacing w:before="120"/>
              <w:contextualSpacing/>
              <w:jc w:val="left"/>
            </w:pPr>
            <w:r w:rsidRPr="004C32CC">
              <w:t>Suitable arrangements can be agreed with Nigeria and possibly Ghana and with international partners (U.S, UK</w:t>
            </w:r>
            <w:r w:rsidR="00DD0CDF">
              <w:t>,</w:t>
            </w:r>
            <w:r w:rsidRPr="004C32CC">
              <w:t xml:space="preserve"> and possibly France) enabling Danish military capacities to be deployed in a training capacity.</w:t>
            </w:r>
          </w:p>
        </w:tc>
      </w:tr>
      <w:tr w:rsidR="005F5336" w:rsidRPr="004C32CC" w:rsidTr="0076616A">
        <w:tc>
          <w:tcPr>
            <w:tcW w:w="9486" w:type="dxa"/>
            <w:gridSpan w:val="2"/>
            <w:shd w:val="clear" w:color="auto" w:fill="auto"/>
          </w:tcPr>
          <w:p w:rsidR="005F5336" w:rsidRPr="004C32CC" w:rsidRDefault="00DD0CDF" w:rsidP="0076616A">
            <w:pPr>
              <w:jc w:val="center"/>
              <w:rPr>
                <w:i/>
                <w:iCs/>
              </w:rPr>
            </w:pPr>
            <w:r>
              <w:rPr>
                <w:i/>
                <w:iCs/>
              </w:rPr>
              <w:t>a</w:t>
            </w:r>
            <w:r w:rsidR="005F5336" w:rsidRPr="004C32CC">
              <w:rPr>
                <w:i/>
                <w:iCs/>
              </w:rPr>
              <w:t>nd assuming the following preconditions apply</w:t>
            </w:r>
          </w:p>
        </w:tc>
      </w:tr>
      <w:tr w:rsidR="005F5336" w:rsidRPr="004C32CC" w:rsidTr="0076616A">
        <w:tc>
          <w:tcPr>
            <w:tcW w:w="1696" w:type="dxa"/>
            <w:shd w:val="clear" w:color="auto" w:fill="auto"/>
          </w:tcPr>
          <w:p w:rsidR="005F5336" w:rsidRPr="004C32CC" w:rsidRDefault="005F5336" w:rsidP="0076616A">
            <w:pPr>
              <w:rPr>
                <w:rFonts w:cs="Times New Roman"/>
                <w:color w:val="000000" w:themeColor="text1"/>
              </w:rPr>
            </w:pPr>
          </w:p>
        </w:tc>
        <w:tc>
          <w:tcPr>
            <w:tcW w:w="7790" w:type="dxa"/>
            <w:shd w:val="clear" w:color="auto" w:fill="auto"/>
          </w:tcPr>
          <w:p w:rsidR="005F5336" w:rsidRPr="004C32CC" w:rsidRDefault="005F5336" w:rsidP="005F5336">
            <w:pPr>
              <w:pStyle w:val="ListParagraph"/>
              <w:numPr>
                <w:ilvl w:val="0"/>
                <w:numId w:val="32"/>
              </w:numPr>
              <w:contextualSpacing/>
            </w:pPr>
            <w:r w:rsidRPr="004C32CC">
              <w:t xml:space="preserve">Countries and regional organisations have the political will to cooperate within the framework that </w:t>
            </w:r>
            <w:proofErr w:type="gramStart"/>
            <w:r w:rsidRPr="004C32CC">
              <w:t>is being established</w:t>
            </w:r>
            <w:proofErr w:type="gramEnd"/>
            <w:r w:rsidRPr="004C32CC">
              <w:t xml:space="preserve"> and are prepared to enter into legal and practical agreements with each other providing the basis for a cohesive regional approach. It </w:t>
            </w:r>
            <w:proofErr w:type="gramStart"/>
            <w:r w:rsidRPr="004C32CC">
              <w:t>is assumed</w:t>
            </w:r>
            <w:proofErr w:type="gramEnd"/>
            <w:r w:rsidRPr="004C32CC">
              <w:t>, for example, that the structures under the Yaoundé architecture will be further developed and populated with regional and national staff and equipment in a manner that facilitates interoperability and timely response.</w:t>
            </w:r>
          </w:p>
          <w:p w:rsidR="005F5336" w:rsidRPr="00DD0CDF" w:rsidRDefault="005F5336" w:rsidP="004630C0">
            <w:pPr>
              <w:pStyle w:val="ListParagraph"/>
              <w:numPr>
                <w:ilvl w:val="0"/>
                <w:numId w:val="32"/>
              </w:numPr>
              <w:contextualSpacing/>
            </w:pPr>
            <w:r w:rsidRPr="004C32CC">
              <w:t>Countries recognise and develop effective national coordination mechanisms, including maritime strategies and inter-agency arrangements, and they are open to international assistance in these endeavours</w:t>
            </w:r>
            <w:r w:rsidR="00DD0CDF">
              <w:t>.</w:t>
            </w:r>
          </w:p>
        </w:tc>
      </w:tr>
    </w:tbl>
    <w:p w:rsidR="0020102B" w:rsidRDefault="0020102B" w:rsidP="0020102B"/>
    <w:p w:rsidR="0059795D" w:rsidRDefault="0059795D" w:rsidP="0020102B"/>
    <w:p w:rsidR="0059795D" w:rsidRDefault="0059795D" w:rsidP="0020102B"/>
    <w:p w:rsidR="00E72B0D" w:rsidRDefault="00E72B0D">
      <w:pPr>
        <w:jc w:val="left"/>
        <w:rPr>
          <w:rFonts w:eastAsiaTheme="majorEastAsia" w:cstheme="majorBidi"/>
          <w:b/>
          <w:color w:val="4F81BD" w:themeColor="accent1"/>
          <w:sz w:val="26"/>
          <w:szCs w:val="26"/>
        </w:rPr>
      </w:pPr>
      <w:r>
        <w:br w:type="page"/>
      </w:r>
    </w:p>
    <w:p w:rsidR="0059795D" w:rsidRPr="0076616A" w:rsidRDefault="007A1BF0" w:rsidP="0076616A">
      <w:pPr>
        <w:pStyle w:val="Heading2"/>
      </w:pPr>
      <w:bookmarkStart w:id="18" w:name="_Toc89077040"/>
      <w:r w:rsidRPr="0076616A">
        <w:t>PSE 4 – Results Framewor</w:t>
      </w:r>
      <w:r w:rsidR="00AB33C7" w:rsidRPr="0076616A">
        <w:t>k</w:t>
      </w:r>
      <w:bookmarkEnd w:id="18"/>
    </w:p>
    <w:tbl>
      <w:tblPr>
        <w:tblW w:w="0" w:type="auto"/>
        <w:tblInd w:w="-10" w:type="dxa"/>
        <w:tblLook w:val="04A0" w:firstRow="1" w:lastRow="0" w:firstColumn="1" w:lastColumn="0" w:noHBand="0" w:noVBand="1"/>
      </w:tblPr>
      <w:tblGrid>
        <w:gridCol w:w="1149"/>
        <w:gridCol w:w="683"/>
        <w:gridCol w:w="717"/>
        <w:gridCol w:w="6937"/>
      </w:tblGrid>
      <w:tr w:rsidR="00962DCF" w:rsidRPr="00900E1B" w:rsidTr="0076616A">
        <w:trPr>
          <w:trHeight w:val="60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962DCF" w:rsidRPr="00900E1B" w:rsidRDefault="00962DCF" w:rsidP="0076616A">
            <w:pPr>
              <w:rPr>
                <w:b/>
                <w:bCs/>
              </w:rPr>
            </w:pPr>
            <w:r w:rsidRPr="00900E1B">
              <w:rPr>
                <w:b/>
                <w:bCs/>
              </w:rPr>
              <w:t>Project objective</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4C32CC">
              <w:t xml:space="preserve">Capacity of regional actors to respond to piracy, robbery at </w:t>
            </w:r>
            <w:proofErr w:type="gramStart"/>
            <w:r w:rsidRPr="004C32CC">
              <w:t>sea</w:t>
            </w:r>
            <w:r w:rsidR="009867AA">
              <w:t>,</w:t>
            </w:r>
            <w:proofErr w:type="gramEnd"/>
            <w:r w:rsidRPr="004C32CC">
              <w:t xml:space="preserve"> and other threats to maritime security in the Gulf of Guinea is strengthened</w:t>
            </w:r>
            <w:r w:rsidR="009867AA">
              <w:t>.</w:t>
            </w:r>
          </w:p>
        </w:tc>
      </w:tr>
      <w:tr w:rsidR="00962DCF" w:rsidRPr="00900E1B" w:rsidTr="0076616A">
        <w:trPr>
          <w:trHeight w:val="680"/>
        </w:trPr>
        <w:tc>
          <w:tcPr>
            <w:tcW w:w="1832" w:type="dxa"/>
            <w:gridSpan w:val="2"/>
            <w:tcBorders>
              <w:top w:val="single" w:sz="8" w:space="0" w:color="auto"/>
              <w:left w:val="single" w:sz="8" w:space="0" w:color="auto"/>
              <w:bottom w:val="single" w:sz="8" w:space="0" w:color="auto"/>
              <w:right w:val="single" w:sz="8" w:space="0" w:color="000000"/>
            </w:tcBorders>
            <w:shd w:val="clear" w:color="auto" w:fill="C2D69B" w:themeFill="accent3" w:themeFillTint="99"/>
            <w:vAlign w:val="center"/>
            <w:hideMark/>
          </w:tcPr>
          <w:p w:rsidR="00962DCF" w:rsidRPr="00900E1B" w:rsidRDefault="00962DCF" w:rsidP="0076616A">
            <w:r w:rsidRPr="00900E1B">
              <w:t>Impact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proofErr w:type="gramStart"/>
            <w:r w:rsidRPr="000C1EFA">
              <w:t>Nigeria and Ghana and other beneficiary countries will have increased capacity to detect, share information</w:t>
            </w:r>
            <w:r w:rsidR="009867AA">
              <w:t>,</w:t>
            </w:r>
            <w:r w:rsidRPr="000C1EFA">
              <w:t xml:space="preserve"> and manage responses to threats to shipping and seafarers; a stronger basis to prosecute maritime crime; and interregional, regional organizations</w:t>
            </w:r>
            <w:r w:rsidR="009867AA">
              <w:t>,</w:t>
            </w:r>
            <w:r w:rsidRPr="000C1EFA">
              <w:t xml:space="preserve"> and coastal states in the Gulf of Guinea will have increased capacities, capabilities</w:t>
            </w:r>
            <w:r w:rsidR="009867AA">
              <w:t>,</w:t>
            </w:r>
            <w:r w:rsidRPr="000C1EFA">
              <w:t xml:space="preserve"> and frameworks feeding into operational and sustainable MDA and responses to emergencies/incidents.</w:t>
            </w:r>
            <w:proofErr w:type="gramEnd"/>
          </w:p>
        </w:tc>
      </w:tr>
      <w:tr w:rsidR="00962DCF" w:rsidRPr="00900E1B" w:rsidTr="0076616A">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vAlign w:val="center"/>
          </w:tcPr>
          <w:p w:rsidR="00962DCF" w:rsidRDefault="00962DCF" w:rsidP="0076616A">
            <w:r>
              <w:t>Limited real time sharing of MDA data.</w:t>
            </w:r>
          </w:p>
          <w:p w:rsidR="00962DCF" w:rsidRDefault="00962DCF" w:rsidP="0076616A">
            <w:r>
              <w:t>Limited operational response and now sustainable force generation.</w:t>
            </w:r>
          </w:p>
          <w:p w:rsidR="00962DCF" w:rsidRDefault="00962DCF" w:rsidP="0076616A">
            <w:r>
              <w:t xml:space="preserve">19 convictions for piracy following successful handover, of which 10 in Nigeria and 9 in Togo. </w:t>
            </w:r>
          </w:p>
          <w:p w:rsidR="00962DCF" w:rsidRDefault="00962DCF" w:rsidP="0076616A">
            <w:r>
              <w:t xml:space="preserve">Uncertainty on the role played by various agencies and actors. Existing but unclear lines </w:t>
            </w:r>
            <w:r w:rsidR="0065617C">
              <w:t xml:space="preserve">of </w:t>
            </w:r>
            <w:r>
              <w:t>communication and information exchange between various actors – both general and incident-related.</w:t>
            </w:r>
          </w:p>
          <w:p w:rsidR="00962DCF" w:rsidRPr="00900E1B" w:rsidRDefault="00962DCF" w:rsidP="0076616A">
            <w:r>
              <w:t xml:space="preserve">Ghanaian </w:t>
            </w:r>
            <w:r w:rsidR="005052A7">
              <w:t>N</w:t>
            </w:r>
            <w:r>
              <w:t>avy trained in vessel boarding and related aspects (e.g., securing evidence</w:t>
            </w:r>
            <w:r w:rsidR="0065617C">
              <w:t xml:space="preserve"> and</w:t>
            </w:r>
            <w:r>
              <w:t xml:space="preserve"> human rights) as part of a rule of law-based response.</w:t>
            </w:r>
          </w:p>
        </w:tc>
      </w:tr>
      <w:tr w:rsidR="00962DCF" w:rsidRPr="00900E1B" w:rsidTr="0076616A">
        <w:trPr>
          <w:trHeight w:val="660"/>
        </w:trPr>
        <w:tc>
          <w:tcPr>
            <w:tcW w:w="1149"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rsidR="00962DCF" w:rsidRPr="00900E1B" w:rsidRDefault="00962DCF" w:rsidP="0076616A">
            <w:r w:rsidRPr="00900E1B">
              <w:t>Target</w:t>
            </w:r>
          </w:p>
        </w:tc>
        <w:tc>
          <w:tcPr>
            <w:tcW w:w="0" w:type="auto"/>
            <w:tcBorders>
              <w:top w:val="nil"/>
              <w:left w:val="nil"/>
              <w:bottom w:val="single" w:sz="8" w:space="0" w:color="auto"/>
              <w:right w:val="single" w:sz="8" w:space="0" w:color="auto"/>
            </w:tcBorders>
            <w:shd w:val="clear" w:color="auto" w:fill="C2D69B" w:themeFill="accent3"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2026</w:t>
            </w:r>
          </w:p>
        </w:tc>
        <w:tc>
          <w:tcPr>
            <w:tcW w:w="0" w:type="auto"/>
            <w:tcBorders>
              <w:top w:val="nil"/>
              <w:left w:val="nil"/>
              <w:bottom w:val="single" w:sz="8" w:space="0" w:color="auto"/>
              <w:right w:val="single" w:sz="8" w:space="0" w:color="auto"/>
            </w:tcBorders>
            <w:shd w:val="clear" w:color="auto" w:fill="auto"/>
            <w:vAlign w:val="center"/>
          </w:tcPr>
          <w:p w:rsidR="00962DCF" w:rsidRPr="004C32CC" w:rsidRDefault="00962DCF" w:rsidP="0076616A">
            <w:r w:rsidRPr="004C32CC">
              <w:t>Coastal states in Zones E, F</w:t>
            </w:r>
            <w:r w:rsidR="0065617C">
              <w:t>,</w:t>
            </w:r>
            <w:r w:rsidRPr="004C32CC">
              <w:t xml:space="preserve"> </w:t>
            </w:r>
            <w:r w:rsidR="0065617C">
              <w:t>and</w:t>
            </w:r>
            <w:r w:rsidRPr="004C32CC">
              <w:t xml:space="preserve"> D access and share MDA data and utilise it effectively in operational planning (as tested in multilateral maritime security exercises)</w:t>
            </w:r>
            <w:r w:rsidR="0065617C">
              <w:t>.</w:t>
            </w:r>
          </w:p>
          <w:p w:rsidR="00962DCF" w:rsidRPr="0065617C" w:rsidRDefault="00962DCF" w:rsidP="0076616A">
            <w:r w:rsidRPr="004C32CC">
              <w:t xml:space="preserve">Ghana capable of sustainable force generation and respond </w:t>
            </w:r>
            <w:r w:rsidRPr="0065617C">
              <w:t>operationally using trained units in boarding operations.</w:t>
            </w:r>
          </w:p>
          <w:p w:rsidR="00962DCF" w:rsidRPr="0065617C" w:rsidRDefault="00962DCF" w:rsidP="0076616A">
            <w:r w:rsidRPr="0065617C">
              <w:t>Frequent contact and dialogue between stakeholders outside formal seminar/workshop structures.</w:t>
            </w:r>
          </w:p>
          <w:p w:rsidR="00962DCF" w:rsidRPr="00900E1B" w:rsidRDefault="00962DCF" w:rsidP="0076616A">
            <w:r w:rsidRPr="004C32CC">
              <w:t xml:space="preserve">Ghanaian </w:t>
            </w:r>
            <w:r w:rsidR="005052A7">
              <w:t>N</w:t>
            </w:r>
            <w:r w:rsidRPr="004C32CC">
              <w:t xml:space="preserve">avy </w:t>
            </w:r>
            <w:r>
              <w:t xml:space="preserve">is </w:t>
            </w:r>
            <w:r w:rsidRPr="004C32CC">
              <w:t>conducting and supporting law enforcement agencies in vessel boarding as part of a rule of law-based response</w:t>
            </w:r>
            <w:r w:rsidR="0065617C">
              <w:t>.</w:t>
            </w:r>
          </w:p>
        </w:tc>
      </w:tr>
      <w:tr w:rsidR="00962DCF" w:rsidRPr="00900E1B" w:rsidTr="0076616A">
        <w:trPr>
          <w:trHeight w:val="340"/>
        </w:trPr>
        <w:tc>
          <w:tcPr>
            <w:tcW w:w="1149" w:type="dxa"/>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r>
      <w:tr w:rsidR="00962DCF" w:rsidRPr="00900E1B"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962DCF" w:rsidRPr="00900E1B" w:rsidRDefault="00962DCF" w:rsidP="0076616A">
            <w:pPr>
              <w:rPr>
                <w:b/>
                <w:bCs/>
              </w:rPr>
            </w:pPr>
            <w:r w:rsidRPr="00900E1B">
              <w:rPr>
                <w:b/>
                <w:bCs/>
              </w:rPr>
              <w:t>Outcome 1</w:t>
            </w:r>
          </w:p>
        </w:tc>
        <w:tc>
          <w:tcPr>
            <w:tcW w:w="0" w:type="auto"/>
            <w:gridSpan w:val="2"/>
            <w:tcBorders>
              <w:top w:val="single" w:sz="8" w:space="0" w:color="auto"/>
              <w:left w:val="nil"/>
              <w:bottom w:val="nil"/>
              <w:right w:val="single" w:sz="8" w:space="0" w:color="000000"/>
            </w:tcBorders>
            <w:shd w:val="clear" w:color="auto" w:fill="auto"/>
            <w:vAlign w:val="center"/>
          </w:tcPr>
          <w:p w:rsidR="00962DCF" w:rsidRPr="00900E1B" w:rsidRDefault="00962DCF" w:rsidP="0076616A">
            <w:r w:rsidRPr="004C32CC">
              <w:t>Enhanced Maritime Domain Awareness capacity, cooperation, and interoperability amongst West African coastal states</w:t>
            </w:r>
            <w:r w:rsidR="0065617C">
              <w:t>.</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962DCF" w:rsidRPr="00900E1B" w:rsidRDefault="00962DCF" w:rsidP="0076616A">
            <w:r w:rsidRPr="00900E1B">
              <w:t>Outcome indicator</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4C32CC">
              <w:t>Extent and quality of MDA, especially operation planning and decision making, along with regional/national interaction leading to operational response</w:t>
            </w:r>
            <w:r w:rsidR="0065617C">
              <w:t>.</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vAlign w:val="center"/>
          </w:tcPr>
          <w:p w:rsidR="00962DCF" w:rsidRPr="00900E1B" w:rsidRDefault="00962DCF" w:rsidP="0076616A">
            <w:r w:rsidRPr="00214942">
              <w:t>Limited real time sharing of MDA data</w:t>
            </w:r>
            <w:r w:rsidR="0065617C">
              <w:t>.</w:t>
            </w:r>
          </w:p>
        </w:tc>
      </w:tr>
      <w:tr w:rsidR="00962DCF" w:rsidRPr="00900E1B"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F333E6">
              <w:t>Coastal states in Zones E, F</w:t>
            </w:r>
            <w:r w:rsidR="0065617C">
              <w:t>, and</w:t>
            </w:r>
            <w:r w:rsidRPr="00F333E6">
              <w:t xml:space="preserve"> D access and share MDA data and utilise it effectively in operational planning (as tested in multilateral maritime security exercises)</w:t>
            </w:r>
            <w:r w:rsidR="0065617C">
              <w:t>.</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pPr>
              <w:rPr>
                <w:b/>
                <w:bCs/>
              </w:rPr>
            </w:pPr>
            <w:r w:rsidRPr="00900E1B">
              <w:rPr>
                <w:b/>
                <w:bCs/>
              </w:rPr>
              <w:t>Output 1.1</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65617C" w:rsidRDefault="00962DCF" w:rsidP="0076616A">
            <w:r w:rsidRPr="004630C0">
              <w:t>ICC and West African coastal states under CRESMAO have agreed tactical procedures to ensure communication and coordination of operational planning</w:t>
            </w:r>
            <w:r w:rsidR="0065617C">
              <w:t>.</w:t>
            </w:r>
          </w:p>
        </w:tc>
      </w:tr>
      <w:tr w:rsidR="00962DCF" w:rsidRPr="00900E1B" w:rsidTr="0076616A">
        <w:trPr>
          <w:trHeight w:val="70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r w:rsidRPr="00900E1B">
              <w:t>Output Indicator</w:t>
            </w:r>
            <w:r>
              <w:t xml:space="preserve"> 1.1</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900E1B" w:rsidRDefault="00962DCF" w:rsidP="0076616A">
            <w:r w:rsidRPr="004C32CC">
              <w:t>Regional (and national) capacity to provide training in maritime operational planning enhanced</w:t>
            </w:r>
            <w:r w:rsidR="008C74EF">
              <w:t>.</w:t>
            </w:r>
          </w:p>
        </w:tc>
      </w:tr>
      <w:tr w:rsidR="00962DCF"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900E1B" w:rsidRDefault="00962DCF" w:rsidP="0076616A">
            <w:proofErr w:type="gramStart"/>
            <w:r w:rsidRPr="004C32CC">
              <w:t>Operational course is conducted by Denmark and US NAVAF</w:t>
            </w:r>
            <w:proofErr w:type="gramEnd"/>
            <w:r w:rsidRPr="004C32CC">
              <w:t xml:space="preserve"> in cooperation with ICC. </w:t>
            </w:r>
          </w:p>
        </w:tc>
      </w:tr>
      <w:tr w:rsidR="00962DCF"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w:t>
            </w:r>
            <w:r>
              <w:t>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Maritime operations planning course conducted for Zone E, F, </w:t>
            </w:r>
            <w:r w:rsidR="008C74EF">
              <w:t xml:space="preserve">and </w:t>
            </w:r>
            <w:r w:rsidRPr="004C32CC">
              <w:t>D countries to support integration and mission planning.</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Maritime operations planning course conducted for Zone E, F, </w:t>
            </w:r>
            <w:r w:rsidR="008C74EF">
              <w:t xml:space="preserve">and </w:t>
            </w:r>
            <w:r w:rsidRPr="004C32CC">
              <w:t>D countries to support integration and mission planning.</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Maritime operations planning course supported for Zone E, F, </w:t>
            </w:r>
            <w:r w:rsidR="008C74EF">
              <w:t xml:space="preserve">and </w:t>
            </w:r>
            <w:r w:rsidRPr="004C32CC">
              <w:t>D countries to support integration and mission planning.</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8C74EF">
            <w:r w:rsidRPr="004C32CC">
              <w:t xml:space="preserve">ICC Zonal Maritime Operational Planning Courses </w:t>
            </w:r>
            <w:proofErr w:type="gramStart"/>
            <w:r w:rsidRPr="004C32CC">
              <w:t>are held</w:t>
            </w:r>
            <w:proofErr w:type="gramEnd"/>
            <w:r w:rsidRPr="004C32CC">
              <w:t xml:space="preserve"> with Zones E, F, </w:t>
            </w:r>
            <w:r w:rsidR="008C74EF">
              <w:t xml:space="preserve">and </w:t>
            </w:r>
            <w:r w:rsidRPr="004C32CC">
              <w:t>D to strengthen maritime domain awareness and response</w:t>
            </w:r>
            <w:r w:rsidR="008C74EF">
              <w:t xml:space="preserve">, </w:t>
            </w:r>
            <w:r w:rsidRPr="004C32CC">
              <w:t xml:space="preserve">supported by Denmark and US NAVAF. </w:t>
            </w:r>
          </w:p>
        </w:tc>
      </w:tr>
      <w:tr w:rsidR="00962DCF"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962DCF" w:rsidRPr="00900E1B" w:rsidRDefault="00962DCF" w:rsidP="0076616A">
            <w:r>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962DCF" w:rsidRPr="00900E1B" w:rsidRDefault="00962DCF" w:rsidP="008C74EF">
            <w:r w:rsidRPr="004C32CC">
              <w:t xml:space="preserve">ICC Zonal Maritime Operational Planning Courses </w:t>
            </w:r>
            <w:proofErr w:type="gramStart"/>
            <w:r w:rsidRPr="004C32CC">
              <w:t>are held</w:t>
            </w:r>
            <w:proofErr w:type="gramEnd"/>
            <w:r w:rsidRPr="004C32CC">
              <w:t xml:space="preserve"> with Zones E, F, </w:t>
            </w:r>
            <w:r w:rsidR="008C74EF">
              <w:t xml:space="preserve">and </w:t>
            </w:r>
            <w:r w:rsidRPr="004C32CC">
              <w:t>D to strengthen maritime domain awareness and response</w:t>
            </w:r>
            <w:r w:rsidR="008C74EF">
              <w:t>,</w:t>
            </w:r>
            <w:r w:rsidRPr="004C32CC">
              <w:t xml:space="preserve"> supported by Denmark and US NAVAF.</w:t>
            </w:r>
          </w:p>
        </w:tc>
      </w:tr>
      <w:tr w:rsidR="00962DCF" w:rsidRPr="00900E1B" w:rsidTr="0076616A">
        <w:trPr>
          <w:trHeight w:val="340"/>
        </w:trPr>
        <w:tc>
          <w:tcPr>
            <w:tcW w:w="1149" w:type="dxa"/>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r>
      <w:tr w:rsidR="00962DCF" w:rsidRPr="00900E1B"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962DCF" w:rsidRPr="00900E1B" w:rsidRDefault="00962DCF" w:rsidP="0076616A">
            <w:pPr>
              <w:rPr>
                <w:b/>
                <w:bCs/>
              </w:rPr>
            </w:pPr>
            <w:r w:rsidRPr="00900E1B">
              <w:rPr>
                <w:b/>
                <w:bCs/>
              </w:rPr>
              <w:t xml:space="preserve">Outcome </w:t>
            </w:r>
            <w:r>
              <w:rPr>
                <w:b/>
                <w:bCs/>
              </w:rPr>
              <w:t>2</w:t>
            </w:r>
          </w:p>
        </w:tc>
        <w:tc>
          <w:tcPr>
            <w:tcW w:w="0" w:type="auto"/>
            <w:gridSpan w:val="2"/>
            <w:tcBorders>
              <w:top w:val="single" w:sz="8" w:space="0" w:color="auto"/>
              <w:left w:val="nil"/>
              <w:bottom w:val="nil"/>
              <w:right w:val="single" w:sz="8" w:space="0" w:color="000000"/>
            </w:tcBorders>
            <w:shd w:val="clear" w:color="auto" w:fill="auto"/>
          </w:tcPr>
          <w:p w:rsidR="00962DCF" w:rsidRPr="00900E1B" w:rsidRDefault="00962DCF" w:rsidP="0076616A">
            <w:r w:rsidRPr="004C32CC">
              <w:t xml:space="preserve">Capacity of Ghanaian maritime </w:t>
            </w:r>
            <w:r w:rsidR="005052A7">
              <w:t>s</w:t>
            </w:r>
            <w:r w:rsidRPr="004C32CC">
              <w:t xml:space="preserve">pecial </w:t>
            </w:r>
            <w:r w:rsidR="005052A7">
              <w:t>f</w:t>
            </w:r>
            <w:r w:rsidRPr="004C32CC">
              <w:t xml:space="preserve">orces to be sustainable build up to squadron level and respond to piracy and armed robbery at sea enhanced in line with international standards and rule of law. </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962DCF" w:rsidRPr="00900E1B" w:rsidRDefault="00962DCF" w:rsidP="0076616A">
            <w:r w:rsidRPr="00900E1B">
              <w:t>Outcome indicator</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900E1B" w:rsidRDefault="00962DCF" w:rsidP="0076616A">
            <w:r w:rsidRPr="004C32CC">
              <w:t>Sustainable force generation, extent, and quality (response time, quality of boarding</w:t>
            </w:r>
            <w:r w:rsidR="008C74EF">
              <w:t>,</w:t>
            </w:r>
            <w:r w:rsidRPr="004C32CC">
              <w:t xml:space="preserve"> and evidence collection) of regional/national response to piracy, robbery at sea</w:t>
            </w:r>
            <w:r w:rsidR="008C74EF">
              <w:t>,</w:t>
            </w:r>
            <w:r w:rsidRPr="004C32CC">
              <w:t xml:space="preserve"> and other maritime security incidents increased</w:t>
            </w:r>
            <w:r w:rsidR="008C74EF">
              <w:t>.</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900E1B" w:rsidRDefault="00962DCF" w:rsidP="0076616A">
            <w:r w:rsidRPr="004C32CC">
              <w:t xml:space="preserve">Limited operational response and now sustainable force generation. </w:t>
            </w:r>
          </w:p>
        </w:tc>
      </w:tr>
      <w:tr w:rsidR="00962DCF" w:rsidRPr="00900E1B"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nil"/>
              <w:bottom w:val="single" w:sz="8" w:space="0" w:color="auto"/>
              <w:right w:val="single" w:sz="8" w:space="0" w:color="auto"/>
            </w:tcBorders>
            <w:shd w:val="clear" w:color="auto" w:fill="auto"/>
          </w:tcPr>
          <w:p w:rsidR="00962DCF" w:rsidRPr="00900E1B" w:rsidRDefault="00962DCF" w:rsidP="0076616A">
            <w:r w:rsidRPr="004C32CC">
              <w:t>Ghana capable of sustainable force generation and respond operationally using trained units in boarding operations</w:t>
            </w:r>
            <w:r w:rsidR="005052A7">
              <w:t>.</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pPr>
              <w:rPr>
                <w:b/>
                <w:bCs/>
              </w:rPr>
            </w:pPr>
            <w:r w:rsidRPr="00900E1B">
              <w:rPr>
                <w:b/>
                <w:bCs/>
              </w:rPr>
              <w:t xml:space="preserve">Output </w:t>
            </w:r>
            <w:r>
              <w:rPr>
                <w:b/>
                <w:bCs/>
              </w:rPr>
              <w:t>2</w:t>
            </w:r>
          </w:p>
        </w:tc>
        <w:tc>
          <w:tcPr>
            <w:tcW w:w="0" w:type="auto"/>
            <w:gridSpan w:val="2"/>
            <w:tcBorders>
              <w:top w:val="single" w:sz="8" w:space="0" w:color="auto"/>
              <w:left w:val="nil"/>
              <w:bottom w:val="single" w:sz="8" w:space="0" w:color="auto"/>
              <w:right w:val="single" w:sz="8" w:space="0" w:color="000000"/>
            </w:tcBorders>
            <w:shd w:val="clear" w:color="auto" w:fill="auto"/>
            <w:hideMark/>
          </w:tcPr>
          <w:p w:rsidR="00962DCF" w:rsidRPr="00900E1B" w:rsidRDefault="00962DCF" w:rsidP="0076616A">
            <w:r w:rsidRPr="004C32CC">
              <w:t>Ghanaian maritime special forces established sustainable squadron structure and trained in vessel boarding and related aspects (e.g., securing evidence</w:t>
            </w:r>
            <w:r w:rsidR="005052A7">
              <w:t xml:space="preserve"> and</w:t>
            </w:r>
            <w:r w:rsidRPr="004C32CC">
              <w:t xml:space="preserve"> human rights) as part of a rule of law-based response</w:t>
            </w:r>
            <w:r w:rsidR="005052A7">
              <w:t>.</w:t>
            </w:r>
          </w:p>
        </w:tc>
      </w:tr>
      <w:tr w:rsidR="00962DCF" w:rsidRPr="00900E1B"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r w:rsidRPr="00900E1B">
              <w:t>Output Indicator</w:t>
            </w:r>
            <w:r>
              <w:t xml:space="preserve"> 2</w:t>
            </w:r>
          </w:p>
        </w:tc>
        <w:tc>
          <w:tcPr>
            <w:tcW w:w="0" w:type="auto"/>
            <w:gridSpan w:val="2"/>
            <w:tcBorders>
              <w:top w:val="single" w:sz="8" w:space="0" w:color="auto"/>
              <w:left w:val="nil"/>
              <w:bottom w:val="single" w:sz="8" w:space="0" w:color="auto"/>
              <w:right w:val="single" w:sz="8" w:space="0" w:color="000000"/>
            </w:tcBorders>
            <w:shd w:val="clear" w:color="auto" w:fill="auto"/>
            <w:hideMark/>
          </w:tcPr>
          <w:p w:rsidR="00962DCF" w:rsidRPr="00900E1B" w:rsidRDefault="00962DCF" w:rsidP="0076616A">
            <w:r w:rsidRPr="004C32CC">
              <w:t>In the year 2026</w:t>
            </w:r>
            <w:r w:rsidR="005052A7">
              <w:t>,</w:t>
            </w:r>
            <w:r w:rsidRPr="004C32CC">
              <w:t xml:space="preserve"> the Ghana SBS will be at FOC (full operational capability), within the lines of effort in the context of the Ghana Navy operational environment</w:t>
            </w:r>
            <w:r w:rsidR="005052A7">
              <w:t>.</w:t>
            </w:r>
          </w:p>
        </w:tc>
      </w:tr>
      <w:tr w:rsidR="00962DCF"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4C32CC" w:rsidRDefault="00962DCF" w:rsidP="0076616A">
            <w:r w:rsidRPr="004C32CC">
              <w:t xml:space="preserve">Establishing a baseline within the four lines of effort (Counter Piracy, Counter Terrorism, Counter Insurgency and Counter Organized Crime) to focus resources for target year 1. </w:t>
            </w:r>
          </w:p>
          <w:p w:rsidR="00962DCF" w:rsidRPr="00900E1B" w:rsidRDefault="00962DCF" w:rsidP="0076616A">
            <w:r w:rsidRPr="004C32CC">
              <w:t>Establishing the framework for starting the basic operative course in 2022.</w:t>
            </w:r>
          </w:p>
        </w:tc>
      </w:tr>
      <w:tr w:rsidR="00962DCF"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962DCF" w:rsidRPr="004C32CC" w:rsidRDefault="00962DCF" w:rsidP="0076616A">
            <w:r w:rsidRPr="004C32CC">
              <w:t xml:space="preserve">Counter Piracy qualified to level 3, Counter Terrorism qualitied to level 3, </w:t>
            </w:r>
            <w:r w:rsidR="005052A7">
              <w:t xml:space="preserve">and </w:t>
            </w:r>
            <w:r w:rsidRPr="004C32CC">
              <w:t xml:space="preserve">Counter Insurgency qualified to level 3. </w:t>
            </w:r>
          </w:p>
          <w:p w:rsidR="00962DCF" w:rsidRPr="00900E1B" w:rsidRDefault="00962DCF" w:rsidP="0076616A">
            <w:r w:rsidRPr="004C32CC">
              <w:t>Basic Operative Course number one conducted.</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4C32CC" w:rsidRDefault="00962DCF" w:rsidP="0076616A">
            <w:r w:rsidRPr="004C32CC">
              <w:t xml:space="preserve">Counter Piracy qualified to level 2, Counter Terrorism qualitied to level 2, Counter Insurgency sustained at level 3, </w:t>
            </w:r>
            <w:r w:rsidR="005052A7">
              <w:t xml:space="preserve">and </w:t>
            </w:r>
            <w:r w:rsidRPr="004C32CC">
              <w:t xml:space="preserve">Counter Organized Crime qualified to level 3. </w:t>
            </w:r>
          </w:p>
          <w:p w:rsidR="00962DCF" w:rsidRPr="00900E1B" w:rsidRDefault="00962DCF" w:rsidP="0076616A">
            <w:r w:rsidRPr="004C32CC">
              <w:t>Basic Operative Course number two conducted.</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4C32CC" w:rsidRDefault="00962DCF" w:rsidP="0076616A">
            <w:r w:rsidRPr="004C32CC">
              <w:t xml:space="preserve">Counter Piracy qualified to level 1, Counter Terrorism qualitied to level 1, Counter Insurgency qualified to level 2, </w:t>
            </w:r>
            <w:r w:rsidR="005052A7">
              <w:t xml:space="preserve">and </w:t>
            </w:r>
            <w:r w:rsidRPr="004C32CC">
              <w:t xml:space="preserve">Counter Organized Crime sustained at level 3. </w:t>
            </w:r>
          </w:p>
          <w:p w:rsidR="00962DCF" w:rsidRPr="00900E1B" w:rsidRDefault="00962DCF" w:rsidP="0076616A">
            <w:r w:rsidRPr="004C32CC">
              <w:t>Basic Operative Course conducted number three conducted.</w:t>
            </w:r>
          </w:p>
        </w:tc>
      </w:tr>
      <w:tr w:rsidR="00962DCF"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Target </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962DCF" w:rsidRPr="00900E1B" w:rsidRDefault="00962DCF" w:rsidP="0076616A">
            <w:r w:rsidRPr="00900E1B">
              <w:t>2025</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962DCF" w:rsidRPr="004C32CC" w:rsidRDefault="00962DCF" w:rsidP="0076616A">
            <w:r w:rsidRPr="004C32CC">
              <w:t xml:space="preserve">Counter Piracy sustained at level 1, Counter Terrorism sustained at level 1, Counter Insurgency qualified to level 1, </w:t>
            </w:r>
            <w:r w:rsidR="005052A7">
              <w:t xml:space="preserve">and </w:t>
            </w:r>
            <w:r w:rsidRPr="004C32CC">
              <w:t xml:space="preserve">Counter Organized Crime qualified to level 2. </w:t>
            </w:r>
          </w:p>
          <w:p w:rsidR="00962DCF" w:rsidRPr="00900E1B" w:rsidRDefault="00962DCF" w:rsidP="0076616A">
            <w:r w:rsidRPr="004C32CC">
              <w:t>Basic Operative Course number four conducted.</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nil"/>
              <w:left w:val="nil"/>
              <w:bottom w:val="single" w:sz="8" w:space="0" w:color="auto"/>
              <w:right w:val="single" w:sz="8"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nil"/>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nil"/>
              <w:left w:val="nil"/>
              <w:bottom w:val="single" w:sz="8" w:space="0" w:color="auto"/>
              <w:right w:val="single" w:sz="8" w:space="0" w:color="auto"/>
            </w:tcBorders>
            <w:shd w:val="clear" w:color="auto" w:fill="auto"/>
          </w:tcPr>
          <w:p w:rsidR="00962DCF" w:rsidRPr="004C32CC" w:rsidRDefault="00962DCF" w:rsidP="0076616A">
            <w:r w:rsidRPr="004C32CC">
              <w:t xml:space="preserve">Counter Piracy sustained at level 1, Counter Terrorism sustained at level 1, Counter Insurgency sustained at level 1, </w:t>
            </w:r>
            <w:r w:rsidR="005052A7">
              <w:t xml:space="preserve">and </w:t>
            </w:r>
            <w:r w:rsidRPr="004C32CC">
              <w:t xml:space="preserve">Counter Organized Crime qualified to level 1. </w:t>
            </w:r>
          </w:p>
          <w:p w:rsidR="00962DCF" w:rsidRPr="00900E1B" w:rsidRDefault="00962DCF" w:rsidP="0076616A">
            <w:r w:rsidRPr="004C32CC">
              <w:t>Basic Operative Course number five conducted.</w:t>
            </w:r>
          </w:p>
        </w:tc>
      </w:tr>
      <w:tr w:rsidR="00962DCF" w:rsidRPr="00900E1B" w:rsidTr="0076616A">
        <w:trPr>
          <w:trHeight w:val="340"/>
        </w:trPr>
        <w:tc>
          <w:tcPr>
            <w:tcW w:w="1149" w:type="dxa"/>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c>
          <w:tcPr>
            <w:tcW w:w="0" w:type="auto"/>
            <w:tcBorders>
              <w:top w:val="nil"/>
              <w:left w:val="nil"/>
              <w:bottom w:val="nil"/>
              <w:right w:val="nil"/>
            </w:tcBorders>
            <w:shd w:val="clear" w:color="auto" w:fill="auto"/>
            <w:vAlign w:val="bottom"/>
            <w:hideMark/>
          </w:tcPr>
          <w:p w:rsidR="00962DCF" w:rsidRPr="00900E1B" w:rsidRDefault="00962DCF" w:rsidP="0076616A"/>
        </w:tc>
      </w:tr>
      <w:tr w:rsidR="00962DCF" w:rsidRPr="00900E1B"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962DCF" w:rsidRPr="00900E1B" w:rsidRDefault="00962DCF" w:rsidP="0076616A">
            <w:pPr>
              <w:rPr>
                <w:b/>
                <w:bCs/>
              </w:rPr>
            </w:pPr>
            <w:r w:rsidRPr="00900E1B">
              <w:rPr>
                <w:b/>
                <w:bCs/>
              </w:rPr>
              <w:t xml:space="preserve">Outcome </w:t>
            </w:r>
            <w:r>
              <w:rPr>
                <w:b/>
                <w:bCs/>
              </w:rPr>
              <w:t>3</w:t>
            </w:r>
          </w:p>
        </w:tc>
        <w:tc>
          <w:tcPr>
            <w:tcW w:w="0" w:type="auto"/>
            <w:gridSpan w:val="2"/>
            <w:tcBorders>
              <w:top w:val="single" w:sz="8" w:space="0" w:color="auto"/>
              <w:left w:val="nil"/>
              <w:bottom w:val="nil"/>
              <w:right w:val="single" w:sz="8" w:space="0" w:color="000000"/>
            </w:tcBorders>
            <w:shd w:val="clear" w:color="auto" w:fill="auto"/>
            <w:vAlign w:val="center"/>
          </w:tcPr>
          <w:p w:rsidR="00962DCF" w:rsidRPr="00900E1B" w:rsidRDefault="00962DCF" w:rsidP="0076616A">
            <w:r w:rsidRPr="004C32CC">
              <w:t xml:space="preserve">Navy personnel from Zone E (Togo, Benin, </w:t>
            </w:r>
            <w:r w:rsidR="000E2537">
              <w:t xml:space="preserve">and </w:t>
            </w:r>
            <w:r w:rsidRPr="004C32CC">
              <w:t>Nigeria), Zone D (Camero</w:t>
            </w:r>
            <w:r w:rsidR="00C03303">
              <w:t>o</w:t>
            </w:r>
            <w:r w:rsidRPr="004C32CC">
              <w:t>n)</w:t>
            </w:r>
            <w:r w:rsidR="000E2537">
              <w:t>,</w:t>
            </w:r>
            <w:r w:rsidRPr="004C32CC">
              <w:t xml:space="preserve"> and Zone F (Côte d’Ivoire</w:t>
            </w:r>
            <w:r w:rsidR="000E2537">
              <w:t xml:space="preserve"> and</w:t>
            </w:r>
            <w:r w:rsidRPr="004C32CC">
              <w:t xml:space="preserve"> Ghana) can detect, interdict, arrest, seize</w:t>
            </w:r>
            <w:r w:rsidR="000E2537">
              <w:t>,</w:t>
            </w:r>
            <w:r w:rsidRPr="004C32CC">
              <w:t xml:space="preserve"> and hand over in the maritime domain, enhancing coordination between UNODC, INTERPOL</w:t>
            </w:r>
            <w:r w:rsidR="000E2537">
              <w:t>,</w:t>
            </w:r>
            <w:r w:rsidRPr="004C32CC">
              <w:t xml:space="preserve"> and Defence Command Denmark</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962DCF" w:rsidRPr="00900E1B" w:rsidRDefault="00962DCF" w:rsidP="0076616A">
            <w:r w:rsidRPr="00900E1B">
              <w:t>Outcome indicator</w:t>
            </w:r>
            <w:r>
              <w:t xml:space="preserve"> 3.1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4C32CC">
              <w:t>Number of individuals suspected of piracy and other maritime crimes brought to court with an effective handover</w:t>
            </w:r>
            <w:r w:rsidR="000E2537">
              <w:t>.</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vAlign w:val="center"/>
          </w:tcPr>
          <w:p w:rsidR="00962DCF" w:rsidRPr="00900E1B" w:rsidRDefault="00962DCF" w:rsidP="0076616A">
            <w:r w:rsidRPr="004C32CC">
              <w:t>19 convictions for piracy following successful handover, of which 10 in Nigeria and 9 in Togo.</w:t>
            </w:r>
          </w:p>
        </w:tc>
      </w:tr>
      <w:tr w:rsidR="00962DCF" w:rsidRPr="00900E1B"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EA4811" w:rsidP="00C03303">
            <w:r>
              <w:t>Year on year increase in handover of suspects for piracy and maritime crimes to the justice systems.</w:t>
            </w:r>
            <w:bookmarkStart w:id="19" w:name="_GoBack"/>
            <w:bookmarkEnd w:id="19"/>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962DCF" w:rsidRPr="00746822" w:rsidRDefault="00962DCF" w:rsidP="0076616A">
            <w:pPr>
              <w:rPr>
                <w:b/>
                <w:bCs/>
              </w:rPr>
            </w:pPr>
            <w:r w:rsidRPr="00746822">
              <w:rPr>
                <w:b/>
                <w:bCs/>
              </w:rPr>
              <w:t xml:space="preserve">Output </w:t>
            </w:r>
            <w:r>
              <w:rPr>
                <w:b/>
                <w:bCs/>
              </w:rPr>
              <w:t>3</w:t>
            </w:r>
            <w:r w:rsidRPr="00746822">
              <w:rPr>
                <w:b/>
                <w:bCs/>
              </w:rPr>
              <w:t>.1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4C32CC">
              <w:rPr>
                <w:bCs/>
              </w:rPr>
              <w:t>Training Scoping Assessment (TSA) of the navies of Benin, Cameroun, C</w:t>
            </w:r>
            <w:r>
              <w:rPr>
                <w:bCs/>
              </w:rPr>
              <w:t>ôte</w:t>
            </w:r>
            <w:r w:rsidRPr="004C32CC">
              <w:rPr>
                <w:bCs/>
              </w:rPr>
              <w:t xml:space="preserve"> d’Ivoire, Ghana, Nigeria, and Togo </w:t>
            </w:r>
            <w:r>
              <w:rPr>
                <w:bCs/>
              </w:rPr>
              <w:t xml:space="preserve">and related </w:t>
            </w:r>
            <w:r w:rsidRPr="004C32CC">
              <w:rPr>
                <w:bCs/>
              </w:rPr>
              <w:t>VBSS training plan.</w:t>
            </w:r>
          </w:p>
        </w:tc>
      </w:tr>
      <w:tr w:rsidR="00962DCF" w:rsidRPr="00900E1B"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r w:rsidRPr="00900E1B">
              <w:t>Output Indicator</w:t>
            </w:r>
            <w:r>
              <w:t xml:space="preserve"> 3.1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962DCF" w:rsidRPr="00900E1B" w:rsidRDefault="00962DCF" w:rsidP="0076616A">
            <w:r w:rsidRPr="004C32CC">
              <w:t xml:space="preserve">VBBS Training Scoping Assessment report </w:t>
            </w:r>
            <w:r>
              <w:t xml:space="preserve">and VBSS training plan documents </w:t>
            </w:r>
            <w:r w:rsidRPr="004C32CC">
              <w:t xml:space="preserve">covering Benin, Cameroun, Côte d'Ivoire, Ghana, Nigeria, </w:t>
            </w:r>
            <w:r w:rsidR="000E2537">
              <w:t xml:space="preserve">and </w:t>
            </w:r>
            <w:r w:rsidRPr="004C32CC">
              <w:t>Togo</w:t>
            </w:r>
            <w:r w:rsidR="000E2537">
              <w:t>.</w:t>
            </w:r>
          </w:p>
        </w:tc>
      </w:tr>
      <w:tr w:rsidR="00962DCF"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vAlign w:val="center"/>
          </w:tcPr>
          <w:p w:rsidR="00962DCF" w:rsidRPr="00900E1B" w:rsidRDefault="00962DCF" w:rsidP="0076616A">
            <w:r w:rsidRPr="004C32CC">
              <w:t>No needs assessment</w:t>
            </w:r>
            <w:r w:rsidR="000E2537">
              <w:t>.</w:t>
            </w:r>
          </w:p>
        </w:tc>
      </w:tr>
      <w:tr w:rsidR="00962DCF"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tcPr>
          <w:p w:rsidR="00962DCF" w:rsidRPr="00900E1B" w:rsidRDefault="00962DCF" w:rsidP="0076616A">
            <w:r w:rsidRPr="007B16F9">
              <w:t>Needs assessment shared</w:t>
            </w:r>
            <w:r>
              <w:t xml:space="preserve"> with DCD and Danish Embassy in Accra</w:t>
            </w:r>
            <w:r w:rsidR="000E2537">
              <w:t>.</w:t>
            </w:r>
          </w:p>
        </w:tc>
      </w:tr>
      <w:tr w:rsidR="00962DCF" w:rsidRPr="00900E1B" w:rsidTr="004630C0">
        <w:trPr>
          <w:trHeight w:val="760"/>
        </w:trPr>
        <w:tc>
          <w:tcPr>
            <w:tcW w:w="1832" w:type="dxa"/>
            <w:gridSpan w:val="2"/>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2B5DA1" w:rsidRDefault="00962DCF" w:rsidP="0076616A">
            <w:pPr>
              <w:rPr>
                <w:b/>
                <w:bCs/>
              </w:rPr>
            </w:pPr>
            <w:r>
              <w:rPr>
                <w:b/>
                <w:bCs/>
              </w:rPr>
              <w:t>Output 3.2</w:t>
            </w:r>
          </w:p>
        </w:tc>
        <w:tc>
          <w:tcPr>
            <w:tcW w:w="0" w:type="auto"/>
            <w:gridSpan w:val="2"/>
            <w:tcBorders>
              <w:top w:val="single" w:sz="4" w:space="0" w:color="auto"/>
              <w:left w:val="single" w:sz="4" w:space="0" w:color="auto"/>
              <w:bottom w:val="single" w:sz="4" w:space="0" w:color="auto"/>
              <w:right w:val="single" w:sz="8" w:space="0" w:color="000000"/>
            </w:tcBorders>
            <w:shd w:val="clear" w:color="auto" w:fill="auto"/>
            <w:hideMark/>
          </w:tcPr>
          <w:p w:rsidR="00962DCF" w:rsidRPr="00900E1B" w:rsidRDefault="00962DCF" w:rsidP="0076616A">
            <w:r w:rsidRPr="004C32CC">
              <w:t xml:space="preserve">Cadre of </w:t>
            </w:r>
            <w:r w:rsidR="000E2537">
              <w:t>N</w:t>
            </w:r>
            <w:r w:rsidRPr="004C32CC">
              <w:t xml:space="preserve">avy personnel from Benin, Cameroun, Côte d’Ivoire, Ghana, Nigeria, and Togo trained in VBSS through 20 military VBSS training for </w:t>
            </w:r>
            <w:r>
              <w:t>384</w:t>
            </w:r>
            <w:r w:rsidRPr="004C32CC">
              <w:t xml:space="preserve"> participants</w:t>
            </w:r>
            <w:r w:rsidR="0053307D">
              <w:t>,</w:t>
            </w:r>
            <w:r w:rsidRPr="004C32CC">
              <w:t xml:space="preserve"> of which 16 participants (4 %) achieve Certified National Instructor level</w:t>
            </w:r>
            <w:r w:rsidR="000E2537">
              <w:t>.</w:t>
            </w:r>
          </w:p>
        </w:tc>
      </w:tr>
      <w:tr w:rsidR="00962DCF" w:rsidRPr="00900E1B" w:rsidTr="004630C0">
        <w:trPr>
          <w:trHeight w:val="760"/>
        </w:trPr>
        <w:tc>
          <w:tcPr>
            <w:tcW w:w="1832" w:type="dxa"/>
            <w:gridSpan w:val="2"/>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Output Indicator</w:t>
            </w:r>
            <w:r>
              <w:t xml:space="preserve"> 3.2</w:t>
            </w:r>
          </w:p>
        </w:tc>
        <w:tc>
          <w:tcPr>
            <w:tcW w:w="0" w:type="auto"/>
            <w:gridSpan w:val="2"/>
            <w:tcBorders>
              <w:top w:val="single" w:sz="4" w:space="0" w:color="auto"/>
              <w:left w:val="single" w:sz="4" w:space="0" w:color="auto"/>
              <w:bottom w:val="single" w:sz="4" w:space="0" w:color="auto"/>
              <w:right w:val="single" w:sz="8" w:space="0" w:color="000000"/>
            </w:tcBorders>
            <w:shd w:val="clear" w:color="auto" w:fill="auto"/>
          </w:tcPr>
          <w:p w:rsidR="00962DCF" w:rsidRPr="00900E1B" w:rsidRDefault="00962DCF" w:rsidP="0076616A">
            <w:r w:rsidRPr="004C32CC">
              <w:t>400 personnel from navies of Benin, Cameroun, Côte d’Ivoire, Ghana, Nigeria, and Togo trained, with 16 trainees reaching Certified National Instructor level</w:t>
            </w:r>
            <w:r w:rsidR="000E2537">
              <w:t>.</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2021</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0 personnel from </w:t>
            </w:r>
            <w:r w:rsidR="000E2537">
              <w:t>N</w:t>
            </w:r>
            <w:r w:rsidRPr="004C32CC">
              <w:t>avy trained in VBSS</w:t>
            </w:r>
            <w:r w:rsidR="000E2537">
              <w:t>.</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2022</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48 personnel from </w:t>
            </w:r>
            <w:r w:rsidR="000E2537">
              <w:t>N</w:t>
            </w:r>
            <w:r w:rsidRPr="004C32CC">
              <w:t>avy of Ghana trained</w:t>
            </w:r>
            <w:r w:rsidR="000E2537">
              <w:t>.</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2F525C" w:rsidRDefault="00962DCF" w:rsidP="0076616A">
            <w:r w:rsidRPr="002F525C">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2F525C" w:rsidRDefault="00962DCF" w:rsidP="0076616A">
            <w:r w:rsidRPr="002F525C">
              <w:t xml:space="preserve">168 personnel from </w:t>
            </w:r>
            <w:r w:rsidR="000E2537">
              <w:t>N</w:t>
            </w:r>
            <w:r w:rsidRPr="002F525C">
              <w:t>avies of Benin, Cameroun, Côte d’Ivoire, Ghana, Nigeria, and Togo trained, with 8 reaching instructor level (Certified National Instructor)</w:t>
            </w:r>
            <w:r w:rsidR="000E2537">
              <w:t>.</w:t>
            </w:r>
          </w:p>
        </w:tc>
      </w:tr>
      <w:tr w:rsidR="00962DCF"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962DCF" w:rsidRPr="002F525C" w:rsidRDefault="00962DCF" w:rsidP="0076616A">
            <w:r w:rsidRPr="002F525C">
              <w:t>2024</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962DCF" w:rsidRPr="002F525C" w:rsidRDefault="00962DCF" w:rsidP="0076616A">
            <w:r w:rsidRPr="002F525C">
              <w:t xml:space="preserve">168 personnel from </w:t>
            </w:r>
            <w:r w:rsidR="000E2537">
              <w:t>N</w:t>
            </w:r>
            <w:r w:rsidRPr="002F525C">
              <w:t>avies of Benin, Cameroun, Côte d’Ivoire, Ghana, Nigeria, and Togo trained, with 8 reaching instructor level (Certified National Instructor)</w:t>
            </w:r>
            <w:r w:rsidR="000E2537">
              <w:t>.</w:t>
            </w:r>
          </w:p>
        </w:tc>
      </w:tr>
      <w:tr w:rsidR="00962DCF" w:rsidRPr="00900E1B" w:rsidTr="0076616A">
        <w:trPr>
          <w:trHeight w:val="340"/>
        </w:trPr>
        <w:tc>
          <w:tcPr>
            <w:tcW w:w="1149" w:type="dxa"/>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r>
      <w:tr w:rsidR="00962DCF" w:rsidRPr="00900E1B"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962DCF" w:rsidRPr="00900E1B" w:rsidRDefault="00962DCF" w:rsidP="0076616A">
            <w:pPr>
              <w:rPr>
                <w:b/>
                <w:bCs/>
              </w:rPr>
            </w:pPr>
            <w:r w:rsidRPr="00900E1B">
              <w:rPr>
                <w:b/>
                <w:bCs/>
              </w:rPr>
              <w:t xml:space="preserve">Outcome </w:t>
            </w:r>
            <w:r>
              <w:rPr>
                <w:b/>
                <w:bCs/>
              </w:rPr>
              <w:t>4</w:t>
            </w:r>
          </w:p>
        </w:tc>
        <w:tc>
          <w:tcPr>
            <w:tcW w:w="0" w:type="auto"/>
            <w:gridSpan w:val="2"/>
            <w:tcBorders>
              <w:top w:val="single" w:sz="8" w:space="0" w:color="auto"/>
              <w:left w:val="nil"/>
              <w:bottom w:val="nil"/>
              <w:right w:val="single" w:sz="8" w:space="0" w:color="000000"/>
            </w:tcBorders>
            <w:shd w:val="clear" w:color="auto" w:fill="auto"/>
          </w:tcPr>
          <w:p w:rsidR="00962DCF" w:rsidRPr="00900E1B" w:rsidRDefault="00962DCF" w:rsidP="0076616A">
            <w:r w:rsidRPr="004C32CC">
              <w:t>Enhanced communication and cooperation among maritime stakeholders</w:t>
            </w:r>
            <w:r w:rsidR="000E2537">
              <w:t>.</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962DCF" w:rsidRPr="00900E1B" w:rsidRDefault="00962DCF" w:rsidP="0076616A">
            <w:r w:rsidRPr="00900E1B">
              <w:t>Outcome indicator</w:t>
            </w:r>
            <w:r>
              <w:t xml:space="preserve"> 4.1</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900E1B" w:rsidRDefault="00962DCF" w:rsidP="0076616A">
            <w:r w:rsidRPr="004C32CC">
              <w:t>Increase in formal, informal, and/or institutional communication within and between national, zonal, and regional authorities, as well as with and between other stakeholders such as the maritime industry and relevant civil society actors.</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900E1B" w:rsidRDefault="00962DCF" w:rsidP="0076616A">
            <w:r w:rsidRPr="004C32CC">
              <w:t>Uncertainty on the role played by various agencies and actors. Existing but unclear lines communication and information exchange between various actors – both general and incident-related.</w:t>
            </w:r>
          </w:p>
        </w:tc>
      </w:tr>
      <w:tr w:rsidR="00962DCF" w:rsidRPr="00900E1B"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nil"/>
              <w:bottom w:val="single" w:sz="8" w:space="0" w:color="auto"/>
              <w:right w:val="single" w:sz="8" w:space="0" w:color="auto"/>
            </w:tcBorders>
            <w:shd w:val="clear" w:color="auto" w:fill="auto"/>
          </w:tcPr>
          <w:p w:rsidR="00962DCF" w:rsidRPr="00900E1B" w:rsidRDefault="00962DCF" w:rsidP="0076616A">
            <w:r w:rsidRPr="004C32CC">
              <w:t>Frequent contact and dialogue between stakeholders outside formal seminar/workshop structures</w:t>
            </w:r>
            <w:r w:rsidR="00AD7C0E">
              <w:t>.</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962DCF" w:rsidRPr="00900E1B" w:rsidRDefault="00962DCF" w:rsidP="0076616A">
            <w:pPr>
              <w:rPr>
                <w:b/>
                <w:bCs/>
              </w:rPr>
            </w:pPr>
            <w:r>
              <w:rPr>
                <w:b/>
                <w:bCs/>
              </w:rPr>
              <w:t>Output 4.1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643702" w:rsidRDefault="00962DCF" w:rsidP="0076616A">
            <w:pPr>
              <w:rPr>
                <w:rFonts w:cs="Calibri"/>
                <w:color w:val="000000"/>
              </w:rPr>
            </w:pPr>
            <w:r w:rsidRPr="00B51419">
              <w:rPr>
                <w:rFonts w:cs="Calibri"/>
                <w:color w:val="000000"/>
              </w:rPr>
              <w:t>Key maritime actors (from the industry as well as national and Yaoundé</w:t>
            </w:r>
            <w:r>
              <w:rPr>
                <w:rFonts w:cs="Calibri"/>
                <w:color w:val="000000"/>
              </w:rPr>
              <w:t xml:space="preserve"> </w:t>
            </w:r>
            <w:r w:rsidRPr="00B51419">
              <w:rPr>
                <w:rFonts w:cs="Calibri"/>
                <w:color w:val="000000"/>
              </w:rPr>
              <w:t>Architecture authorities) ha</w:t>
            </w:r>
            <w:r>
              <w:rPr>
                <w:rFonts w:cs="Calibri"/>
                <w:color w:val="000000"/>
              </w:rPr>
              <w:t>ve</w:t>
            </w:r>
            <w:r w:rsidRPr="00B51419">
              <w:rPr>
                <w:rFonts w:cs="Calibri"/>
                <w:color w:val="000000"/>
              </w:rPr>
              <w:t xml:space="preserve"> met each other on multiple occasions. Here</w:t>
            </w:r>
            <w:r w:rsidR="000E2537">
              <w:rPr>
                <w:rFonts w:cs="Calibri"/>
                <w:color w:val="000000"/>
              </w:rPr>
              <w:t>,</w:t>
            </w:r>
            <w:r w:rsidRPr="00B51419">
              <w:rPr>
                <w:rFonts w:cs="Calibri"/>
                <w:color w:val="000000"/>
              </w:rPr>
              <w:t xml:space="preserve"> they have socialised, shared viewpoints, and identified problems in cooperation on maritime security and taken steps to address these. RDDC utilised temporary posting to Ghana to facilitate, implement, and evaluate these activities.</w:t>
            </w:r>
          </w:p>
        </w:tc>
      </w:tr>
      <w:tr w:rsidR="00962DCF" w:rsidRPr="00900E1B"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r w:rsidRPr="00900E1B">
              <w:t>Output Indicator</w:t>
            </w:r>
            <w:r>
              <w:t xml:space="preserve"> 4.1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D01D32">
              <w:t>Key maritime actors participate at several meetings and keep in touch between and after meetings, especially when relevant in incident response.</w:t>
            </w:r>
          </w:p>
        </w:tc>
      </w:tr>
      <w:tr w:rsidR="00962DCF"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4C32CC" w:rsidRDefault="00962DCF" w:rsidP="0076616A">
            <w:r w:rsidRPr="004C32CC">
              <w:t>2 small Maritime Dialogue Platform (MDP)-seminars organised in Accra</w:t>
            </w:r>
            <w:r w:rsidR="000E2537">
              <w:t>.</w:t>
            </w:r>
          </w:p>
          <w:p w:rsidR="00962DCF" w:rsidRDefault="00962DCF" w:rsidP="00962DCF">
            <w:pPr>
              <w:pStyle w:val="ListParagraph"/>
              <w:numPr>
                <w:ilvl w:val="0"/>
                <w:numId w:val="38"/>
              </w:numPr>
            </w:pPr>
            <w:r w:rsidRPr="004C32CC">
              <w:t>Identifying issues in industry-authority relations.</w:t>
            </w:r>
          </w:p>
          <w:p w:rsidR="00962DCF" w:rsidRPr="00900E1B" w:rsidRDefault="00962DCF" w:rsidP="00962DCF">
            <w:pPr>
              <w:pStyle w:val="ListParagraph"/>
              <w:numPr>
                <w:ilvl w:val="0"/>
                <w:numId w:val="38"/>
              </w:numPr>
            </w:pPr>
            <w:r w:rsidRPr="004C32CC">
              <w:t>Mapping out incident information flow from vessel to local first responder</w:t>
            </w:r>
            <w:r w:rsidR="00410E80">
              <w:t>.</w:t>
            </w:r>
          </w:p>
        </w:tc>
      </w:tr>
      <w:tr w:rsidR="00962DCF"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962DCF" w:rsidRPr="00900E1B" w:rsidRDefault="00962DCF" w:rsidP="00962DCF">
            <w:pPr>
              <w:pStyle w:val="ListParagraph"/>
            </w:pPr>
            <w:r w:rsidRPr="002F0EE8">
              <w:t xml:space="preserve">1-2 </w:t>
            </w:r>
            <w:r w:rsidR="00410E80">
              <w:t>s</w:t>
            </w:r>
            <w:r w:rsidRPr="002F0EE8">
              <w:t>eminar/conference with relevant partner in the region, inviting stakeholders (industry and regional/zonal/national authorities). Focus on wide reach-out to identify and include relevant stakeholders</w:t>
            </w:r>
            <w:r w:rsidRPr="004C32CC">
              <w:t>.</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Default="00962DCF" w:rsidP="00962DCF">
            <w:pPr>
              <w:pStyle w:val="ListParagraph"/>
              <w:numPr>
                <w:ilvl w:val="0"/>
                <w:numId w:val="40"/>
              </w:numPr>
            </w:pPr>
            <w:r w:rsidRPr="004C32CC">
              <w:t xml:space="preserve">1-2 </w:t>
            </w:r>
            <w:r w:rsidR="00410E80">
              <w:t>s</w:t>
            </w:r>
            <w:r w:rsidRPr="004C32CC">
              <w:t>eminar/conference with relevant partner in the region, inviting stakeholders (industry and regional/zonal/national authorities). Adaptable focus based on experience.</w:t>
            </w:r>
          </w:p>
          <w:p w:rsidR="00962DCF" w:rsidRPr="00900E1B" w:rsidRDefault="00962DCF" w:rsidP="00962DCF">
            <w:pPr>
              <w:pStyle w:val="ListParagraph"/>
              <w:numPr>
                <w:ilvl w:val="0"/>
                <w:numId w:val="40"/>
              </w:numPr>
            </w:pPr>
            <w:r w:rsidRPr="004C32CC">
              <w:t>Temporary posting from 6-12 months to facilitate projects, build networks, and conduct relevant research. Posting can partly take place in previous or following year.</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962DCF">
            <w:pPr>
              <w:pStyle w:val="ListParagraph"/>
            </w:pPr>
            <w:r w:rsidRPr="004C32CC">
              <w:t xml:space="preserve">1-2 </w:t>
            </w:r>
            <w:r w:rsidR="00410E80">
              <w:t>s</w:t>
            </w:r>
            <w:r w:rsidRPr="004C32CC">
              <w:t>eminar/conference with relevant partner in the region, inviting stakeholders (industry and regional/zonal/national authorities).</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Target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Default="00962DCF" w:rsidP="00962DCF">
            <w:pPr>
              <w:pStyle w:val="ListParagraph"/>
              <w:numPr>
                <w:ilvl w:val="0"/>
                <w:numId w:val="40"/>
              </w:numPr>
            </w:pPr>
            <w:r w:rsidRPr="004C32CC">
              <w:t xml:space="preserve">1-2 </w:t>
            </w:r>
            <w:proofErr w:type="spellStart"/>
            <w:r w:rsidRPr="004C32CC">
              <w:t>S</w:t>
            </w:r>
            <w:r w:rsidR="00410E80">
              <w:t>s</w:t>
            </w:r>
            <w:r w:rsidRPr="004C32CC">
              <w:t>minar</w:t>
            </w:r>
            <w:proofErr w:type="spellEnd"/>
            <w:r w:rsidRPr="004C32CC">
              <w:t>/conference with relevant partner in the region, inviting stakeholders (industry and regional/zonal/national authorities)</w:t>
            </w:r>
            <w:r>
              <w:t>.</w:t>
            </w:r>
          </w:p>
          <w:p w:rsidR="00962DCF" w:rsidRPr="00900E1B" w:rsidRDefault="00962DCF" w:rsidP="00962DCF">
            <w:pPr>
              <w:pStyle w:val="ListParagraph"/>
              <w:numPr>
                <w:ilvl w:val="0"/>
                <w:numId w:val="40"/>
              </w:numPr>
            </w:pPr>
            <w:r w:rsidRPr="004C32CC">
              <w:t>Temporary posting from 6-12 months to facilitate projects, build networks, and conduct relevant research. Posting can partly take place in previous or following year.</w:t>
            </w:r>
          </w:p>
        </w:tc>
      </w:tr>
      <w:tr w:rsidR="00962DCF"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962DCF" w:rsidRPr="00900E1B" w:rsidRDefault="00962DCF" w:rsidP="00962DCF">
            <w:pPr>
              <w:pStyle w:val="ListParagraph"/>
            </w:pPr>
            <w:r w:rsidRPr="004C32CC">
              <w:t xml:space="preserve">1-2 </w:t>
            </w:r>
            <w:r w:rsidR="00410E80">
              <w:t>s</w:t>
            </w:r>
            <w:r w:rsidRPr="004C32CC">
              <w:t>eminar/conference with relevant partner in the region, inviting stakeholders (industry and regional/zonal/national authorities)</w:t>
            </w:r>
            <w:r w:rsidR="00410E80">
              <w:t>.</w:t>
            </w:r>
          </w:p>
        </w:tc>
      </w:tr>
      <w:tr w:rsidR="00962DCF" w:rsidRPr="00900E1B" w:rsidTr="0076616A">
        <w:trPr>
          <w:trHeight w:val="340"/>
        </w:trPr>
        <w:tc>
          <w:tcPr>
            <w:tcW w:w="1149" w:type="dxa"/>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c>
          <w:tcPr>
            <w:tcW w:w="0" w:type="auto"/>
            <w:tcBorders>
              <w:top w:val="nil"/>
              <w:left w:val="nil"/>
              <w:bottom w:val="nil"/>
              <w:right w:val="nil"/>
            </w:tcBorders>
            <w:shd w:val="clear" w:color="auto" w:fill="auto"/>
            <w:vAlign w:val="bottom"/>
          </w:tcPr>
          <w:p w:rsidR="00962DCF" w:rsidRPr="00900E1B" w:rsidRDefault="00962DCF" w:rsidP="0076616A"/>
        </w:tc>
      </w:tr>
      <w:tr w:rsidR="00962DCF" w:rsidRPr="00900E1B" w:rsidTr="0076616A">
        <w:trPr>
          <w:trHeight w:val="620"/>
        </w:trPr>
        <w:tc>
          <w:tcPr>
            <w:tcW w:w="1832" w:type="dxa"/>
            <w:gridSpan w:val="2"/>
            <w:tcBorders>
              <w:top w:val="single" w:sz="8" w:space="0" w:color="auto"/>
              <w:left w:val="single" w:sz="8" w:space="0" w:color="auto"/>
              <w:bottom w:val="nil"/>
              <w:right w:val="single" w:sz="8" w:space="0" w:color="000000"/>
            </w:tcBorders>
            <w:shd w:val="clear" w:color="auto" w:fill="DBE5F1" w:themeFill="accent1" w:themeFillTint="33"/>
            <w:vAlign w:val="center"/>
            <w:hideMark/>
          </w:tcPr>
          <w:p w:rsidR="00962DCF" w:rsidRPr="00900E1B" w:rsidRDefault="00962DCF" w:rsidP="0076616A">
            <w:pPr>
              <w:rPr>
                <w:b/>
                <w:bCs/>
              </w:rPr>
            </w:pPr>
            <w:r w:rsidRPr="00900E1B">
              <w:rPr>
                <w:b/>
                <w:bCs/>
              </w:rPr>
              <w:t xml:space="preserve">Outcome </w:t>
            </w:r>
            <w:r>
              <w:rPr>
                <w:b/>
                <w:bCs/>
              </w:rPr>
              <w:t>5</w:t>
            </w:r>
          </w:p>
        </w:tc>
        <w:tc>
          <w:tcPr>
            <w:tcW w:w="0" w:type="auto"/>
            <w:gridSpan w:val="2"/>
            <w:tcBorders>
              <w:top w:val="single" w:sz="8" w:space="0" w:color="auto"/>
              <w:left w:val="nil"/>
              <w:bottom w:val="nil"/>
              <w:right w:val="single" w:sz="8" w:space="0" w:color="000000"/>
            </w:tcBorders>
            <w:shd w:val="clear" w:color="auto" w:fill="auto"/>
          </w:tcPr>
          <w:p w:rsidR="00962DCF" w:rsidRPr="00900E1B" w:rsidRDefault="00962DCF" w:rsidP="00410E80">
            <w:r w:rsidRPr="005F4797">
              <w:t>Capacity of maritime law enforcement agencies to respond to maritime crime at sea</w:t>
            </w:r>
            <w:r w:rsidR="00410E80">
              <w:t>, with focus on Nigeria and Ghana.</w:t>
            </w:r>
          </w:p>
        </w:tc>
      </w:tr>
      <w:tr w:rsidR="00962DCF" w:rsidRPr="00900E1B" w:rsidTr="0076616A">
        <w:trPr>
          <w:trHeight w:val="640"/>
        </w:trPr>
        <w:tc>
          <w:tcPr>
            <w:tcW w:w="1832"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rsidR="00962DCF" w:rsidRPr="00900E1B" w:rsidRDefault="00962DCF" w:rsidP="0076616A">
            <w:r w:rsidRPr="00900E1B">
              <w:t>Outcome indicator</w:t>
            </w:r>
            <w:r>
              <w:t xml:space="preserve"> 5.1</w:t>
            </w:r>
          </w:p>
        </w:tc>
        <w:tc>
          <w:tcPr>
            <w:tcW w:w="0" w:type="auto"/>
            <w:gridSpan w:val="2"/>
            <w:tcBorders>
              <w:top w:val="single" w:sz="8" w:space="0" w:color="auto"/>
              <w:left w:val="nil"/>
              <w:bottom w:val="single" w:sz="8" w:space="0" w:color="auto"/>
              <w:right w:val="single" w:sz="8" w:space="0" w:color="000000"/>
            </w:tcBorders>
            <w:shd w:val="clear" w:color="auto" w:fill="auto"/>
            <w:vAlign w:val="center"/>
          </w:tcPr>
          <w:p w:rsidR="00962DCF" w:rsidRPr="00900E1B" w:rsidRDefault="00962DCF" w:rsidP="0076616A">
            <w:r w:rsidRPr="004C32CC">
              <w:t xml:space="preserve">Enhancing basic skills for ships crews to maintain operational standards and readiness to respond.  </w:t>
            </w:r>
          </w:p>
        </w:tc>
      </w:tr>
      <w:tr w:rsidR="00962DCF" w:rsidRPr="00900E1B" w:rsidTr="0076616A">
        <w:trPr>
          <w:trHeight w:val="340"/>
        </w:trPr>
        <w:tc>
          <w:tcPr>
            <w:tcW w:w="114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DBE5F1" w:themeFill="accent1" w:themeFillTint="33"/>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900E1B" w:rsidRDefault="00962DCF" w:rsidP="0076616A">
            <w:r w:rsidRPr="004C32CC">
              <w:t xml:space="preserve">Limited operational response. </w:t>
            </w:r>
          </w:p>
        </w:tc>
      </w:tr>
      <w:tr w:rsidR="00962DCF" w:rsidRPr="00900E1B" w:rsidTr="0076616A">
        <w:trPr>
          <w:trHeight w:val="340"/>
        </w:trPr>
        <w:tc>
          <w:tcPr>
            <w:tcW w:w="1149" w:type="dxa"/>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Target</w:t>
            </w:r>
          </w:p>
        </w:tc>
        <w:tc>
          <w:tcPr>
            <w:tcW w:w="0" w:type="auto"/>
            <w:tcBorders>
              <w:top w:val="single" w:sz="4" w:space="0" w:color="auto"/>
              <w:left w:val="nil"/>
              <w:bottom w:val="single" w:sz="8" w:space="0" w:color="auto"/>
              <w:right w:val="single" w:sz="8" w:space="0" w:color="auto"/>
            </w:tcBorders>
            <w:shd w:val="clear" w:color="auto" w:fill="DBE5F1" w:themeFill="accent1" w:themeFillTint="33"/>
            <w:vAlign w:val="center"/>
          </w:tcPr>
          <w:p w:rsidR="00962DCF" w:rsidRPr="00900E1B" w:rsidRDefault="00962DCF" w:rsidP="0076616A">
            <w:r w:rsidRPr="00900E1B">
              <w:t>Year</w:t>
            </w:r>
          </w:p>
        </w:tc>
        <w:tc>
          <w:tcPr>
            <w:tcW w:w="0" w:type="auto"/>
            <w:tcBorders>
              <w:top w:val="single" w:sz="4" w:space="0" w:color="auto"/>
              <w:left w:val="nil"/>
              <w:bottom w:val="single" w:sz="8" w:space="0" w:color="auto"/>
              <w:right w:val="single" w:sz="8"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nil"/>
              <w:bottom w:val="single" w:sz="8" w:space="0" w:color="auto"/>
              <w:right w:val="single" w:sz="8" w:space="0" w:color="auto"/>
            </w:tcBorders>
            <w:shd w:val="clear" w:color="auto" w:fill="auto"/>
          </w:tcPr>
          <w:p w:rsidR="00962DCF" w:rsidRPr="00900E1B" w:rsidRDefault="00962DCF" w:rsidP="0076616A">
            <w:r w:rsidRPr="004C32CC">
              <w:t>Nigeria</w:t>
            </w:r>
            <w:r w:rsidR="00AD7C0E">
              <w:t>n</w:t>
            </w:r>
            <w:r w:rsidRPr="004C32CC">
              <w:t xml:space="preserve"> and Ghana</w:t>
            </w:r>
            <w:r w:rsidR="00410E80">
              <w:t>ian</w:t>
            </w:r>
            <w:r w:rsidRPr="004C32CC">
              <w:t xml:space="preserve"> </w:t>
            </w:r>
            <w:proofErr w:type="spellStart"/>
            <w:r w:rsidRPr="004C32CC">
              <w:t>respon</w:t>
            </w:r>
            <w:r w:rsidR="00410E80">
              <w:t>s</w:t>
            </w:r>
            <w:proofErr w:type="spellEnd"/>
            <w:r w:rsidRPr="004C32CC">
              <w:t xml:space="preserve"> enhanced operationally using </w:t>
            </w:r>
            <w:proofErr w:type="gramStart"/>
            <w:r w:rsidRPr="004C32CC">
              <w:t>better trained</w:t>
            </w:r>
            <w:proofErr w:type="gramEnd"/>
            <w:r w:rsidRPr="004C32CC">
              <w:t xml:space="preserve"> ships crews in basic seamanship. </w:t>
            </w:r>
          </w:p>
        </w:tc>
      </w:tr>
      <w:tr w:rsidR="00962DCF" w:rsidRPr="00900E1B"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tcPr>
          <w:p w:rsidR="00962DCF" w:rsidRPr="00143D08" w:rsidRDefault="00962DCF" w:rsidP="0076616A">
            <w:pPr>
              <w:rPr>
                <w:b/>
                <w:bCs/>
              </w:rPr>
            </w:pPr>
            <w:r>
              <w:rPr>
                <w:b/>
                <w:bCs/>
              </w:rPr>
              <w:t>Output 5</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900E1B" w:rsidRDefault="00962DCF" w:rsidP="0076616A">
            <w:r w:rsidRPr="004C32CC">
              <w:t xml:space="preserve">Ghanaian </w:t>
            </w:r>
            <w:r w:rsidR="00410E80">
              <w:t>N</w:t>
            </w:r>
            <w:r w:rsidRPr="004C32CC">
              <w:t>avy trained in vessel boarding and related aspects (e.g., securing evidence</w:t>
            </w:r>
            <w:r w:rsidR="00410E80">
              <w:t xml:space="preserve"> and</w:t>
            </w:r>
            <w:r w:rsidRPr="004C32CC">
              <w:t xml:space="preserve"> human rights) as part of a rule of law-based response.</w:t>
            </w:r>
          </w:p>
        </w:tc>
      </w:tr>
      <w:tr w:rsidR="00962DCF" w:rsidRPr="00900E1B" w:rsidTr="0076616A">
        <w:trPr>
          <w:trHeight w:val="760"/>
        </w:trPr>
        <w:tc>
          <w:tcPr>
            <w:tcW w:w="1832" w:type="dxa"/>
            <w:gridSpan w:val="2"/>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962DCF" w:rsidRPr="00900E1B" w:rsidRDefault="00962DCF" w:rsidP="0076616A">
            <w:r w:rsidRPr="00900E1B">
              <w:t>Output Indicator</w:t>
            </w:r>
            <w:r>
              <w:t xml:space="preserve"> 5</w:t>
            </w:r>
          </w:p>
        </w:tc>
        <w:tc>
          <w:tcPr>
            <w:tcW w:w="0" w:type="auto"/>
            <w:gridSpan w:val="2"/>
            <w:tcBorders>
              <w:top w:val="single" w:sz="8" w:space="0" w:color="auto"/>
              <w:left w:val="nil"/>
              <w:bottom w:val="single" w:sz="8" w:space="0" w:color="auto"/>
              <w:right w:val="single" w:sz="8" w:space="0" w:color="000000"/>
            </w:tcBorders>
            <w:shd w:val="clear" w:color="auto" w:fill="auto"/>
          </w:tcPr>
          <w:p w:rsidR="00962DCF" w:rsidRPr="00900E1B" w:rsidRDefault="00962DCF" w:rsidP="0076616A">
            <w:r w:rsidRPr="004C32CC">
              <w:t xml:space="preserve">Ghanaian </w:t>
            </w:r>
            <w:r w:rsidR="00410E80">
              <w:t>N</w:t>
            </w:r>
            <w:r w:rsidRPr="004C32CC">
              <w:t xml:space="preserve">avy </w:t>
            </w:r>
            <w:r>
              <w:t xml:space="preserve">is </w:t>
            </w:r>
            <w:r w:rsidRPr="004C32CC">
              <w:t>conducting and supporting law enforcement agencies in vessel boarding as part of a rule of law-based response</w:t>
            </w:r>
            <w:r w:rsidR="00410E80">
              <w:t>.</w:t>
            </w:r>
          </w:p>
        </w:tc>
      </w:tr>
      <w:tr w:rsidR="00962DCF" w:rsidRPr="00900E1B" w:rsidTr="004630C0">
        <w:trPr>
          <w:trHeight w:val="340"/>
        </w:trPr>
        <w:tc>
          <w:tcPr>
            <w:tcW w:w="1149"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Baseline</w:t>
            </w:r>
          </w:p>
        </w:tc>
        <w:tc>
          <w:tcPr>
            <w:tcW w:w="0" w:type="auto"/>
            <w:tcBorders>
              <w:top w:val="nil"/>
              <w:left w:val="nil"/>
              <w:bottom w:val="single" w:sz="8" w:space="0" w:color="auto"/>
              <w:right w:val="single" w:sz="8"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nil"/>
              <w:left w:val="nil"/>
              <w:bottom w:val="single" w:sz="8" w:space="0" w:color="auto"/>
              <w:right w:val="single" w:sz="8" w:space="0" w:color="auto"/>
            </w:tcBorders>
            <w:shd w:val="clear" w:color="auto" w:fill="auto"/>
            <w:vAlign w:val="center"/>
            <w:hideMark/>
          </w:tcPr>
          <w:p w:rsidR="00962DCF" w:rsidRPr="00900E1B" w:rsidRDefault="00962DCF" w:rsidP="0076616A">
            <w:r w:rsidRPr="00900E1B">
              <w:t>2021</w:t>
            </w:r>
          </w:p>
        </w:tc>
        <w:tc>
          <w:tcPr>
            <w:tcW w:w="0" w:type="auto"/>
            <w:tcBorders>
              <w:top w:val="nil"/>
              <w:left w:val="nil"/>
              <w:bottom w:val="single" w:sz="8" w:space="0" w:color="auto"/>
              <w:right w:val="single" w:sz="8" w:space="0" w:color="auto"/>
            </w:tcBorders>
            <w:shd w:val="clear" w:color="auto" w:fill="auto"/>
          </w:tcPr>
          <w:p w:rsidR="00962DCF" w:rsidRPr="00900E1B" w:rsidRDefault="00962DCF" w:rsidP="0076616A">
            <w:r w:rsidRPr="004C32CC">
              <w:t xml:space="preserve">Operational level of units </w:t>
            </w:r>
            <w:r>
              <w:t>are</w:t>
            </w:r>
            <w:r w:rsidRPr="004C32CC">
              <w:t xml:space="preserve"> limited</w:t>
            </w:r>
            <w:r w:rsidR="00410E80">
              <w:t>.</w:t>
            </w:r>
          </w:p>
        </w:tc>
      </w:tr>
      <w:tr w:rsidR="00962DCF" w:rsidRPr="00900E1B" w:rsidTr="004630C0">
        <w:trPr>
          <w:trHeight w:val="340"/>
        </w:trPr>
        <w:tc>
          <w:tcPr>
            <w:tcW w:w="1149" w:type="dxa"/>
            <w:tcBorders>
              <w:top w:val="single" w:sz="8" w:space="0" w:color="auto"/>
              <w:left w:val="single" w:sz="8"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Target</w:t>
            </w:r>
          </w:p>
        </w:tc>
        <w:tc>
          <w:tcPr>
            <w:tcW w:w="0" w:type="auto"/>
            <w:tcBorders>
              <w:top w:val="single" w:sz="8" w:space="0" w:color="auto"/>
              <w:left w:val="single" w:sz="4" w:space="0" w:color="auto"/>
              <w:bottom w:val="single" w:sz="4" w:space="0" w:color="auto"/>
              <w:right w:val="single" w:sz="4" w:space="0" w:color="auto"/>
            </w:tcBorders>
            <w:shd w:val="clear" w:color="auto" w:fill="95B3D7" w:themeFill="accent1" w:themeFillTint="99"/>
            <w:vAlign w:val="center"/>
            <w:hideMark/>
          </w:tcPr>
          <w:p w:rsidR="00962DCF" w:rsidRPr="00900E1B" w:rsidRDefault="00962DCF" w:rsidP="0076616A">
            <w:r w:rsidRPr="00900E1B">
              <w:t>Year</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962DCF" w:rsidRPr="00900E1B" w:rsidRDefault="00962DCF" w:rsidP="0076616A">
            <w:r w:rsidRPr="00900E1B">
              <w:t>2022</w:t>
            </w:r>
          </w:p>
        </w:tc>
        <w:tc>
          <w:tcPr>
            <w:tcW w:w="0" w:type="auto"/>
            <w:tcBorders>
              <w:top w:val="single" w:sz="8"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Ghanaian </w:t>
            </w:r>
            <w:r w:rsidR="00410E80">
              <w:t>N</w:t>
            </w:r>
            <w:r w:rsidRPr="004C32CC">
              <w:t xml:space="preserve">avy trained in basic seamanship skills-based Ghana </w:t>
            </w:r>
            <w:r w:rsidR="00410E80">
              <w:t>N</w:t>
            </w:r>
            <w:r w:rsidRPr="004C32CC">
              <w:t>avy requests and priorities. Plan established end of 2021.</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2023</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Ghanaian </w:t>
            </w:r>
            <w:r w:rsidR="00410E80">
              <w:t>N</w:t>
            </w:r>
            <w:r w:rsidRPr="004C32CC">
              <w:t xml:space="preserve">avy trained in basic seamanship skills-based Ghana </w:t>
            </w:r>
            <w:r w:rsidR="00410E80">
              <w:t>N</w:t>
            </w:r>
            <w:r w:rsidRPr="004C32CC">
              <w:t>avy requests and priorities. Plan established end of 2022.</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2024</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Ghanaian </w:t>
            </w:r>
            <w:r w:rsidR="00410E80">
              <w:t>N</w:t>
            </w:r>
            <w:r w:rsidRPr="004C32CC">
              <w:t xml:space="preserve">avy trained in basic seamanship skills-based Ghana </w:t>
            </w:r>
            <w:r w:rsidR="00410E80">
              <w:t>N</w:t>
            </w:r>
            <w:r w:rsidRPr="004C32CC">
              <w:t>avy requests and priorities. Plan established end of 2023.</w:t>
            </w:r>
          </w:p>
        </w:tc>
      </w:tr>
      <w:tr w:rsidR="00962DCF" w:rsidRPr="00900E1B" w:rsidTr="004630C0">
        <w:trPr>
          <w:trHeight w:val="340"/>
        </w:trPr>
        <w:tc>
          <w:tcPr>
            <w:tcW w:w="1149" w:type="dxa"/>
            <w:tcBorders>
              <w:top w:val="single" w:sz="4" w:space="0" w:color="auto"/>
              <w:left w:val="single" w:sz="8"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Target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962DCF" w:rsidRPr="00900E1B" w:rsidRDefault="00962DCF" w:rsidP="0076616A">
            <w:r w:rsidRPr="00900E1B">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2DCF" w:rsidRPr="00900E1B" w:rsidRDefault="00962DCF" w:rsidP="0076616A">
            <w:r w:rsidRPr="00900E1B">
              <w:t>2025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962DCF" w:rsidRPr="00900E1B" w:rsidRDefault="00962DCF" w:rsidP="0076616A">
            <w:r w:rsidRPr="004C32CC">
              <w:t xml:space="preserve">Ghanaian </w:t>
            </w:r>
            <w:r w:rsidR="00410E80">
              <w:t>N</w:t>
            </w:r>
            <w:r w:rsidRPr="004C32CC">
              <w:t xml:space="preserve">avy trained in basic seamanship skills-based Ghana </w:t>
            </w:r>
            <w:r w:rsidR="00410E80">
              <w:t>N</w:t>
            </w:r>
            <w:r w:rsidRPr="004C32CC">
              <w:t>avy requests and priorities. Plan established end of 2024.</w:t>
            </w:r>
          </w:p>
        </w:tc>
      </w:tr>
      <w:tr w:rsidR="00962DCF" w:rsidRPr="00900E1B" w:rsidTr="004630C0">
        <w:trPr>
          <w:trHeight w:val="340"/>
        </w:trPr>
        <w:tc>
          <w:tcPr>
            <w:tcW w:w="1149" w:type="dxa"/>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Target</w:t>
            </w:r>
          </w:p>
        </w:tc>
        <w:tc>
          <w:tcPr>
            <w:tcW w:w="0" w:type="auto"/>
            <w:tcBorders>
              <w:top w:val="single" w:sz="4" w:space="0" w:color="auto"/>
              <w:left w:val="single" w:sz="4" w:space="0" w:color="auto"/>
              <w:bottom w:val="single" w:sz="8" w:space="0" w:color="auto"/>
              <w:right w:val="single" w:sz="4" w:space="0" w:color="auto"/>
            </w:tcBorders>
            <w:shd w:val="clear" w:color="auto" w:fill="95B3D7" w:themeFill="accent1" w:themeFillTint="99"/>
            <w:vAlign w:val="center"/>
          </w:tcPr>
          <w:p w:rsidR="00962DCF" w:rsidRPr="00900E1B" w:rsidRDefault="00962DCF" w:rsidP="0076616A">
            <w:r w:rsidRPr="00900E1B">
              <w:t xml:space="preserve">Year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tcPr>
          <w:p w:rsidR="00962DCF" w:rsidRPr="00900E1B" w:rsidRDefault="00962DCF" w:rsidP="0076616A">
            <w:r w:rsidRPr="00900E1B">
              <w:t>2026</w:t>
            </w:r>
          </w:p>
        </w:tc>
        <w:tc>
          <w:tcPr>
            <w:tcW w:w="0" w:type="auto"/>
            <w:tcBorders>
              <w:top w:val="single" w:sz="4" w:space="0" w:color="auto"/>
              <w:left w:val="single" w:sz="4" w:space="0" w:color="auto"/>
              <w:bottom w:val="single" w:sz="8" w:space="0" w:color="auto"/>
              <w:right w:val="single" w:sz="8" w:space="0" w:color="auto"/>
            </w:tcBorders>
            <w:shd w:val="clear" w:color="auto" w:fill="auto"/>
          </w:tcPr>
          <w:p w:rsidR="00962DCF" w:rsidRPr="00900E1B" w:rsidRDefault="00962DCF" w:rsidP="0076616A">
            <w:r w:rsidRPr="004C32CC">
              <w:t xml:space="preserve">Ghanaian </w:t>
            </w:r>
            <w:r w:rsidR="00410E80">
              <w:t>N</w:t>
            </w:r>
            <w:r w:rsidRPr="004C32CC">
              <w:t xml:space="preserve">avy trained in basic seamanship skills-based Ghana </w:t>
            </w:r>
            <w:r w:rsidR="00410E80">
              <w:t>N</w:t>
            </w:r>
            <w:r w:rsidRPr="004C32CC">
              <w:t>avy requests and priorities. Plane established end of 2025.</w:t>
            </w:r>
          </w:p>
        </w:tc>
      </w:tr>
    </w:tbl>
    <w:p w:rsidR="0020102B" w:rsidRPr="0020102B" w:rsidRDefault="0020102B" w:rsidP="00962DCF"/>
    <w:p w:rsidR="008F34ED" w:rsidRPr="008F34ED" w:rsidRDefault="008F34ED" w:rsidP="008F34ED"/>
    <w:sectPr w:rsidR="008F34ED" w:rsidRPr="008F34ED" w:rsidSect="00933622">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DC4" w:rsidRDefault="007F2DC4" w:rsidP="00C42BE9">
      <w:r>
        <w:separator/>
      </w:r>
    </w:p>
  </w:endnote>
  <w:endnote w:type="continuationSeparator" w:id="0">
    <w:p w:rsidR="007F2DC4" w:rsidRDefault="007F2DC4" w:rsidP="00C4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Default="007F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Default="007F2DC4">
    <w:pPr>
      <w:pStyle w:val="Footer"/>
      <w:jc w:val="center"/>
    </w:pPr>
  </w:p>
  <w:sdt>
    <w:sdtPr>
      <w:id w:val="-575902841"/>
      <w:docPartObj>
        <w:docPartGallery w:val="Page Numbers (Bottom of Page)"/>
        <w:docPartUnique/>
      </w:docPartObj>
    </w:sdtPr>
    <w:sdtEndPr>
      <w:rPr>
        <w:noProof/>
      </w:rPr>
    </w:sdtEndPr>
    <w:sdtContent>
      <w:p w:rsidR="007F2DC4" w:rsidRDefault="007F2DC4">
        <w:pPr>
          <w:pStyle w:val="Footer"/>
          <w:jc w:val="center"/>
        </w:pPr>
        <w:r>
          <w:fldChar w:fldCharType="begin"/>
        </w:r>
        <w:r>
          <w:instrText xml:space="preserve"> PAGE   \* MERGEFORMAT </w:instrText>
        </w:r>
        <w:r>
          <w:fldChar w:fldCharType="separate"/>
        </w:r>
        <w:r w:rsidR="00EA4811">
          <w:rPr>
            <w:noProof/>
          </w:rPr>
          <w:t>23</w:t>
        </w:r>
        <w:r>
          <w:rPr>
            <w:noProof/>
          </w:rPr>
          <w:fldChar w:fldCharType="end"/>
        </w:r>
      </w:p>
    </w:sdtContent>
  </w:sdt>
  <w:p w:rsidR="007F2DC4" w:rsidRDefault="007F2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Default="007F2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DC4" w:rsidRDefault="007F2DC4" w:rsidP="00C42BE9">
      <w:r>
        <w:separator/>
      </w:r>
    </w:p>
  </w:footnote>
  <w:footnote w:type="continuationSeparator" w:id="0">
    <w:p w:rsidR="007F2DC4" w:rsidRDefault="007F2DC4" w:rsidP="00C4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Default="007F2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Pr="0047177A" w:rsidRDefault="007F2DC4" w:rsidP="0047177A">
    <w:pPr>
      <w:rPr>
        <w:b/>
      </w:rPr>
    </w:pPr>
    <w:r w:rsidRPr="0047177A">
      <w:rPr>
        <w:b/>
      </w:rPr>
      <w:t xml:space="preserve">Annex 3 – </w:t>
    </w:r>
    <w:r>
      <w:rPr>
        <w:b/>
      </w:rPr>
      <w:t>Theory of Change and Results Framework</w:t>
    </w:r>
  </w:p>
  <w:p w:rsidR="007F2DC4" w:rsidRDefault="007F2DC4">
    <w:pPr>
      <w:pStyle w:val="Header"/>
    </w:pPr>
    <w:r>
      <w:rPr>
        <w:noProof/>
        <w:lang w:eastAsia="en-GB"/>
      </w:rPr>
      <mc:AlternateContent>
        <mc:Choice Requires="wps">
          <w:drawing>
            <wp:anchor distT="0" distB="0" distL="114300" distR="114300" simplePos="0" relativeHeight="251698176" behindDoc="1" locked="0" layoutInCell="0" allowOverlap="1" wp14:anchorId="13788515" wp14:editId="1196205E">
              <wp:simplePos x="0" y="0"/>
              <wp:positionH relativeFrom="margin">
                <wp:align>center</wp:align>
              </wp:positionH>
              <wp:positionV relativeFrom="margin">
                <wp:align>center</wp:align>
              </wp:positionV>
              <wp:extent cx="5237480" cy="3141980"/>
              <wp:effectExtent l="0" t="1152525" r="0" b="658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2DC4" w:rsidRDefault="007F2DC4" w:rsidP="00B121F7">
                          <w:pPr>
                            <w:jc w:val="center"/>
                            <w:rPr>
                              <w:rFonts w:ascii="Calibri" w:hAnsi="Calibri" w:cs="Calibri"/>
                              <w:color w:val="DAEEF3" w:themeColor="accent5" w:themeTint="33"/>
                              <w:sz w:val="2"/>
                              <w:szCs w:val="2"/>
                              <w14:textFill>
                                <w14:solidFill>
                                  <w14:schemeClr w14:val="accent5">
                                    <w14:alpha w14:val="50000"/>
                                    <w14:lumMod w14:val="20000"/>
                                    <w14:lumOff w14:val="80000"/>
                                  </w14:schemeClr>
                                </w14:solidFill>
                              </w14:textFill>
                            </w:rPr>
                          </w:pPr>
                          <w:r>
                            <w:rPr>
                              <w:rFonts w:ascii="Calibri" w:hAnsi="Calibri" w:cs="Calibri"/>
                              <w:color w:val="DAEEF3" w:themeColor="accent5" w:themeTint="33"/>
                              <w:sz w:val="2"/>
                              <w:szCs w:val="2"/>
                              <w14:textFill>
                                <w14:solidFill>
                                  <w14:schemeClr w14:val="accent5">
                                    <w14:alpha w14:val="50000"/>
                                    <w14:lumMod w14:val="20000"/>
                                    <w14:lumOff w14:val="8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788515" id="_x0000_t202" coordsize="21600,21600" o:spt="202" path="m,l,21600r21600,l21600,xe">
              <v:stroke joinstyle="miter"/>
              <v:path gradientshapeok="t" o:connecttype="rect"/>
            </v:shapetype>
            <v:shape id="Text Box 9" o:spid="_x0000_s1026" type="#_x0000_t202" style="position:absolute;left:0;text-align:left;margin-left:0;margin-top:0;width:412.4pt;height:247.4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l9iAIAAP0EAAAOAAAAZHJzL2Uyb0RvYy54bWysVMtu2zAQvBfoPxC8O5IcObGEyEHsxL2k&#10;bYC4yJkWKYutxGVJ2pJR9N+7pOQ82ktR1AeaWq6Gszuzurru24YchLESVEGTs5gSoUrgUu0K+mWz&#10;nswpsY4pzhpQoqBHYen14v27q07nYgo1NFwYgiDK5p0uaO2czqPIlrVomT0DLRQeVmBa5vDR7CJu&#10;WIfobRNN4/gi6sBwbaAU1mL0djiki4BfVaJ0n6vKCkeagiI3F1YT1q1fo8UVy3eG6VqWIw32Dyxa&#10;JhVe+gx1yxwjeyP/gGplacBC5c5KaCOoKlmKUANWk8S/VfNYMy1CLdgcq5/bZP8fbPnp8GCI5AXN&#10;KFGsRYk2ondkCT3JfHc6bXNMetSY5noMo8qhUqvvofxmiYJVzdRO3BgDXS0YR3YJYo3hUMPmqBE4&#10;RD36HZcoROLho1f4w2XW37TtPgLHV9jeQbitr0xLDPjX5lnsfyGMDSTICJU9Pqvp6ZcYnE3PL9M5&#10;HpV4dp6kSYYP/kqWezSvljbWfRDQEr8pqEG7BFh2uLduSD2l+HRExvi4G+T9kSXTNF5Os8n6Yn45&#10;SdfpbJJdxvNJnGTL7CJOs/R2/dODJmleS86FupdKnKyWpH8n5Wj6wSTBbKRDyWbTWeBroZF8LZvG&#10;c7Nmt101hhyY9/zQq6GWN2kG9opjnOVetLtx75hshn30lnHoGzbg9B8aEdTzgg3SuX7bI6KXdAv8&#10;iDp2OFkFtd/3zAj0xL5dAZJCI1QG2icc3RvjJQ1F+E5v+idm9CiHw+semtNkBU083R0fjcr4VwRq&#10;GxxYrJXMgiuGSsdklPoFNfRG36Cj1jKI+8Jz9CHOWChv/B74IX79HLJevlqLXwAAAP//AwBQSwME&#10;FAAGAAgAAAAhAGOtRr/bAAAABQEAAA8AAABkcnMvZG93bnJldi54bWxMj0FvwjAMhe+T+A+RJ3Eb&#10;6RiaWNcUoVU7cASmnUNj2kLidE1KC79+3i7bxbL1np6/l61GZ8UFu9B4UvA4S0Agld40VCn42L8/&#10;LEGEqMlo6wkVXDHAKp/cZTo1fqAtXnaxEhxCIdUK6hjbVMpQ1uh0mPkWibWj75yOfHaVNJ0eONxZ&#10;OU+SZ+l0Q/yh1i2+1Vied71TYG7Ha/s0DPvNZlv0X7YpCvw8KTW9H9evICKO8c8MP/iMDjkzHXxP&#10;JgirgIvE38nacr7gGgcFixdeZJ7J//T5NwAAAP//AwBQSwECLQAUAAYACAAAACEAtoM4kv4AAADh&#10;AQAAEwAAAAAAAAAAAAAAAAAAAAAAW0NvbnRlbnRfVHlwZXNdLnhtbFBLAQItABQABgAIAAAAIQA4&#10;/SH/1gAAAJQBAAALAAAAAAAAAAAAAAAAAC8BAABfcmVscy8ucmVsc1BLAQItABQABgAIAAAAIQAR&#10;mEl9iAIAAP0EAAAOAAAAAAAAAAAAAAAAAC4CAABkcnMvZTJvRG9jLnhtbFBLAQItABQABgAIAAAA&#10;IQBjrUa/2wAAAAUBAAAPAAAAAAAAAAAAAAAAAOIEAABkcnMvZG93bnJldi54bWxQSwUGAAAAAAQA&#10;BADzAAAA6gUAAAAA&#10;" o:allowincell="f" filled="f" stroked="f">
              <v:stroke joinstyle="round"/>
              <o:lock v:ext="edit" shapetype="t"/>
              <v:textbox style="mso-fit-shape-to-text:t">
                <w:txbxContent>
                  <w:p w:rsidR="00B03A91" w:rsidRDefault="00B03A91" w:rsidP="00B121F7">
                    <w:pPr>
                      <w:jc w:val="center"/>
                      <w:rPr>
                        <w:rFonts w:ascii="Calibri" w:hAnsi="Calibri" w:cs="Calibri"/>
                        <w:color w:val="DAEEF3" w:themeColor="accent5" w:themeTint="33"/>
                        <w:sz w:val="2"/>
                        <w:szCs w:val="2"/>
                        <w14:textFill>
                          <w14:solidFill>
                            <w14:schemeClr w14:val="accent5">
                              <w14:alpha w14:val="50000"/>
                              <w14:lumMod w14:val="20000"/>
                              <w14:lumOff w14:val="80000"/>
                            </w14:schemeClr>
                          </w14:solidFill>
                        </w14:textFill>
                      </w:rPr>
                    </w:pPr>
                    <w:r>
                      <w:rPr>
                        <w:rFonts w:ascii="Calibri" w:hAnsi="Calibri" w:cs="Calibri"/>
                        <w:color w:val="DAEEF3" w:themeColor="accent5" w:themeTint="33"/>
                        <w:sz w:val="2"/>
                        <w:szCs w:val="2"/>
                        <w14:textFill>
                          <w14:solidFill>
                            <w14:schemeClr w14:val="accent5">
                              <w14:alpha w14:val="50000"/>
                              <w14:lumMod w14:val="20000"/>
                              <w14:lumOff w14:val="80000"/>
                            </w14:scheme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C4" w:rsidRDefault="007F2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A14081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92005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912DFD"/>
    <w:multiLevelType w:val="hybridMultilevel"/>
    <w:tmpl w:val="C07A8044"/>
    <w:lvl w:ilvl="0" w:tplc="78AE4F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60A53"/>
    <w:multiLevelType w:val="hybridMultilevel"/>
    <w:tmpl w:val="0FC67F70"/>
    <w:lvl w:ilvl="0" w:tplc="43FCA85A">
      <w:start w:val="248"/>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B3FF4"/>
    <w:multiLevelType w:val="hybridMultilevel"/>
    <w:tmpl w:val="A7141A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702448"/>
    <w:multiLevelType w:val="hybridMultilevel"/>
    <w:tmpl w:val="89F0284A"/>
    <w:lvl w:ilvl="0" w:tplc="13D094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971D2"/>
    <w:multiLevelType w:val="hybridMultilevel"/>
    <w:tmpl w:val="1B2234CE"/>
    <w:lvl w:ilvl="0" w:tplc="669E5ABA">
      <w:start w:val="10"/>
      <w:numFmt w:val="bullet"/>
      <w:lvlText w:val="-"/>
      <w:lvlJc w:val="left"/>
      <w:pPr>
        <w:ind w:left="720" w:hanging="360"/>
      </w:pPr>
      <w:rPr>
        <w:rFonts w:ascii="Garamond" w:eastAsiaTheme="minorEastAsia"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160F1"/>
    <w:multiLevelType w:val="hybridMultilevel"/>
    <w:tmpl w:val="67407DDA"/>
    <w:lvl w:ilvl="0" w:tplc="32CE61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9433A"/>
    <w:multiLevelType w:val="hybridMultilevel"/>
    <w:tmpl w:val="90F46532"/>
    <w:lvl w:ilvl="0" w:tplc="A240F2DC">
      <w:start w:val="1"/>
      <w:numFmt w:val="bullet"/>
      <w:lvlText w:val="-"/>
      <w:lvlJc w:val="left"/>
      <w:pPr>
        <w:ind w:left="720" w:hanging="360"/>
      </w:pPr>
      <w:rPr>
        <w:rFonts w:ascii="Garamond" w:eastAsiaTheme="minorEastAs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86D70"/>
    <w:multiLevelType w:val="hybridMultilevel"/>
    <w:tmpl w:val="3202DF26"/>
    <w:lvl w:ilvl="0" w:tplc="8B6AEF2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71A4D"/>
    <w:multiLevelType w:val="hybridMultilevel"/>
    <w:tmpl w:val="83E44B34"/>
    <w:lvl w:ilvl="0" w:tplc="05EEB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3418F"/>
    <w:multiLevelType w:val="hybridMultilevel"/>
    <w:tmpl w:val="185242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E53B7"/>
    <w:multiLevelType w:val="hybridMultilevel"/>
    <w:tmpl w:val="B120A41E"/>
    <w:lvl w:ilvl="0" w:tplc="7C180E1A">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D72430"/>
    <w:multiLevelType w:val="hybridMultilevel"/>
    <w:tmpl w:val="5D54F142"/>
    <w:lvl w:ilvl="0" w:tplc="7C180E1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D363F"/>
    <w:multiLevelType w:val="hybridMultilevel"/>
    <w:tmpl w:val="EA542EDC"/>
    <w:lvl w:ilvl="0" w:tplc="D52ED5C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C3DCE"/>
    <w:multiLevelType w:val="hybridMultilevel"/>
    <w:tmpl w:val="B0F4231A"/>
    <w:lvl w:ilvl="0" w:tplc="FE767D0C">
      <w:numFmt w:val="bullet"/>
      <w:lvlText w:val="-"/>
      <w:lvlJc w:val="left"/>
      <w:pPr>
        <w:ind w:left="720" w:hanging="360"/>
      </w:pPr>
      <w:rPr>
        <w:rFonts w:ascii="Garamond" w:eastAsiaTheme="minorEastAs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C5D5A"/>
    <w:multiLevelType w:val="hybridMultilevel"/>
    <w:tmpl w:val="45566852"/>
    <w:lvl w:ilvl="0" w:tplc="D5A6D5A2">
      <w:start w:val="1"/>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A42C3"/>
    <w:multiLevelType w:val="hybridMultilevel"/>
    <w:tmpl w:val="DDAA7CCC"/>
    <w:lvl w:ilvl="0" w:tplc="05AE41F2">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E5D58"/>
    <w:multiLevelType w:val="hybridMultilevel"/>
    <w:tmpl w:val="6F940F38"/>
    <w:lvl w:ilvl="0" w:tplc="100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F2191"/>
    <w:multiLevelType w:val="hybridMultilevel"/>
    <w:tmpl w:val="9AAC664E"/>
    <w:lvl w:ilvl="0" w:tplc="1E12DA1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061B2"/>
    <w:multiLevelType w:val="hybridMultilevel"/>
    <w:tmpl w:val="2152CEB6"/>
    <w:lvl w:ilvl="0" w:tplc="B968493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54E45"/>
    <w:multiLevelType w:val="hybridMultilevel"/>
    <w:tmpl w:val="F4BEB5AA"/>
    <w:lvl w:ilvl="0" w:tplc="04060001">
      <w:start w:val="1"/>
      <w:numFmt w:val="bullet"/>
      <w:lvlText w:val=""/>
      <w:lvlJc w:val="left"/>
      <w:pPr>
        <w:ind w:left="720" w:hanging="360"/>
      </w:pPr>
      <w:rPr>
        <w:rFonts w:ascii="Symbol" w:hAnsi="Symbol" w:hint="default"/>
      </w:rPr>
    </w:lvl>
    <w:lvl w:ilvl="1" w:tplc="D9BC9CAA">
      <w:numFmt w:val="bullet"/>
      <w:lvlText w:val="•"/>
      <w:lvlJc w:val="left"/>
      <w:pPr>
        <w:ind w:left="1440" w:hanging="360"/>
      </w:pPr>
      <w:rPr>
        <w:rFonts w:ascii="Garamond" w:eastAsiaTheme="minorEastAsia" w:hAnsi="Garamond"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183819"/>
    <w:multiLevelType w:val="hybridMultilevel"/>
    <w:tmpl w:val="67080B82"/>
    <w:lvl w:ilvl="0" w:tplc="61E02F5C">
      <w:numFmt w:val="bullet"/>
      <w:lvlText w:val="-"/>
      <w:lvlJc w:val="left"/>
      <w:pPr>
        <w:ind w:left="720" w:hanging="360"/>
      </w:pPr>
      <w:rPr>
        <w:rFonts w:ascii="Garamond" w:eastAsiaTheme="minorEastAs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84E9B"/>
    <w:multiLevelType w:val="hybridMultilevel"/>
    <w:tmpl w:val="864234F6"/>
    <w:lvl w:ilvl="0" w:tplc="11B0DC10">
      <w:start w:val="1"/>
      <w:numFmt w:val="bullet"/>
      <w:lvlText w:val=""/>
      <w:lvlJc w:val="left"/>
      <w:pPr>
        <w:ind w:left="720" w:hanging="360"/>
      </w:pPr>
      <w:rPr>
        <w:rFonts w:ascii="Symbol" w:hAnsi="Symbol" w:hint="default"/>
      </w:rPr>
    </w:lvl>
    <w:lvl w:ilvl="1" w:tplc="A90EEFF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770DD"/>
    <w:multiLevelType w:val="hybridMultilevel"/>
    <w:tmpl w:val="3B8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052"/>
    <w:multiLevelType w:val="hybridMultilevel"/>
    <w:tmpl w:val="D27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B0250"/>
    <w:multiLevelType w:val="multilevel"/>
    <w:tmpl w:val="AC606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4A90428"/>
    <w:multiLevelType w:val="hybridMultilevel"/>
    <w:tmpl w:val="BB9AA2CC"/>
    <w:lvl w:ilvl="0" w:tplc="F5CA0F04">
      <w:start w:val="1"/>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526BB"/>
    <w:multiLevelType w:val="hybridMultilevel"/>
    <w:tmpl w:val="11C4D0D8"/>
    <w:lvl w:ilvl="0" w:tplc="78560012">
      <w:numFmt w:val="bullet"/>
      <w:lvlText w:val="-"/>
      <w:lvlJc w:val="left"/>
      <w:pPr>
        <w:ind w:left="720" w:hanging="360"/>
      </w:pPr>
      <w:rPr>
        <w:rFonts w:ascii="Garamond" w:eastAsiaTheme="minorEastAsia"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A30B9"/>
    <w:multiLevelType w:val="hybridMultilevel"/>
    <w:tmpl w:val="EA5665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B253971"/>
    <w:multiLevelType w:val="hybridMultilevel"/>
    <w:tmpl w:val="92DC8E48"/>
    <w:lvl w:ilvl="0" w:tplc="8424E0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95F80"/>
    <w:multiLevelType w:val="hybridMultilevel"/>
    <w:tmpl w:val="D3946CAC"/>
    <w:lvl w:ilvl="0" w:tplc="6D82850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F24149A"/>
    <w:multiLevelType w:val="hybridMultilevel"/>
    <w:tmpl w:val="ADF07560"/>
    <w:lvl w:ilvl="0" w:tplc="644AD1F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4C32FC"/>
    <w:multiLevelType w:val="hybridMultilevel"/>
    <w:tmpl w:val="DC90011E"/>
    <w:lvl w:ilvl="0" w:tplc="0B94933E">
      <w:start w:val="1"/>
      <w:numFmt w:val="decimal"/>
      <w:pStyle w:val="BodyText"/>
      <w:lvlText w:val="%1."/>
      <w:lvlJc w:val="lef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2"/>
        <w:szCs w:val="22"/>
        <w:u w:val="none"/>
        <w:effect w:val="none"/>
        <w:vertAlign w:val="baseline"/>
        <w:em w:val="none"/>
        <w:specVanish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4" w15:restartNumberingAfterBreak="0">
    <w:nsid w:val="74925AEA"/>
    <w:multiLevelType w:val="hybridMultilevel"/>
    <w:tmpl w:val="C9623336"/>
    <w:lvl w:ilvl="0" w:tplc="F9E457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F94A97"/>
    <w:multiLevelType w:val="hybridMultilevel"/>
    <w:tmpl w:val="A46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2297B"/>
    <w:multiLevelType w:val="hybridMultilevel"/>
    <w:tmpl w:val="C5C0FF6C"/>
    <w:lvl w:ilvl="0" w:tplc="9B988250">
      <w:start w:val="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0553E"/>
    <w:multiLevelType w:val="hybridMultilevel"/>
    <w:tmpl w:val="842C0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477A0C"/>
    <w:multiLevelType w:val="hybridMultilevel"/>
    <w:tmpl w:val="DB526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4584A"/>
    <w:multiLevelType w:val="hybridMultilevel"/>
    <w:tmpl w:val="2F961E54"/>
    <w:lvl w:ilvl="0" w:tplc="D07A93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3"/>
  </w:num>
  <w:num w:numId="5">
    <w:abstractNumId w:val="35"/>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5"/>
  </w:num>
  <w:num w:numId="17">
    <w:abstractNumId w:val="23"/>
  </w:num>
  <w:num w:numId="18">
    <w:abstractNumId w:val="31"/>
  </w:num>
  <w:num w:numId="19">
    <w:abstractNumId w:val="4"/>
  </w:num>
  <w:num w:numId="20">
    <w:abstractNumId w:val="27"/>
  </w:num>
  <w:num w:numId="21">
    <w:abstractNumId w:val="19"/>
  </w:num>
  <w:num w:numId="22">
    <w:abstractNumId w:val="18"/>
  </w:num>
  <w:num w:numId="23">
    <w:abstractNumId w:val="19"/>
    <w:lvlOverride w:ilvl="0">
      <w:startOverride w:val="1"/>
    </w:lvlOverride>
  </w:num>
  <w:num w:numId="24">
    <w:abstractNumId w:val="28"/>
  </w:num>
  <w:num w:numId="25">
    <w:abstractNumId w:val="13"/>
  </w:num>
  <w:num w:numId="26">
    <w:abstractNumId w:val="12"/>
  </w:num>
  <w:num w:numId="27">
    <w:abstractNumId w:val="32"/>
  </w:num>
  <w:num w:numId="28">
    <w:abstractNumId w:val="3"/>
  </w:num>
  <w:num w:numId="29">
    <w:abstractNumId w:val="30"/>
  </w:num>
  <w:num w:numId="30">
    <w:abstractNumId w:val="38"/>
  </w:num>
  <w:num w:numId="31">
    <w:abstractNumId w:val="8"/>
  </w:num>
  <w:num w:numId="32">
    <w:abstractNumId w:val="39"/>
  </w:num>
  <w:num w:numId="33">
    <w:abstractNumId w:val="14"/>
  </w:num>
  <w:num w:numId="34">
    <w:abstractNumId w:val="2"/>
  </w:num>
  <w:num w:numId="35">
    <w:abstractNumId w:val="7"/>
  </w:num>
  <w:num w:numId="36">
    <w:abstractNumId w:val="9"/>
  </w:num>
  <w:num w:numId="37">
    <w:abstractNumId w:val="6"/>
  </w:num>
  <w:num w:numId="38">
    <w:abstractNumId w:val="21"/>
  </w:num>
  <w:num w:numId="39">
    <w:abstractNumId w:val="34"/>
  </w:num>
  <w:num w:numId="40">
    <w:abstractNumId w:val="29"/>
  </w:num>
  <w:num w:numId="41">
    <w:abstractNumId w:val="20"/>
  </w:num>
  <w:num w:numId="42">
    <w:abstractNumId w:val="16"/>
  </w:num>
  <w:num w:numId="43">
    <w:abstractNumId w:val="36"/>
  </w:num>
  <w:num w:numId="44">
    <w:abstractNumId w:val="5"/>
  </w:num>
  <w:num w:numId="45">
    <w:abstractNumId w:val="37"/>
  </w:num>
  <w:num w:numId="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yM7Q0Mzc1NbY0tDRS0lEKTi0uzszPAykwrQUAE9T/UiwAAAA="/>
  </w:docVars>
  <w:rsids>
    <w:rsidRoot w:val="00C42BE9"/>
    <w:rsid w:val="00001F59"/>
    <w:rsid w:val="00002177"/>
    <w:rsid w:val="00003824"/>
    <w:rsid w:val="000062AD"/>
    <w:rsid w:val="00006A0F"/>
    <w:rsid w:val="0001188F"/>
    <w:rsid w:val="0001381D"/>
    <w:rsid w:val="00013980"/>
    <w:rsid w:val="00013B97"/>
    <w:rsid w:val="00014F31"/>
    <w:rsid w:val="0001571A"/>
    <w:rsid w:val="0001676F"/>
    <w:rsid w:val="000171E7"/>
    <w:rsid w:val="0001788C"/>
    <w:rsid w:val="00017FF5"/>
    <w:rsid w:val="00020C29"/>
    <w:rsid w:val="000222BA"/>
    <w:rsid w:val="00024C27"/>
    <w:rsid w:val="00024CAF"/>
    <w:rsid w:val="00030420"/>
    <w:rsid w:val="00030AAD"/>
    <w:rsid w:val="00030D41"/>
    <w:rsid w:val="000315C4"/>
    <w:rsid w:val="00031DE7"/>
    <w:rsid w:val="00031E43"/>
    <w:rsid w:val="00031E82"/>
    <w:rsid w:val="00031E9B"/>
    <w:rsid w:val="000349F3"/>
    <w:rsid w:val="00034EF1"/>
    <w:rsid w:val="00035D1F"/>
    <w:rsid w:val="00036C97"/>
    <w:rsid w:val="00036E6F"/>
    <w:rsid w:val="00037565"/>
    <w:rsid w:val="000411D8"/>
    <w:rsid w:val="00041345"/>
    <w:rsid w:val="00041437"/>
    <w:rsid w:val="00042725"/>
    <w:rsid w:val="00042941"/>
    <w:rsid w:val="00043233"/>
    <w:rsid w:val="000443C2"/>
    <w:rsid w:val="00046527"/>
    <w:rsid w:val="00046808"/>
    <w:rsid w:val="000469D2"/>
    <w:rsid w:val="00047F02"/>
    <w:rsid w:val="000549E4"/>
    <w:rsid w:val="00056DFF"/>
    <w:rsid w:val="00060715"/>
    <w:rsid w:val="00060F2F"/>
    <w:rsid w:val="00062799"/>
    <w:rsid w:val="000627FD"/>
    <w:rsid w:val="00062BAA"/>
    <w:rsid w:val="000632AA"/>
    <w:rsid w:val="000649BB"/>
    <w:rsid w:val="00064E3C"/>
    <w:rsid w:val="00065938"/>
    <w:rsid w:val="00066051"/>
    <w:rsid w:val="000668FD"/>
    <w:rsid w:val="00067BDD"/>
    <w:rsid w:val="00067EE1"/>
    <w:rsid w:val="00072640"/>
    <w:rsid w:val="00074353"/>
    <w:rsid w:val="000754A1"/>
    <w:rsid w:val="00077D38"/>
    <w:rsid w:val="00080D9B"/>
    <w:rsid w:val="000810A5"/>
    <w:rsid w:val="00081BD5"/>
    <w:rsid w:val="0008337C"/>
    <w:rsid w:val="000840F4"/>
    <w:rsid w:val="000844AD"/>
    <w:rsid w:val="00084508"/>
    <w:rsid w:val="00085762"/>
    <w:rsid w:val="00085B3D"/>
    <w:rsid w:val="00086B37"/>
    <w:rsid w:val="000876E1"/>
    <w:rsid w:val="00090B0B"/>
    <w:rsid w:val="00091A46"/>
    <w:rsid w:val="000933D3"/>
    <w:rsid w:val="00093BDF"/>
    <w:rsid w:val="00094203"/>
    <w:rsid w:val="00094744"/>
    <w:rsid w:val="0009557F"/>
    <w:rsid w:val="0009647C"/>
    <w:rsid w:val="00097C81"/>
    <w:rsid w:val="000A10B8"/>
    <w:rsid w:val="000A2031"/>
    <w:rsid w:val="000A2587"/>
    <w:rsid w:val="000A2669"/>
    <w:rsid w:val="000A28D3"/>
    <w:rsid w:val="000A39C6"/>
    <w:rsid w:val="000A584F"/>
    <w:rsid w:val="000B0E71"/>
    <w:rsid w:val="000B1877"/>
    <w:rsid w:val="000B1A76"/>
    <w:rsid w:val="000B1F6B"/>
    <w:rsid w:val="000B2BBA"/>
    <w:rsid w:val="000B3241"/>
    <w:rsid w:val="000B528A"/>
    <w:rsid w:val="000B6137"/>
    <w:rsid w:val="000B6BC9"/>
    <w:rsid w:val="000C12E7"/>
    <w:rsid w:val="000C1325"/>
    <w:rsid w:val="000C1B95"/>
    <w:rsid w:val="000C1EFA"/>
    <w:rsid w:val="000C2DF0"/>
    <w:rsid w:val="000C353C"/>
    <w:rsid w:val="000C44B4"/>
    <w:rsid w:val="000C4A31"/>
    <w:rsid w:val="000C52E7"/>
    <w:rsid w:val="000C6CA1"/>
    <w:rsid w:val="000D000D"/>
    <w:rsid w:val="000D100C"/>
    <w:rsid w:val="000D114C"/>
    <w:rsid w:val="000D16CC"/>
    <w:rsid w:val="000D3597"/>
    <w:rsid w:val="000D3631"/>
    <w:rsid w:val="000D4901"/>
    <w:rsid w:val="000D570C"/>
    <w:rsid w:val="000D575D"/>
    <w:rsid w:val="000D5907"/>
    <w:rsid w:val="000D709C"/>
    <w:rsid w:val="000D7851"/>
    <w:rsid w:val="000E0028"/>
    <w:rsid w:val="000E05CB"/>
    <w:rsid w:val="000E1472"/>
    <w:rsid w:val="000E2537"/>
    <w:rsid w:val="000E282A"/>
    <w:rsid w:val="000E31DA"/>
    <w:rsid w:val="000E4225"/>
    <w:rsid w:val="000E4B1B"/>
    <w:rsid w:val="000F3306"/>
    <w:rsid w:val="000F3983"/>
    <w:rsid w:val="000F3FB0"/>
    <w:rsid w:val="000F41D0"/>
    <w:rsid w:val="000F4227"/>
    <w:rsid w:val="000F4F5D"/>
    <w:rsid w:val="000F56D7"/>
    <w:rsid w:val="00101B6A"/>
    <w:rsid w:val="00101E40"/>
    <w:rsid w:val="00103381"/>
    <w:rsid w:val="0010367A"/>
    <w:rsid w:val="001036F9"/>
    <w:rsid w:val="001047EB"/>
    <w:rsid w:val="00104D71"/>
    <w:rsid w:val="00105132"/>
    <w:rsid w:val="001051B2"/>
    <w:rsid w:val="001053A8"/>
    <w:rsid w:val="001054E9"/>
    <w:rsid w:val="00105F27"/>
    <w:rsid w:val="00110324"/>
    <w:rsid w:val="00110563"/>
    <w:rsid w:val="001121CE"/>
    <w:rsid w:val="001135A2"/>
    <w:rsid w:val="00113FD2"/>
    <w:rsid w:val="001141A3"/>
    <w:rsid w:val="00114A1D"/>
    <w:rsid w:val="00115069"/>
    <w:rsid w:val="00115244"/>
    <w:rsid w:val="00115EF6"/>
    <w:rsid w:val="00116D86"/>
    <w:rsid w:val="00116E9D"/>
    <w:rsid w:val="00121E66"/>
    <w:rsid w:val="001234EC"/>
    <w:rsid w:val="00125787"/>
    <w:rsid w:val="00127468"/>
    <w:rsid w:val="001303BE"/>
    <w:rsid w:val="00133133"/>
    <w:rsid w:val="0013450C"/>
    <w:rsid w:val="001346D4"/>
    <w:rsid w:val="001346F8"/>
    <w:rsid w:val="001351A5"/>
    <w:rsid w:val="001357CA"/>
    <w:rsid w:val="00136EF5"/>
    <w:rsid w:val="00137422"/>
    <w:rsid w:val="001413F7"/>
    <w:rsid w:val="001427EB"/>
    <w:rsid w:val="00143733"/>
    <w:rsid w:val="00143D08"/>
    <w:rsid w:val="001446A1"/>
    <w:rsid w:val="00144C4B"/>
    <w:rsid w:val="0014560E"/>
    <w:rsid w:val="001476E6"/>
    <w:rsid w:val="00147863"/>
    <w:rsid w:val="00147FF0"/>
    <w:rsid w:val="001505E3"/>
    <w:rsid w:val="00153590"/>
    <w:rsid w:val="0015488A"/>
    <w:rsid w:val="00155328"/>
    <w:rsid w:val="00155420"/>
    <w:rsid w:val="00155F60"/>
    <w:rsid w:val="00156467"/>
    <w:rsid w:val="00157DD6"/>
    <w:rsid w:val="00160196"/>
    <w:rsid w:val="00162A28"/>
    <w:rsid w:val="0016312B"/>
    <w:rsid w:val="00163F69"/>
    <w:rsid w:val="00165A6E"/>
    <w:rsid w:val="00165ABB"/>
    <w:rsid w:val="001672FB"/>
    <w:rsid w:val="00167658"/>
    <w:rsid w:val="00167C03"/>
    <w:rsid w:val="00167FE7"/>
    <w:rsid w:val="0017324C"/>
    <w:rsid w:val="001735D0"/>
    <w:rsid w:val="001737FE"/>
    <w:rsid w:val="00174A0F"/>
    <w:rsid w:val="00175ADD"/>
    <w:rsid w:val="0018030F"/>
    <w:rsid w:val="001803D3"/>
    <w:rsid w:val="00181859"/>
    <w:rsid w:val="00181A2C"/>
    <w:rsid w:val="00183E74"/>
    <w:rsid w:val="001840A7"/>
    <w:rsid w:val="00186AA4"/>
    <w:rsid w:val="00186E01"/>
    <w:rsid w:val="00187574"/>
    <w:rsid w:val="00187F78"/>
    <w:rsid w:val="0019002E"/>
    <w:rsid w:val="001908C3"/>
    <w:rsid w:val="00191376"/>
    <w:rsid w:val="00192A94"/>
    <w:rsid w:val="0019330E"/>
    <w:rsid w:val="00194242"/>
    <w:rsid w:val="00194F3A"/>
    <w:rsid w:val="00194FAB"/>
    <w:rsid w:val="00195CF9"/>
    <w:rsid w:val="00196414"/>
    <w:rsid w:val="001972AA"/>
    <w:rsid w:val="0019744D"/>
    <w:rsid w:val="00197D8A"/>
    <w:rsid w:val="001A4092"/>
    <w:rsid w:val="001A4DE3"/>
    <w:rsid w:val="001A503B"/>
    <w:rsid w:val="001B0131"/>
    <w:rsid w:val="001B019A"/>
    <w:rsid w:val="001B209C"/>
    <w:rsid w:val="001B3F95"/>
    <w:rsid w:val="001B4371"/>
    <w:rsid w:val="001B5A8B"/>
    <w:rsid w:val="001B6EE7"/>
    <w:rsid w:val="001B6F07"/>
    <w:rsid w:val="001B7335"/>
    <w:rsid w:val="001B755E"/>
    <w:rsid w:val="001C0781"/>
    <w:rsid w:val="001C180D"/>
    <w:rsid w:val="001C2412"/>
    <w:rsid w:val="001C285F"/>
    <w:rsid w:val="001C34E4"/>
    <w:rsid w:val="001C44CF"/>
    <w:rsid w:val="001C5FDD"/>
    <w:rsid w:val="001C60EC"/>
    <w:rsid w:val="001C685A"/>
    <w:rsid w:val="001D04CC"/>
    <w:rsid w:val="001D0869"/>
    <w:rsid w:val="001D0A96"/>
    <w:rsid w:val="001D1794"/>
    <w:rsid w:val="001D27EA"/>
    <w:rsid w:val="001D2A3D"/>
    <w:rsid w:val="001D3C61"/>
    <w:rsid w:val="001D431B"/>
    <w:rsid w:val="001D5081"/>
    <w:rsid w:val="001D6963"/>
    <w:rsid w:val="001D6AB3"/>
    <w:rsid w:val="001D6B21"/>
    <w:rsid w:val="001D6B99"/>
    <w:rsid w:val="001D6C25"/>
    <w:rsid w:val="001D6CAB"/>
    <w:rsid w:val="001E0D05"/>
    <w:rsid w:val="001E171B"/>
    <w:rsid w:val="001E1BC5"/>
    <w:rsid w:val="001E1C72"/>
    <w:rsid w:val="001E29FE"/>
    <w:rsid w:val="001E4327"/>
    <w:rsid w:val="001E4593"/>
    <w:rsid w:val="001E5208"/>
    <w:rsid w:val="001E52F7"/>
    <w:rsid w:val="001E55AC"/>
    <w:rsid w:val="001E66BD"/>
    <w:rsid w:val="001E6E22"/>
    <w:rsid w:val="001E7821"/>
    <w:rsid w:val="001F061A"/>
    <w:rsid w:val="001F1368"/>
    <w:rsid w:val="001F1AFF"/>
    <w:rsid w:val="001F2277"/>
    <w:rsid w:val="001F2E06"/>
    <w:rsid w:val="001F2E7C"/>
    <w:rsid w:val="001F37B6"/>
    <w:rsid w:val="001F38C9"/>
    <w:rsid w:val="001F47FF"/>
    <w:rsid w:val="001F6B83"/>
    <w:rsid w:val="0020073B"/>
    <w:rsid w:val="0020102B"/>
    <w:rsid w:val="002012C8"/>
    <w:rsid w:val="00203134"/>
    <w:rsid w:val="00203442"/>
    <w:rsid w:val="00203B75"/>
    <w:rsid w:val="00204FA5"/>
    <w:rsid w:val="0020601F"/>
    <w:rsid w:val="002062EA"/>
    <w:rsid w:val="00206577"/>
    <w:rsid w:val="002070FA"/>
    <w:rsid w:val="002078F6"/>
    <w:rsid w:val="00207FE7"/>
    <w:rsid w:val="00210224"/>
    <w:rsid w:val="002102A7"/>
    <w:rsid w:val="00213246"/>
    <w:rsid w:val="00213F77"/>
    <w:rsid w:val="00214942"/>
    <w:rsid w:val="00214EE1"/>
    <w:rsid w:val="00214F61"/>
    <w:rsid w:val="00215884"/>
    <w:rsid w:val="00216B8B"/>
    <w:rsid w:val="00216D74"/>
    <w:rsid w:val="0021731F"/>
    <w:rsid w:val="002200C4"/>
    <w:rsid w:val="00220489"/>
    <w:rsid w:val="0022114B"/>
    <w:rsid w:val="00222C33"/>
    <w:rsid w:val="002234AD"/>
    <w:rsid w:val="002236AE"/>
    <w:rsid w:val="00224262"/>
    <w:rsid w:val="00224935"/>
    <w:rsid w:val="00224D73"/>
    <w:rsid w:val="00225B39"/>
    <w:rsid w:val="00225E9B"/>
    <w:rsid w:val="00226601"/>
    <w:rsid w:val="0022664C"/>
    <w:rsid w:val="00227D09"/>
    <w:rsid w:val="00227E6E"/>
    <w:rsid w:val="002306A4"/>
    <w:rsid w:val="00230FEA"/>
    <w:rsid w:val="002317A3"/>
    <w:rsid w:val="00232B24"/>
    <w:rsid w:val="00233C0A"/>
    <w:rsid w:val="00234265"/>
    <w:rsid w:val="00234FFF"/>
    <w:rsid w:val="002352F5"/>
    <w:rsid w:val="00235408"/>
    <w:rsid w:val="00235835"/>
    <w:rsid w:val="00235E67"/>
    <w:rsid w:val="00236B17"/>
    <w:rsid w:val="002411DC"/>
    <w:rsid w:val="00241886"/>
    <w:rsid w:val="00243BDC"/>
    <w:rsid w:val="00243F74"/>
    <w:rsid w:val="00245C4D"/>
    <w:rsid w:val="00246CCF"/>
    <w:rsid w:val="0024746B"/>
    <w:rsid w:val="002502BE"/>
    <w:rsid w:val="0025203E"/>
    <w:rsid w:val="00252509"/>
    <w:rsid w:val="00254F63"/>
    <w:rsid w:val="002553E2"/>
    <w:rsid w:val="00255762"/>
    <w:rsid w:val="00255F75"/>
    <w:rsid w:val="0025770E"/>
    <w:rsid w:val="00261D23"/>
    <w:rsid w:val="00262164"/>
    <w:rsid w:val="00262D3D"/>
    <w:rsid w:val="00264037"/>
    <w:rsid w:val="00264D71"/>
    <w:rsid w:val="002657BE"/>
    <w:rsid w:val="00265A1F"/>
    <w:rsid w:val="00266E90"/>
    <w:rsid w:val="00267781"/>
    <w:rsid w:val="002709A4"/>
    <w:rsid w:val="00271762"/>
    <w:rsid w:val="00272979"/>
    <w:rsid w:val="0027429D"/>
    <w:rsid w:val="002754F5"/>
    <w:rsid w:val="00275D87"/>
    <w:rsid w:val="00275DA0"/>
    <w:rsid w:val="00275E5B"/>
    <w:rsid w:val="00276406"/>
    <w:rsid w:val="002777DC"/>
    <w:rsid w:val="0027789D"/>
    <w:rsid w:val="00282438"/>
    <w:rsid w:val="0028345F"/>
    <w:rsid w:val="0028368C"/>
    <w:rsid w:val="00286905"/>
    <w:rsid w:val="002875C1"/>
    <w:rsid w:val="00287FC0"/>
    <w:rsid w:val="0029012D"/>
    <w:rsid w:val="00290979"/>
    <w:rsid w:val="00290D7D"/>
    <w:rsid w:val="00291B73"/>
    <w:rsid w:val="00292927"/>
    <w:rsid w:val="002942C5"/>
    <w:rsid w:val="002947C5"/>
    <w:rsid w:val="00294C4B"/>
    <w:rsid w:val="00294DC4"/>
    <w:rsid w:val="00296B96"/>
    <w:rsid w:val="00296DE7"/>
    <w:rsid w:val="002A005C"/>
    <w:rsid w:val="002A098C"/>
    <w:rsid w:val="002A146D"/>
    <w:rsid w:val="002A14D7"/>
    <w:rsid w:val="002A1CE9"/>
    <w:rsid w:val="002A1E59"/>
    <w:rsid w:val="002A36A2"/>
    <w:rsid w:val="002A44EC"/>
    <w:rsid w:val="002A4E9D"/>
    <w:rsid w:val="002A5B2A"/>
    <w:rsid w:val="002A6B9C"/>
    <w:rsid w:val="002A6BD8"/>
    <w:rsid w:val="002A70F4"/>
    <w:rsid w:val="002B04C1"/>
    <w:rsid w:val="002B1196"/>
    <w:rsid w:val="002B294B"/>
    <w:rsid w:val="002B2A95"/>
    <w:rsid w:val="002B34A3"/>
    <w:rsid w:val="002B5C08"/>
    <w:rsid w:val="002B5DA1"/>
    <w:rsid w:val="002B7EF4"/>
    <w:rsid w:val="002C0213"/>
    <w:rsid w:val="002C0C3A"/>
    <w:rsid w:val="002C1AE0"/>
    <w:rsid w:val="002C2CBE"/>
    <w:rsid w:val="002C7E02"/>
    <w:rsid w:val="002D2D35"/>
    <w:rsid w:val="002D3A76"/>
    <w:rsid w:val="002D4184"/>
    <w:rsid w:val="002D5CBE"/>
    <w:rsid w:val="002D69FE"/>
    <w:rsid w:val="002D6D13"/>
    <w:rsid w:val="002D781C"/>
    <w:rsid w:val="002E2159"/>
    <w:rsid w:val="002E2BFD"/>
    <w:rsid w:val="002E3F19"/>
    <w:rsid w:val="002E6F77"/>
    <w:rsid w:val="002E7B83"/>
    <w:rsid w:val="002F0436"/>
    <w:rsid w:val="002F0EE8"/>
    <w:rsid w:val="002F12A1"/>
    <w:rsid w:val="002F13FB"/>
    <w:rsid w:val="002F321C"/>
    <w:rsid w:val="002F35F4"/>
    <w:rsid w:val="002F3B47"/>
    <w:rsid w:val="002F3F09"/>
    <w:rsid w:val="002F4F81"/>
    <w:rsid w:val="00301193"/>
    <w:rsid w:val="0030182D"/>
    <w:rsid w:val="003019F7"/>
    <w:rsid w:val="003030F2"/>
    <w:rsid w:val="00305D99"/>
    <w:rsid w:val="003064BC"/>
    <w:rsid w:val="0030680D"/>
    <w:rsid w:val="003069B7"/>
    <w:rsid w:val="00306D76"/>
    <w:rsid w:val="003075BE"/>
    <w:rsid w:val="003114A5"/>
    <w:rsid w:val="00311F24"/>
    <w:rsid w:val="00312969"/>
    <w:rsid w:val="00313443"/>
    <w:rsid w:val="00313D95"/>
    <w:rsid w:val="003151CA"/>
    <w:rsid w:val="00316E46"/>
    <w:rsid w:val="003173FB"/>
    <w:rsid w:val="0031787D"/>
    <w:rsid w:val="00320987"/>
    <w:rsid w:val="00320D4B"/>
    <w:rsid w:val="00321884"/>
    <w:rsid w:val="00321C81"/>
    <w:rsid w:val="0032283A"/>
    <w:rsid w:val="003229B6"/>
    <w:rsid w:val="003233A2"/>
    <w:rsid w:val="00324691"/>
    <w:rsid w:val="00324969"/>
    <w:rsid w:val="00325172"/>
    <w:rsid w:val="003275AF"/>
    <w:rsid w:val="00327B55"/>
    <w:rsid w:val="00331D37"/>
    <w:rsid w:val="00333C24"/>
    <w:rsid w:val="003369ED"/>
    <w:rsid w:val="00336FA9"/>
    <w:rsid w:val="00337026"/>
    <w:rsid w:val="00337084"/>
    <w:rsid w:val="003376FA"/>
    <w:rsid w:val="00340E4E"/>
    <w:rsid w:val="00341A6A"/>
    <w:rsid w:val="00341F8A"/>
    <w:rsid w:val="0034203D"/>
    <w:rsid w:val="003421DF"/>
    <w:rsid w:val="0034224F"/>
    <w:rsid w:val="003442BB"/>
    <w:rsid w:val="00344400"/>
    <w:rsid w:val="00352200"/>
    <w:rsid w:val="00353171"/>
    <w:rsid w:val="00353186"/>
    <w:rsid w:val="003545CD"/>
    <w:rsid w:val="003575BE"/>
    <w:rsid w:val="00361392"/>
    <w:rsid w:val="00361919"/>
    <w:rsid w:val="00362261"/>
    <w:rsid w:val="00363210"/>
    <w:rsid w:val="003637D8"/>
    <w:rsid w:val="0036772A"/>
    <w:rsid w:val="003714AA"/>
    <w:rsid w:val="003718D3"/>
    <w:rsid w:val="003728D1"/>
    <w:rsid w:val="003735C9"/>
    <w:rsid w:val="003736BC"/>
    <w:rsid w:val="00373F83"/>
    <w:rsid w:val="003746A7"/>
    <w:rsid w:val="003757B6"/>
    <w:rsid w:val="00375F6E"/>
    <w:rsid w:val="003760D6"/>
    <w:rsid w:val="00376372"/>
    <w:rsid w:val="003806D5"/>
    <w:rsid w:val="00382194"/>
    <w:rsid w:val="003822F0"/>
    <w:rsid w:val="003827AC"/>
    <w:rsid w:val="003833B0"/>
    <w:rsid w:val="00383588"/>
    <w:rsid w:val="00384E07"/>
    <w:rsid w:val="003857D8"/>
    <w:rsid w:val="00387C31"/>
    <w:rsid w:val="003903FA"/>
    <w:rsid w:val="00390A35"/>
    <w:rsid w:val="00391728"/>
    <w:rsid w:val="003919C8"/>
    <w:rsid w:val="0039254B"/>
    <w:rsid w:val="00394B9E"/>
    <w:rsid w:val="00397D87"/>
    <w:rsid w:val="003A01F3"/>
    <w:rsid w:val="003A0474"/>
    <w:rsid w:val="003A0C53"/>
    <w:rsid w:val="003A0F03"/>
    <w:rsid w:val="003A44C5"/>
    <w:rsid w:val="003A5872"/>
    <w:rsid w:val="003A7F07"/>
    <w:rsid w:val="003B0003"/>
    <w:rsid w:val="003B09F7"/>
    <w:rsid w:val="003B1184"/>
    <w:rsid w:val="003B15F3"/>
    <w:rsid w:val="003B2E86"/>
    <w:rsid w:val="003B3151"/>
    <w:rsid w:val="003B3EC4"/>
    <w:rsid w:val="003B5E70"/>
    <w:rsid w:val="003B673A"/>
    <w:rsid w:val="003C11E4"/>
    <w:rsid w:val="003C5367"/>
    <w:rsid w:val="003C6F2C"/>
    <w:rsid w:val="003D09D8"/>
    <w:rsid w:val="003D2F5D"/>
    <w:rsid w:val="003D6E53"/>
    <w:rsid w:val="003E122C"/>
    <w:rsid w:val="003E15CB"/>
    <w:rsid w:val="003E3123"/>
    <w:rsid w:val="003E464A"/>
    <w:rsid w:val="003E4D96"/>
    <w:rsid w:val="003E50F3"/>
    <w:rsid w:val="003E67F3"/>
    <w:rsid w:val="003E7DCE"/>
    <w:rsid w:val="003F0DC2"/>
    <w:rsid w:val="003F1126"/>
    <w:rsid w:val="003F1BCD"/>
    <w:rsid w:val="003F27E2"/>
    <w:rsid w:val="003F2A5B"/>
    <w:rsid w:val="003F48A5"/>
    <w:rsid w:val="003F7932"/>
    <w:rsid w:val="003F7BA4"/>
    <w:rsid w:val="0040100C"/>
    <w:rsid w:val="004021A2"/>
    <w:rsid w:val="00403C81"/>
    <w:rsid w:val="00404C26"/>
    <w:rsid w:val="00410E80"/>
    <w:rsid w:val="00411598"/>
    <w:rsid w:val="0041180B"/>
    <w:rsid w:val="00411935"/>
    <w:rsid w:val="0041242C"/>
    <w:rsid w:val="004135C6"/>
    <w:rsid w:val="0041372F"/>
    <w:rsid w:val="00413E8B"/>
    <w:rsid w:val="00415A44"/>
    <w:rsid w:val="00415F7C"/>
    <w:rsid w:val="00416204"/>
    <w:rsid w:val="004170F2"/>
    <w:rsid w:val="0041729F"/>
    <w:rsid w:val="0041746D"/>
    <w:rsid w:val="004179D7"/>
    <w:rsid w:val="00417D55"/>
    <w:rsid w:val="0042100A"/>
    <w:rsid w:val="0042233A"/>
    <w:rsid w:val="00424320"/>
    <w:rsid w:val="00425813"/>
    <w:rsid w:val="00425B28"/>
    <w:rsid w:val="0042739C"/>
    <w:rsid w:val="00430605"/>
    <w:rsid w:val="00430A22"/>
    <w:rsid w:val="0043405E"/>
    <w:rsid w:val="004345BD"/>
    <w:rsid w:val="00434D2B"/>
    <w:rsid w:val="00435FC5"/>
    <w:rsid w:val="0043706E"/>
    <w:rsid w:val="0043728B"/>
    <w:rsid w:val="00437460"/>
    <w:rsid w:val="00443925"/>
    <w:rsid w:val="004467FE"/>
    <w:rsid w:val="004478E8"/>
    <w:rsid w:val="004479AC"/>
    <w:rsid w:val="00447A7F"/>
    <w:rsid w:val="004500E4"/>
    <w:rsid w:val="00450EC8"/>
    <w:rsid w:val="0045142C"/>
    <w:rsid w:val="00452926"/>
    <w:rsid w:val="00453A1A"/>
    <w:rsid w:val="00454A94"/>
    <w:rsid w:val="00455110"/>
    <w:rsid w:val="004551F1"/>
    <w:rsid w:val="00455D05"/>
    <w:rsid w:val="00455E2F"/>
    <w:rsid w:val="00456D73"/>
    <w:rsid w:val="00457214"/>
    <w:rsid w:val="0046083E"/>
    <w:rsid w:val="004619C8"/>
    <w:rsid w:val="00462AAD"/>
    <w:rsid w:val="004630C0"/>
    <w:rsid w:val="004653D0"/>
    <w:rsid w:val="00465AAB"/>
    <w:rsid w:val="00470D86"/>
    <w:rsid w:val="0047177A"/>
    <w:rsid w:val="00472462"/>
    <w:rsid w:val="00472E91"/>
    <w:rsid w:val="0047310A"/>
    <w:rsid w:val="0047326C"/>
    <w:rsid w:val="0047354D"/>
    <w:rsid w:val="004735C4"/>
    <w:rsid w:val="0047379A"/>
    <w:rsid w:val="00473E18"/>
    <w:rsid w:val="00474692"/>
    <w:rsid w:val="004750F0"/>
    <w:rsid w:val="004765BA"/>
    <w:rsid w:val="00477734"/>
    <w:rsid w:val="004809A4"/>
    <w:rsid w:val="00480EC5"/>
    <w:rsid w:val="0048112A"/>
    <w:rsid w:val="00481C88"/>
    <w:rsid w:val="004820D7"/>
    <w:rsid w:val="00482653"/>
    <w:rsid w:val="004851CB"/>
    <w:rsid w:val="00486864"/>
    <w:rsid w:val="00490920"/>
    <w:rsid w:val="00491426"/>
    <w:rsid w:val="004918F1"/>
    <w:rsid w:val="00491DD3"/>
    <w:rsid w:val="00491F10"/>
    <w:rsid w:val="0049358B"/>
    <w:rsid w:val="00493A62"/>
    <w:rsid w:val="004940B9"/>
    <w:rsid w:val="00494182"/>
    <w:rsid w:val="004955DA"/>
    <w:rsid w:val="004965F7"/>
    <w:rsid w:val="00496BDB"/>
    <w:rsid w:val="004975E2"/>
    <w:rsid w:val="00497824"/>
    <w:rsid w:val="004A0FBE"/>
    <w:rsid w:val="004A24D3"/>
    <w:rsid w:val="004A2E4F"/>
    <w:rsid w:val="004A3D77"/>
    <w:rsid w:val="004A46E2"/>
    <w:rsid w:val="004A5051"/>
    <w:rsid w:val="004A59D6"/>
    <w:rsid w:val="004A6D2C"/>
    <w:rsid w:val="004A742A"/>
    <w:rsid w:val="004B3AA7"/>
    <w:rsid w:val="004B41AD"/>
    <w:rsid w:val="004C0B77"/>
    <w:rsid w:val="004C104B"/>
    <w:rsid w:val="004C162B"/>
    <w:rsid w:val="004C4755"/>
    <w:rsid w:val="004C4C67"/>
    <w:rsid w:val="004C587F"/>
    <w:rsid w:val="004D176F"/>
    <w:rsid w:val="004D19C1"/>
    <w:rsid w:val="004D1EDF"/>
    <w:rsid w:val="004D2CBA"/>
    <w:rsid w:val="004D2F7F"/>
    <w:rsid w:val="004D3015"/>
    <w:rsid w:val="004D3583"/>
    <w:rsid w:val="004D37C2"/>
    <w:rsid w:val="004D46B4"/>
    <w:rsid w:val="004D6187"/>
    <w:rsid w:val="004D72DA"/>
    <w:rsid w:val="004D7396"/>
    <w:rsid w:val="004D7F68"/>
    <w:rsid w:val="004E0CF2"/>
    <w:rsid w:val="004E0DB5"/>
    <w:rsid w:val="004E0F37"/>
    <w:rsid w:val="004E1FB4"/>
    <w:rsid w:val="004E23B2"/>
    <w:rsid w:val="004E3AD3"/>
    <w:rsid w:val="004E400E"/>
    <w:rsid w:val="004E4F6A"/>
    <w:rsid w:val="004E5A89"/>
    <w:rsid w:val="004E7F3E"/>
    <w:rsid w:val="004F2803"/>
    <w:rsid w:val="004F435D"/>
    <w:rsid w:val="004F57D7"/>
    <w:rsid w:val="004F7B29"/>
    <w:rsid w:val="004F7C4E"/>
    <w:rsid w:val="00500E4E"/>
    <w:rsid w:val="0050156C"/>
    <w:rsid w:val="00504549"/>
    <w:rsid w:val="005046DE"/>
    <w:rsid w:val="005052A7"/>
    <w:rsid w:val="00505352"/>
    <w:rsid w:val="0050561F"/>
    <w:rsid w:val="005058BA"/>
    <w:rsid w:val="00505DB0"/>
    <w:rsid w:val="005062ED"/>
    <w:rsid w:val="00507D98"/>
    <w:rsid w:val="00510039"/>
    <w:rsid w:val="00512436"/>
    <w:rsid w:val="00512D95"/>
    <w:rsid w:val="00515745"/>
    <w:rsid w:val="00515BE7"/>
    <w:rsid w:val="00515DCB"/>
    <w:rsid w:val="00515E82"/>
    <w:rsid w:val="0051743D"/>
    <w:rsid w:val="00521F5E"/>
    <w:rsid w:val="00522551"/>
    <w:rsid w:val="00522A81"/>
    <w:rsid w:val="00522C1B"/>
    <w:rsid w:val="00523138"/>
    <w:rsid w:val="005233BC"/>
    <w:rsid w:val="00523DE8"/>
    <w:rsid w:val="00524291"/>
    <w:rsid w:val="00525491"/>
    <w:rsid w:val="005266D4"/>
    <w:rsid w:val="00526E02"/>
    <w:rsid w:val="0053148A"/>
    <w:rsid w:val="0053307D"/>
    <w:rsid w:val="0053312B"/>
    <w:rsid w:val="005335AC"/>
    <w:rsid w:val="00534760"/>
    <w:rsid w:val="005352F1"/>
    <w:rsid w:val="00535E4E"/>
    <w:rsid w:val="00536383"/>
    <w:rsid w:val="005368A1"/>
    <w:rsid w:val="00536EA2"/>
    <w:rsid w:val="00540989"/>
    <w:rsid w:val="00540A00"/>
    <w:rsid w:val="00540E2B"/>
    <w:rsid w:val="00541752"/>
    <w:rsid w:val="00543D4A"/>
    <w:rsid w:val="00547D3F"/>
    <w:rsid w:val="0055285C"/>
    <w:rsid w:val="00554950"/>
    <w:rsid w:val="00554C6D"/>
    <w:rsid w:val="00554F8B"/>
    <w:rsid w:val="00555785"/>
    <w:rsid w:val="005568CF"/>
    <w:rsid w:val="00556903"/>
    <w:rsid w:val="005621FF"/>
    <w:rsid w:val="005624D4"/>
    <w:rsid w:val="0056388C"/>
    <w:rsid w:val="00563990"/>
    <w:rsid w:val="00563E0B"/>
    <w:rsid w:val="00565039"/>
    <w:rsid w:val="00565415"/>
    <w:rsid w:val="005656BB"/>
    <w:rsid w:val="00566335"/>
    <w:rsid w:val="0056648E"/>
    <w:rsid w:val="00566C80"/>
    <w:rsid w:val="0056734E"/>
    <w:rsid w:val="0057019C"/>
    <w:rsid w:val="00570322"/>
    <w:rsid w:val="00570B0A"/>
    <w:rsid w:val="0057307C"/>
    <w:rsid w:val="00574356"/>
    <w:rsid w:val="005745F3"/>
    <w:rsid w:val="005746E9"/>
    <w:rsid w:val="005751E9"/>
    <w:rsid w:val="0057522D"/>
    <w:rsid w:val="00575F9F"/>
    <w:rsid w:val="00575FCD"/>
    <w:rsid w:val="0057657E"/>
    <w:rsid w:val="005772A0"/>
    <w:rsid w:val="00581174"/>
    <w:rsid w:val="0058131A"/>
    <w:rsid w:val="005844B0"/>
    <w:rsid w:val="00585FEA"/>
    <w:rsid w:val="00586020"/>
    <w:rsid w:val="00586785"/>
    <w:rsid w:val="00587227"/>
    <w:rsid w:val="00587E0F"/>
    <w:rsid w:val="005902C6"/>
    <w:rsid w:val="00590E9E"/>
    <w:rsid w:val="005913B4"/>
    <w:rsid w:val="00591CF0"/>
    <w:rsid w:val="005926E8"/>
    <w:rsid w:val="0059271B"/>
    <w:rsid w:val="00592966"/>
    <w:rsid w:val="00593F36"/>
    <w:rsid w:val="00594C71"/>
    <w:rsid w:val="00595522"/>
    <w:rsid w:val="00597053"/>
    <w:rsid w:val="00597581"/>
    <w:rsid w:val="005975C9"/>
    <w:rsid w:val="0059795D"/>
    <w:rsid w:val="00597D08"/>
    <w:rsid w:val="005A0785"/>
    <w:rsid w:val="005A22DF"/>
    <w:rsid w:val="005A53EF"/>
    <w:rsid w:val="005A5B73"/>
    <w:rsid w:val="005A7551"/>
    <w:rsid w:val="005B2732"/>
    <w:rsid w:val="005B2D0F"/>
    <w:rsid w:val="005B419F"/>
    <w:rsid w:val="005B4B3D"/>
    <w:rsid w:val="005B5C87"/>
    <w:rsid w:val="005B6C62"/>
    <w:rsid w:val="005B7615"/>
    <w:rsid w:val="005B7FA0"/>
    <w:rsid w:val="005C16C2"/>
    <w:rsid w:val="005C235A"/>
    <w:rsid w:val="005C2C1C"/>
    <w:rsid w:val="005C70DA"/>
    <w:rsid w:val="005C7339"/>
    <w:rsid w:val="005D0C34"/>
    <w:rsid w:val="005D0ED3"/>
    <w:rsid w:val="005D1185"/>
    <w:rsid w:val="005D156A"/>
    <w:rsid w:val="005D1F39"/>
    <w:rsid w:val="005D236F"/>
    <w:rsid w:val="005D4A21"/>
    <w:rsid w:val="005D50DC"/>
    <w:rsid w:val="005D516E"/>
    <w:rsid w:val="005D5570"/>
    <w:rsid w:val="005D5E53"/>
    <w:rsid w:val="005D645A"/>
    <w:rsid w:val="005E0132"/>
    <w:rsid w:val="005E231B"/>
    <w:rsid w:val="005E2EA5"/>
    <w:rsid w:val="005E326C"/>
    <w:rsid w:val="005E3393"/>
    <w:rsid w:val="005F057C"/>
    <w:rsid w:val="005F0654"/>
    <w:rsid w:val="005F0D43"/>
    <w:rsid w:val="005F1C6D"/>
    <w:rsid w:val="005F242B"/>
    <w:rsid w:val="005F348D"/>
    <w:rsid w:val="005F4093"/>
    <w:rsid w:val="005F4332"/>
    <w:rsid w:val="005F4797"/>
    <w:rsid w:val="005F4E7B"/>
    <w:rsid w:val="005F5336"/>
    <w:rsid w:val="005F5C66"/>
    <w:rsid w:val="005F6F3D"/>
    <w:rsid w:val="005F7450"/>
    <w:rsid w:val="00601EEC"/>
    <w:rsid w:val="006027E6"/>
    <w:rsid w:val="00602C58"/>
    <w:rsid w:val="00603E60"/>
    <w:rsid w:val="00603F36"/>
    <w:rsid w:val="00611109"/>
    <w:rsid w:val="00611590"/>
    <w:rsid w:val="00611AFE"/>
    <w:rsid w:val="006138C7"/>
    <w:rsid w:val="00613BB0"/>
    <w:rsid w:val="00614000"/>
    <w:rsid w:val="00615875"/>
    <w:rsid w:val="00616272"/>
    <w:rsid w:val="006168EE"/>
    <w:rsid w:val="00616EC2"/>
    <w:rsid w:val="00617162"/>
    <w:rsid w:val="00617A6C"/>
    <w:rsid w:val="006211B3"/>
    <w:rsid w:val="00621A47"/>
    <w:rsid w:val="00622BC7"/>
    <w:rsid w:val="0062447E"/>
    <w:rsid w:val="00624B12"/>
    <w:rsid w:val="00624E3D"/>
    <w:rsid w:val="00624FB8"/>
    <w:rsid w:val="00626726"/>
    <w:rsid w:val="00626828"/>
    <w:rsid w:val="0062728D"/>
    <w:rsid w:val="006318CB"/>
    <w:rsid w:val="00631AA6"/>
    <w:rsid w:val="00632C0A"/>
    <w:rsid w:val="00635B87"/>
    <w:rsid w:val="00635E84"/>
    <w:rsid w:val="006362DB"/>
    <w:rsid w:val="00637B64"/>
    <w:rsid w:val="00640662"/>
    <w:rsid w:val="00642F33"/>
    <w:rsid w:val="006431FC"/>
    <w:rsid w:val="00643702"/>
    <w:rsid w:val="00643BD0"/>
    <w:rsid w:val="006500EB"/>
    <w:rsid w:val="00650891"/>
    <w:rsid w:val="006508FB"/>
    <w:rsid w:val="0065099A"/>
    <w:rsid w:val="006512AD"/>
    <w:rsid w:val="006515AD"/>
    <w:rsid w:val="00652D54"/>
    <w:rsid w:val="00654F18"/>
    <w:rsid w:val="0065617C"/>
    <w:rsid w:val="00656BEA"/>
    <w:rsid w:val="00660581"/>
    <w:rsid w:val="0066168B"/>
    <w:rsid w:val="00661E9E"/>
    <w:rsid w:val="006621E1"/>
    <w:rsid w:val="00663774"/>
    <w:rsid w:val="006638E8"/>
    <w:rsid w:val="00665298"/>
    <w:rsid w:val="00666F78"/>
    <w:rsid w:val="00670426"/>
    <w:rsid w:val="006705F4"/>
    <w:rsid w:val="00672853"/>
    <w:rsid w:val="00674498"/>
    <w:rsid w:val="00674644"/>
    <w:rsid w:val="00674B83"/>
    <w:rsid w:val="006757F1"/>
    <w:rsid w:val="00676B2E"/>
    <w:rsid w:val="00677143"/>
    <w:rsid w:val="006825B4"/>
    <w:rsid w:val="006827C1"/>
    <w:rsid w:val="00683F8E"/>
    <w:rsid w:val="006851D8"/>
    <w:rsid w:val="00685419"/>
    <w:rsid w:val="006857FA"/>
    <w:rsid w:val="00685FB9"/>
    <w:rsid w:val="00686019"/>
    <w:rsid w:val="0068659E"/>
    <w:rsid w:val="00686E5C"/>
    <w:rsid w:val="00690265"/>
    <w:rsid w:val="0069085A"/>
    <w:rsid w:val="00691B18"/>
    <w:rsid w:val="00692669"/>
    <w:rsid w:val="0069348C"/>
    <w:rsid w:val="006934D2"/>
    <w:rsid w:val="0069615B"/>
    <w:rsid w:val="00696AC4"/>
    <w:rsid w:val="006970A9"/>
    <w:rsid w:val="006A0C95"/>
    <w:rsid w:val="006A1F78"/>
    <w:rsid w:val="006A2180"/>
    <w:rsid w:val="006A2B0E"/>
    <w:rsid w:val="006A3311"/>
    <w:rsid w:val="006A487A"/>
    <w:rsid w:val="006A49DC"/>
    <w:rsid w:val="006A576B"/>
    <w:rsid w:val="006A65C8"/>
    <w:rsid w:val="006A6773"/>
    <w:rsid w:val="006A6CCA"/>
    <w:rsid w:val="006A72ED"/>
    <w:rsid w:val="006B13E2"/>
    <w:rsid w:val="006B5053"/>
    <w:rsid w:val="006B541F"/>
    <w:rsid w:val="006B697B"/>
    <w:rsid w:val="006B721D"/>
    <w:rsid w:val="006B7A60"/>
    <w:rsid w:val="006C0046"/>
    <w:rsid w:val="006C11AE"/>
    <w:rsid w:val="006C1716"/>
    <w:rsid w:val="006C1814"/>
    <w:rsid w:val="006C3EED"/>
    <w:rsid w:val="006C405A"/>
    <w:rsid w:val="006C43CF"/>
    <w:rsid w:val="006C4FDF"/>
    <w:rsid w:val="006C5309"/>
    <w:rsid w:val="006C6A20"/>
    <w:rsid w:val="006C6C83"/>
    <w:rsid w:val="006C7392"/>
    <w:rsid w:val="006C76C1"/>
    <w:rsid w:val="006C7FCA"/>
    <w:rsid w:val="006D0052"/>
    <w:rsid w:val="006D27EA"/>
    <w:rsid w:val="006D38E6"/>
    <w:rsid w:val="006D406B"/>
    <w:rsid w:val="006D41FE"/>
    <w:rsid w:val="006D44FE"/>
    <w:rsid w:val="006D4A49"/>
    <w:rsid w:val="006D5261"/>
    <w:rsid w:val="006D5289"/>
    <w:rsid w:val="006D54E7"/>
    <w:rsid w:val="006D7623"/>
    <w:rsid w:val="006D7ABC"/>
    <w:rsid w:val="006E0579"/>
    <w:rsid w:val="006E0B3F"/>
    <w:rsid w:val="006E1C1F"/>
    <w:rsid w:val="006E22E3"/>
    <w:rsid w:val="006E29A7"/>
    <w:rsid w:val="006E3286"/>
    <w:rsid w:val="006E4C73"/>
    <w:rsid w:val="006E5076"/>
    <w:rsid w:val="006E5466"/>
    <w:rsid w:val="006E55E5"/>
    <w:rsid w:val="006E5AF5"/>
    <w:rsid w:val="006E5E27"/>
    <w:rsid w:val="006E7BC2"/>
    <w:rsid w:val="006F041B"/>
    <w:rsid w:val="006F07F3"/>
    <w:rsid w:val="006F0B4B"/>
    <w:rsid w:val="006F2BF5"/>
    <w:rsid w:val="006F40FF"/>
    <w:rsid w:val="006F4229"/>
    <w:rsid w:val="006F6735"/>
    <w:rsid w:val="006F698C"/>
    <w:rsid w:val="00700410"/>
    <w:rsid w:val="00701E97"/>
    <w:rsid w:val="00703D66"/>
    <w:rsid w:val="00703E57"/>
    <w:rsid w:val="0070538B"/>
    <w:rsid w:val="007057B5"/>
    <w:rsid w:val="0070628C"/>
    <w:rsid w:val="0071062D"/>
    <w:rsid w:val="007110CA"/>
    <w:rsid w:val="00711F73"/>
    <w:rsid w:val="0071446E"/>
    <w:rsid w:val="007149B5"/>
    <w:rsid w:val="00714B1E"/>
    <w:rsid w:val="00714BDB"/>
    <w:rsid w:val="00715CAE"/>
    <w:rsid w:val="00715DD8"/>
    <w:rsid w:val="00723378"/>
    <w:rsid w:val="007237E6"/>
    <w:rsid w:val="007239D9"/>
    <w:rsid w:val="007255EE"/>
    <w:rsid w:val="007278A4"/>
    <w:rsid w:val="007302BB"/>
    <w:rsid w:val="00732440"/>
    <w:rsid w:val="0073258E"/>
    <w:rsid w:val="00732B90"/>
    <w:rsid w:val="00733817"/>
    <w:rsid w:val="00736C01"/>
    <w:rsid w:val="00736F73"/>
    <w:rsid w:val="00741D7B"/>
    <w:rsid w:val="00741D87"/>
    <w:rsid w:val="00742952"/>
    <w:rsid w:val="00742B3E"/>
    <w:rsid w:val="0074300C"/>
    <w:rsid w:val="00743A47"/>
    <w:rsid w:val="00745669"/>
    <w:rsid w:val="00745C28"/>
    <w:rsid w:val="00746822"/>
    <w:rsid w:val="00747871"/>
    <w:rsid w:val="007509C8"/>
    <w:rsid w:val="007514F0"/>
    <w:rsid w:val="00751F4E"/>
    <w:rsid w:val="00751FED"/>
    <w:rsid w:val="007520AF"/>
    <w:rsid w:val="00752F85"/>
    <w:rsid w:val="007548AE"/>
    <w:rsid w:val="00754AED"/>
    <w:rsid w:val="00755A9E"/>
    <w:rsid w:val="00757969"/>
    <w:rsid w:val="00757C10"/>
    <w:rsid w:val="00761698"/>
    <w:rsid w:val="00761E73"/>
    <w:rsid w:val="0076227C"/>
    <w:rsid w:val="00762860"/>
    <w:rsid w:val="007628F0"/>
    <w:rsid w:val="00763358"/>
    <w:rsid w:val="007642C9"/>
    <w:rsid w:val="0076616A"/>
    <w:rsid w:val="00767203"/>
    <w:rsid w:val="007676BE"/>
    <w:rsid w:val="00767E3F"/>
    <w:rsid w:val="00767F95"/>
    <w:rsid w:val="007701D0"/>
    <w:rsid w:val="00772362"/>
    <w:rsid w:val="007737A9"/>
    <w:rsid w:val="00774D8E"/>
    <w:rsid w:val="00777430"/>
    <w:rsid w:val="00777D9A"/>
    <w:rsid w:val="007813E5"/>
    <w:rsid w:val="0078156D"/>
    <w:rsid w:val="00781C0B"/>
    <w:rsid w:val="00782B9E"/>
    <w:rsid w:val="00783284"/>
    <w:rsid w:val="00784257"/>
    <w:rsid w:val="0078514E"/>
    <w:rsid w:val="007857FD"/>
    <w:rsid w:val="00786F94"/>
    <w:rsid w:val="007901EB"/>
    <w:rsid w:val="0079103C"/>
    <w:rsid w:val="00791E19"/>
    <w:rsid w:val="00792628"/>
    <w:rsid w:val="00792BA3"/>
    <w:rsid w:val="007935A2"/>
    <w:rsid w:val="00793BED"/>
    <w:rsid w:val="00793DB6"/>
    <w:rsid w:val="007947B6"/>
    <w:rsid w:val="00796F04"/>
    <w:rsid w:val="007A1BF0"/>
    <w:rsid w:val="007A3099"/>
    <w:rsid w:val="007A45AA"/>
    <w:rsid w:val="007A58E8"/>
    <w:rsid w:val="007A592D"/>
    <w:rsid w:val="007A6822"/>
    <w:rsid w:val="007A791E"/>
    <w:rsid w:val="007A7C63"/>
    <w:rsid w:val="007B0785"/>
    <w:rsid w:val="007B258E"/>
    <w:rsid w:val="007B29BB"/>
    <w:rsid w:val="007B29F7"/>
    <w:rsid w:val="007B3012"/>
    <w:rsid w:val="007B3E68"/>
    <w:rsid w:val="007B4053"/>
    <w:rsid w:val="007B5CF2"/>
    <w:rsid w:val="007B61C4"/>
    <w:rsid w:val="007B62B9"/>
    <w:rsid w:val="007B7E3C"/>
    <w:rsid w:val="007C17F7"/>
    <w:rsid w:val="007C23FB"/>
    <w:rsid w:val="007C2CBB"/>
    <w:rsid w:val="007C2CED"/>
    <w:rsid w:val="007D0946"/>
    <w:rsid w:val="007D0B9D"/>
    <w:rsid w:val="007D1610"/>
    <w:rsid w:val="007D2B16"/>
    <w:rsid w:val="007D2FF0"/>
    <w:rsid w:val="007D417A"/>
    <w:rsid w:val="007D4CC7"/>
    <w:rsid w:val="007D4F17"/>
    <w:rsid w:val="007D551C"/>
    <w:rsid w:val="007D6D49"/>
    <w:rsid w:val="007E0241"/>
    <w:rsid w:val="007E1D9C"/>
    <w:rsid w:val="007E34B4"/>
    <w:rsid w:val="007E413C"/>
    <w:rsid w:val="007E4265"/>
    <w:rsid w:val="007E6554"/>
    <w:rsid w:val="007F0045"/>
    <w:rsid w:val="007F05EF"/>
    <w:rsid w:val="007F0E3E"/>
    <w:rsid w:val="007F2DC4"/>
    <w:rsid w:val="007F3411"/>
    <w:rsid w:val="007F53FC"/>
    <w:rsid w:val="007F6DC1"/>
    <w:rsid w:val="007F732F"/>
    <w:rsid w:val="007F77D6"/>
    <w:rsid w:val="007F7858"/>
    <w:rsid w:val="008008D3"/>
    <w:rsid w:val="00801503"/>
    <w:rsid w:val="008015D5"/>
    <w:rsid w:val="00807955"/>
    <w:rsid w:val="0081158A"/>
    <w:rsid w:val="008117C4"/>
    <w:rsid w:val="00811A52"/>
    <w:rsid w:val="00812062"/>
    <w:rsid w:val="0081263C"/>
    <w:rsid w:val="008137B6"/>
    <w:rsid w:val="00814B4D"/>
    <w:rsid w:val="008156BF"/>
    <w:rsid w:val="00815F17"/>
    <w:rsid w:val="0081671C"/>
    <w:rsid w:val="00816F98"/>
    <w:rsid w:val="00817D65"/>
    <w:rsid w:val="008216B9"/>
    <w:rsid w:val="0082309A"/>
    <w:rsid w:val="00823561"/>
    <w:rsid w:val="00823898"/>
    <w:rsid w:val="00823E82"/>
    <w:rsid w:val="00824722"/>
    <w:rsid w:val="00824F76"/>
    <w:rsid w:val="0082603D"/>
    <w:rsid w:val="00827F83"/>
    <w:rsid w:val="00830613"/>
    <w:rsid w:val="00831038"/>
    <w:rsid w:val="00831560"/>
    <w:rsid w:val="00832AAD"/>
    <w:rsid w:val="00835D04"/>
    <w:rsid w:val="00836F50"/>
    <w:rsid w:val="0084083C"/>
    <w:rsid w:val="00841756"/>
    <w:rsid w:val="00842834"/>
    <w:rsid w:val="00842EA0"/>
    <w:rsid w:val="00843E4E"/>
    <w:rsid w:val="0084650B"/>
    <w:rsid w:val="00846709"/>
    <w:rsid w:val="00847E63"/>
    <w:rsid w:val="00851711"/>
    <w:rsid w:val="008526A4"/>
    <w:rsid w:val="0085368D"/>
    <w:rsid w:val="00854781"/>
    <w:rsid w:val="008547C9"/>
    <w:rsid w:val="00855156"/>
    <w:rsid w:val="00855971"/>
    <w:rsid w:val="00855CC0"/>
    <w:rsid w:val="008563F3"/>
    <w:rsid w:val="00856888"/>
    <w:rsid w:val="0085754C"/>
    <w:rsid w:val="0086053C"/>
    <w:rsid w:val="00861640"/>
    <w:rsid w:val="00862EE3"/>
    <w:rsid w:val="0086426D"/>
    <w:rsid w:val="008644E0"/>
    <w:rsid w:val="00864621"/>
    <w:rsid w:val="00864EAD"/>
    <w:rsid w:val="00866205"/>
    <w:rsid w:val="008702EC"/>
    <w:rsid w:val="00870F76"/>
    <w:rsid w:val="00871823"/>
    <w:rsid w:val="00872976"/>
    <w:rsid w:val="00875523"/>
    <w:rsid w:val="00875C2A"/>
    <w:rsid w:val="00876821"/>
    <w:rsid w:val="0087784A"/>
    <w:rsid w:val="00877F23"/>
    <w:rsid w:val="00880A6D"/>
    <w:rsid w:val="0088207F"/>
    <w:rsid w:val="00883565"/>
    <w:rsid w:val="00884349"/>
    <w:rsid w:val="008857F5"/>
    <w:rsid w:val="00886B33"/>
    <w:rsid w:val="00886F3D"/>
    <w:rsid w:val="00891CAE"/>
    <w:rsid w:val="00892FA9"/>
    <w:rsid w:val="00893124"/>
    <w:rsid w:val="0089320E"/>
    <w:rsid w:val="00896641"/>
    <w:rsid w:val="00896C6C"/>
    <w:rsid w:val="00897189"/>
    <w:rsid w:val="0089722B"/>
    <w:rsid w:val="00897C50"/>
    <w:rsid w:val="008A1155"/>
    <w:rsid w:val="008A140C"/>
    <w:rsid w:val="008A177E"/>
    <w:rsid w:val="008A1BC0"/>
    <w:rsid w:val="008A1EFB"/>
    <w:rsid w:val="008A2D84"/>
    <w:rsid w:val="008A2DB9"/>
    <w:rsid w:val="008A3603"/>
    <w:rsid w:val="008A4578"/>
    <w:rsid w:val="008A4EE4"/>
    <w:rsid w:val="008A5F0B"/>
    <w:rsid w:val="008B02E2"/>
    <w:rsid w:val="008B24EC"/>
    <w:rsid w:val="008B257C"/>
    <w:rsid w:val="008B2754"/>
    <w:rsid w:val="008B28C3"/>
    <w:rsid w:val="008B2B0B"/>
    <w:rsid w:val="008B2D11"/>
    <w:rsid w:val="008B2F0E"/>
    <w:rsid w:val="008B41F9"/>
    <w:rsid w:val="008B56A1"/>
    <w:rsid w:val="008B5905"/>
    <w:rsid w:val="008B675C"/>
    <w:rsid w:val="008C204A"/>
    <w:rsid w:val="008C3340"/>
    <w:rsid w:val="008C385A"/>
    <w:rsid w:val="008C55EB"/>
    <w:rsid w:val="008C5750"/>
    <w:rsid w:val="008C7326"/>
    <w:rsid w:val="008C74EF"/>
    <w:rsid w:val="008D06F2"/>
    <w:rsid w:val="008D07DA"/>
    <w:rsid w:val="008D0C2A"/>
    <w:rsid w:val="008D13C0"/>
    <w:rsid w:val="008D1E4B"/>
    <w:rsid w:val="008D1FD0"/>
    <w:rsid w:val="008D2A7A"/>
    <w:rsid w:val="008D2B91"/>
    <w:rsid w:val="008D39C3"/>
    <w:rsid w:val="008D4A82"/>
    <w:rsid w:val="008D4F6E"/>
    <w:rsid w:val="008D54F1"/>
    <w:rsid w:val="008D5D1D"/>
    <w:rsid w:val="008E0260"/>
    <w:rsid w:val="008E0902"/>
    <w:rsid w:val="008E13C5"/>
    <w:rsid w:val="008E3845"/>
    <w:rsid w:val="008E651B"/>
    <w:rsid w:val="008E7C4E"/>
    <w:rsid w:val="008F0E97"/>
    <w:rsid w:val="008F198B"/>
    <w:rsid w:val="008F2041"/>
    <w:rsid w:val="008F275D"/>
    <w:rsid w:val="008F34ED"/>
    <w:rsid w:val="008F4547"/>
    <w:rsid w:val="008F4DB9"/>
    <w:rsid w:val="009007BB"/>
    <w:rsid w:val="00900E1B"/>
    <w:rsid w:val="00901110"/>
    <w:rsid w:val="0090112A"/>
    <w:rsid w:val="009020D6"/>
    <w:rsid w:val="009039BB"/>
    <w:rsid w:val="00905379"/>
    <w:rsid w:val="00905CB5"/>
    <w:rsid w:val="00907828"/>
    <w:rsid w:val="00910661"/>
    <w:rsid w:val="00910F2B"/>
    <w:rsid w:val="00912472"/>
    <w:rsid w:val="00912B33"/>
    <w:rsid w:val="00912BF3"/>
    <w:rsid w:val="009138C2"/>
    <w:rsid w:val="009173AE"/>
    <w:rsid w:val="009216C4"/>
    <w:rsid w:val="00921B83"/>
    <w:rsid w:val="00921CFE"/>
    <w:rsid w:val="009222D9"/>
    <w:rsid w:val="00923236"/>
    <w:rsid w:val="00924FF3"/>
    <w:rsid w:val="00926901"/>
    <w:rsid w:val="009275ED"/>
    <w:rsid w:val="0093055B"/>
    <w:rsid w:val="00931AA1"/>
    <w:rsid w:val="00933622"/>
    <w:rsid w:val="00934BEB"/>
    <w:rsid w:val="00934C3D"/>
    <w:rsid w:val="00935BC9"/>
    <w:rsid w:val="00936ACB"/>
    <w:rsid w:val="009370AD"/>
    <w:rsid w:val="00941198"/>
    <w:rsid w:val="00942C96"/>
    <w:rsid w:val="00942DD9"/>
    <w:rsid w:val="00943659"/>
    <w:rsid w:val="00945495"/>
    <w:rsid w:val="00947521"/>
    <w:rsid w:val="009475EA"/>
    <w:rsid w:val="00947FF6"/>
    <w:rsid w:val="00952D03"/>
    <w:rsid w:val="00953E2D"/>
    <w:rsid w:val="00954A89"/>
    <w:rsid w:val="00954BF4"/>
    <w:rsid w:val="009559C5"/>
    <w:rsid w:val="00956603"/>
    <w:rsid w:val="00957277"/>
    <w:rsid w:val="00957A50"/>
    <w:rsid w:val="00957DE9"/>
    <w:rsid w:val="00960F3A"/>
    <w:rsid w:val="00962DCF"/>
    <w:rsid w:val="00964738"/>
    <w:rsid w:val="00964916"/>
    <w:rsid w:val="00964C39"/>
    <w:rsid w:val="00964CCD"/>
    <w:rsid w:val="00965459"/>
    <w:rsid w:val="009654F5"/>
    <w:rsid w:val="00965D20"/>
    <w:rsid w:val="00967003"/>
    <w:rsid w:val="009678C5"/>
    <w:rsid w:val="00967EAE"/>
    <w:rsid w:val="00970428"/>
    <w:rsid w:val="0097094C"/>
    <w:rsid w:val="00970F2E"/>
    <w:rsid w:val="0097272F"/>
    <w:rsid w:val="0097422F"/>
    <w:rsid w:val="00974786"/>
    <w:rsid w:val="009748FC"/>
    <w:rsid w:val="00974E31"/>
    <w:rsid w:val="0097613A"/>
    <w:rsid w:val="00981075"/>
    <w:rsid w:val="00982582"/>
    <w:rsid w:val="009832BE"/>
    <w:rsid w:val="0098358D"/>
    <w:rsid w:val="00983FED"/>
    <w:rsid w:val="009867AA"/>
    <w:rsid w:val="0098738A"/>
    <w:rsid w:val="00987BCD"/>
    <w:rsid w:val="00990D23"/>
    <w:rsid w:val="00990FC6"/>
    <w:rsid w:val="00992779"/>
    <w:rsid w:val="00992E37"/>
    <w:rsid w:val="00995471"/>
    <w:rsid w:val="00996052"/>
    <w:rsid w:val="009967F5"/>
    <w:rsid w:val="009A0E21"/>
    <w:rsid w:val="009A15DF"/>
    <w:rsid w:val="009A1A46"/>
    <w:rsid w:val="009A39CB"/>
    <w:rsid w:val="009A4822"/>
    <w:rsid w:val="009A4EF2"/>
    <w:rsid w:val="009A511C"/>
    <w:rsid w:val="009A519B"/>
    <w:rsid w:val="009A54F0"/>
    <w:rsid w:val="009A62F0"/>
    <w:rsid w:val="009A6A83"/>
    <w:rsid w:val="009A7204"/>
    <w:rsid w:val="009A7B22"/>
    <w:rsid w:val="009B0160"/>
    <w:rsid w:val="009B046E"/>
    <w:rsid w:val="009B13E4"/>
    <w:rsid w:val="009B2D72"/>
    <w:rsid w:val="009B443B"/>
    <w:rsid w:val="009B4969"/>
    <w:rsid w:val="009B5CDA"/>
    <w:rsid w:val="009B6CF7"/>
    <w:rsid w:val="009B7752"/>
    <w:rsid w:val="009C1817"/>
    <w:rsid w:val="009C1F11"/>
    <w:rsid w:val="009C20B7"/>
    <w:rsid w:val="009C2EA1"/>
    <w:rsid w:val="009C31FE"/>
    <w:rsid w:val="009C38FC"/>
    <w:rsid w:val="009C4AAF"/>
    <w:rsid w:val="009C4E99"/>
    <w:rsid w:val="009C5E45"/>
    <w:rsid w:val="009D1033"/>
    <w:rsid w:val="009D391B"/>
    <w:rsid w:val="009D3A7C"/>
    <w:rsid w:val="009D4165"/>
    <w:rsid w:val="009D4B0C"/>
    <w:rsid w:val="009D5034"/>
    <w:rsid w:val="009E017C"/>
    <w:rsid w:val="009E08DD"/>
    <w:rsid w:val="009E08FB"/>
    <w:rsid w:val="009E0BBC"/>
    <w:rsid w:val="009E1DE4"/>
    <w:rsid w:val="009E2359"/>
    <w:rsid w:val="009E3FF1"/>
    <w:rsid w:val="009E50CC"/>
    <w:rsid w:val="009F0ADD"/>
    <w:rsid w:val="009F1D63"/>
    <w:rsid w:val="009F261B"/>
    <w:rsid w:val="009F2707"/>
    <w:rsid w:val="009F3F66"/>
    <w:rsid w:val="009F4213"/>
    <w:rsid w:val="009F6335"/>
    <w:rsid w:val="009F714E"/>
    <w:rsid w:val="00A00292"/>
    <w:rsid w:val="00A00D02"/>
    <w:rsid w:val="00A0112C"/>
    <w:rsid w:val="00A01B5B"/>
    <w:rsid w:val="00A01FE1"/>
    <w:rsid w:val="00A020CB"/>
    <w:rsid w:val="00A02F2E"/>
    <w:rsid w:val="00A06614"/>
    <w:rsid w:val="00A0690C"/>
    <w:rsid w:val="00A073D7"/>
    <w:rsid w:val="00A07802"/>
    <w:rsid w:val="00A07E2D"/>
    <w:rsid w:val="00A1065C"/>
    <w:rsid w:val="00A112CF"/>
    <w:rsid w:val="00A1203C"/>
    <w:rsid w:val="00A12746"/>
    <w:rsid w:val="00A1332A"/>
    <w:rsid w:val="00A13987"/>
    <w:rsid w:val="00A15B22"/>
    <w:rsid w:val="00A203F5"/>
    <w:rsid w:val="00A21542"/>
    <w:rsid w:val="00A2177F"/>
    <w:rsid w:val="00A217CE"/>
    <w:rsid w:val="00A22808"/>
    <w:rsid w:val="00A258CE"/>
    <w:rsid w:val="00A25B4A"/>
    <w:rsid w:val="00A25C29"/>
    <w:rsid w:val="00A27934"/>
    <w:rsid w:val="00A312A3"/>
    <w:rsid w:val="00A32587"/>
    <w:rsid w:val="00A32B49"/>
    <w:rsid w:val="00A335AD"/>
    <w:rsid w:val="00A34733"/>
    <w:rsid w:val="00A353D4"/>
    <w:rsid w:val="00A36888"/>
    <w:rsid w:val="00A37D93"/>
    <w:rsid w:val="00A40D04"/>
    <w:rsid w:val="00A413E8"/>
    <w:rsid w:val="00A42423"/>
    <w:rsid w:val="00A436A3"/>
    <w:rsid w:val="00A43957"/>
    <w:rsid w:val="00A43985"/>
    <w:rsid w:val="00A44973"/>
    <w:rsid w:val="00A45775"/>
    <w:rsid w:val="00A4609D"/>
    <w:rsid w:val="00A46925"/>
    <w:rsid w:val="00A47721"/>
    <w:rsid w:val="00A51B29"/>
    <w:rsid w:val="00A53B8B"/>
    <w:rsid w:val="00A544F1"/>
    <w:rsid w:val="00A57324"/>
    <w:rsid w:val="00A608BC"/>
    <w:rsid w:val="00A60939"/>
    <w:rsid w:val="00A60F6F"/>
    <w:rsid w:val="00A616B2"/>
    <w:rsid w:val="00A619C6"/>
    <w:rsid w:val="00A61EFE"/>
    <w:rsid w:val="00A62005"/>
    <w:rsid w:val="00A629AF"/>
    <w:rsid w:val="00A62AFB"/>
    <w:rsid w:val="00A63D37"/>
    <w:rsid w:val="00A64302"/>
    <w:rsid w:val="00A65BFD"/>
    <w:rsid w:val="00A65D8D"/>
    <w:rsid w:val="00A724C6"/>
    <w:rsid w:val="00A739BD"/>
    <w:rsid w:val="00A7459D"/>
    <w:rsid w:val="00A752C2"/>
    <w:rsid w:val="00A75B9F"/>
    <w:rsid w:val="00A7630C"/>
    <w:rsid w:val="00A76806"/>
    <w:rsid w:val="00A77048"/>
    <w:rsid w:val="00A77066"/>
    <w:rsid w:val="00A77E1D"/>
    <w:rsid w:val="00A80B7A"/>
    <w:rsid w:val="00A81AFD"/>
    <w:rsid w:val="00A82564"/>
    <w:rsid w:val="00A826E8"/>
    <w:rsid w:val="00A85679"/>
    <w:rsid w:val="00A856EF"/>
    <w:rsid w:val="00A8679F"/>
    <w:rsid w:val="00A87572"/>
    <w:rsid w:val="00A90A70"/>
    <w:rsid w:val="00A90D53"/>
    <w:rsid w:val="00A91063"/>
    <w:rsid w:val="00A91E9D"/>
    <w:rsid w:val="00A94685"/>
    <w:rsid w:val="00A95C04"/>
    <w:rsid w:val="00A96462"/>
    <w:rsid w:val="00A96AB7"/>
    <w:rsid w:val="00A9777B"/>
    <w:rsid w:val="00A977FE"/>
    <w:rsid w:val="00A97893"/>
    <w:rsid w:val="00A97C78"/>
    <w:rsid w:val="00AA0C50"/>
    <w:rsid w:val="00AA1654"/>
    <w:rsid w:val="00AA17FA"/>
    <w:rsid w:val="00AA392B"/>
    <w:rsid w:val="00AA3CA5"/>
    <w:rsid w:val="00AA470A"/>
    <w:rsid w:val="00AA5223"/>
    <w:rsid w:val="00AA70A2"/>
    <w:rsid w:val="00AB0E12"/>
    <w:rsid w:val="00AB0E56"/>
    <w:rsid w:val="00AB16A9"/>
    <w:rsid w:val="00AB1C84"/>
    <w:rsid w:val="00AB1E11"/>
    <w:rsid w:val="00AB33C7"/>
    <w:rsid w:val="00AB4C82"/>
    <w:rsid w:val="00AB54BE"/>
    <w:rsid w:val="00AB5D3C"/>
    <w:rsid w:val="00AB6299"/>
    <w:rsid w:val="00AB6EC8"/>
    <w:rsid w:val="00AB7B96"/>
    <w:rsid w:val="00AB7F91"/>
    <w:rsid w:val="00AC1422"/>
    <w:rsid w:val="00AC2B21"/>
    <w:rsid w:val="00AC30D2"/>
    <w:rsid w:val="00AC4D12"/>
    <w:rsid w:val="00AC4DB4"/>
    <w:rsid w:val="00AC5BC4"/>
    <w:rsid w:val="00AC62A7"/>
    <w:rsid w:val="00AC7270"/>
    <w:rsid w:val="00AC79D7"/>
    <w:rsid w:val="00AC7D10"/>
    <w:rsid w:val="00AC7E87"/>
    <w:rsid w:val="00AD067B"/>
    <w:rsid w:val="00AD1AEA"/>
    <w:rsid w:val="00AD1DD3"/>
    <w:rsid w:val="00AD29FE"/>
    <w:rsid w:val="00AD36BE"/>
    <w:rsid w:val="00AD3E35"/>
    <w:rsid w:val="00AD63B7"/>
    <w:rsid w:val="00AD674A"/>
    <w:rsid w:val="00AD69EF"/>
    <w:rsid w:val="00AD6CA7"/>
    <w:rsid w:val="00AD7C0E"/>
    <w:rsid w:val="00AE05F8"/>
    <w:rsid w:val="00AE0E9D"/>
    <w:rsid w:val="00AE12D2"/>
    <w:rsid w:val="00AE1700"/>
    <w:rsid w:val="00AE1FF0"/>
    <w:rsid w:val="00AE215A"/>
    <w:rsid w:val="00AE348D"/>
    <w:rsid w:val="00AE381A"/>
    <w:rsid w:val="00AE3A26"/>
    <w:rsid w:val="00AE3C9E"/>
    <w:rsid w:val="00AE3D02"/>
    <w:rsid w:val="00AE5301"/>
    <w:rsid w:val="00AE5429"/>
    <w:rsid w:val="00AE6774"/>
    <w:rsid w:val="00AE711B"/>
    <w:rsid w:val="00AE7890"/>
    <w:rsid w:val="00AF331F"/>
    <w:rsid w:val="00AF3687"/>
    <w:rsid w:val="00AF4CAB"/>
    <w:rsid w:val="00AF5297"/>
    <w:rsid w:val="00AF5996"/>
    <w:rsid w:val="00B014E3"/>
    <w:rsid w:val="00B02F2F"/>
    <w:rsid w:val="00B03450"/>
    <w:rsid w:val="00B03749"/>
    <w:rsid w:val="00B03A91"/>
    <w:rsid w:val="00B04967"/>
    <w:rsid w:val="00B04DA5"/>
    <w:rsid w:val="00B0524D"/>
    <w:rsid w:val="00B05C56"/>
    <w:rsid w:val="00B06FB6"/>
    <w:rsid w:val="00B07343"/>
    <w:rsid w:val="00B10C47"/>
    <w:rsid w:val="00B116DD"/>
    <w:rsid w:val="00B121B3"/>
    <w:rsid w:val="00B121F7"/>
    <w:rsid w:val="00B1533F"/>
    <w:rsid w:val="00B15F5A"/>
    <w:rsid w:val="00B163BE"/>
    <w:rsid w:val="00B17537"/>
    <w:rsid w:val="00B228F6"/>
    <w:rsid w:val="00B2386D"/>
    <w:rsid w:val="00B2401D"/>
    <w:rsid w:val="00B246F4"/>
    <w:rsid w:val="00B255CC"/>
    <w:rsid w:val="00B32A92"/>
    <w:rsid w:val="00B33AF7"/>
    <w:rsid w:val="00B34138"/>
    <w:rsid w:val="00B35062"/>
    <w:rsid w:val="00B36384"/>
    <w:rsid w:val="00B36A89"/>
    <w:rsid w:val="00B3731C"/>
    <w:rsid w:val="00B3769D"/>
    <w:rsid w:val="00B37EDE"/>
    <w:rsid w:val="00B43460"/>
    <w:rsid w:val="00B4449D"/>
    <w:rsid w:val="00B4462B"/>
    <w:rsid w:val="00B45BF1"/>
    <w:rsid w:val="00B4649D"/>
    <w:rsid w:val="00B47A83"/>
    <w:rsid w:val="00B50770"/>
    <w:rsid w:val="00B51419"/>
    <w:rsid w:val="00B51EF5"/>
    <w:rsid w:val="00B5379D"/>
    <w:rsid w:val="00B53927"/>
    <w:rsid w:val="00B54479"/>
    <w:rsid w:val="00B54560"/>
    <w:rsid w:val="00B54D1E"/>
    <w:rsid w:val="00B560AA"/>
    <w:rsid w:val="00B5781C"/>
    <w:rsid w:val="00B60E29"/>
    <w:rsid w:val="00B611CE"/>
    <w:rsid w:val="00B62C8F"/>
    <w:rsid w:val="00B637A3"/>
    <w:rsid w:val="00B638E9"/>
    <w:rsid w:val="00B63EE2"/>
    <w:rsid w:val="00B648BE"/>
    <w:rsid w:val="00B654A3"/>
    <w:rsid w:val="00B65837"/>
    <w:rsid w:val="00B66E1D"/>
    <w:rsid w:val="00B6742A"/>
    <w:rsid w:val="00B71615"/>
    <w:rsid w:val="00B72379"/>
    <w:rsid w:val="00B73F94"/>
    <w:rsid w:val="00B7402C"/>
    <w:rsid w:val="00B74D90"/>
    <w:rsid w:val="00B756B1"/>
    <w:rsid w:val="00B75900"/>
    <w:rsid w:val="00B759FD"/>
    <w:rsid w:val="00B764B9"/>
    <w:rsid w:val="00B76669"/>
    <w:rsid w:val="00B77151"/>
    <w:rsid w:val="00B777CD"/>
    <w:rsid w:val="00B8003B"/>
    <w:rsid w:val="00B82279"/>
    <w:rsid w:val="00B82C3E"/>
    <w:rsid w:val="00B83D6E"/>
    <w:rsid w:val="00B85A1C"/>
    <w:rsid w:val="00B862F7"/>
    <w:rsid w:val="00B908B3"/>
    <w:rsid w:val="00B908F9"/>
    <w:rsid w:val="00B90BCD"/>
    <w:rsid w:val="00B91484"/>
    <w:rsid w:val="00B9396B"/>
    <w:rsid w:val="00B93FC6"/>
    <w:rsid w:val="00B9487E"/>
    <w:rsid w:val="00BA0224"/>
    <w:rsid w:val="00BA0DE9"/>
    <w:rsid w:val="00BA0E48"/>
    <w:rsid w:val="00BA0F7E"/>
    <w:rsid w:val="00BA1048"/>
    <w:rsid w:val="00BA7228"/>
    <w:rsid w:val="00BA7C1A"/>
    <w:rsid w:val="00BB07BE"/>
    <w:rsid w:val="00BB20FB"/>
    <w:rsid w:val="00BB2CD1"/>
    <w:rsid w:val="00BB385C"/>
    <w:rsid w:val="00BB4D37"/>
    <w:rsid w:val="00BB4D5D"/>
    <w:rsid w:val="00BB539C"/>
    <w:rsid w:val="00BB61C3"/>
    <w:rsid w:val="00BB61E1"/>
    <w:rsid w:val="00BC00F6"/>
    <w:rsid w:val="00BC090F"/>
    <w:rsid w:val="00BC0A6F"/>
    <w:rsid w:val="00BC1142"/>
    <w:rsid w:val="00BC1AA8"/>
    <w:rsid w:val="00BC257A"/>
    <w:rsid w:val="00BC3627"/>
    <w:rsid w:val="00BC5885"/>
    <w:rsid w:val="00BC705A"/>
    <w:rsid w:val="00BD066F"/>
    <w:rsid w:val="00BD1250"/>
    <w:rsid w:val="00BD2C88"/>
    <w:rsid w:val="00BD2F2A"/>
    <w:rsid w:val="00BD528B"/>
    <w:rsid w:val="00BD7541"/>
    <w:rsid w:val="00BD7F46"/>
    <w:rsid w:val="00BE1690"/>
    <w:rsid w:val="00BE2BE6"/>
    <w:rsid w:val="00BE2FD9"/>
    <w:rsid w:val="00BE320B"/>
    <w:rsid w:val="00BE3E2A"/>
    <w:rsid w:val="00BE404F"/>
    <w:rsid w:val="00BE45D9"/>
    <w:rsid w:val="00BE460E"/>
    <w:rsid w:val="00BF0677"/>
    <w:rsid w:val="00BF1F4D"/>
    <w:rsid w:val="00BF2FDF"/>
    <w:rsid w:val="00BF3BA1"/>
    <w:rsid w:val="00BF4AE0"/>
    <w:rsid w:val="00BF547B"/>
    <w:rsid w:val="00BF593A"/>
    <w:rsid w:val="00BF5F3A"/>
    <w:rsid w:val="00BF6048"/>
    <w:rsid w:val="00BF6E84"/>
    <w:rsid w:val="00BF6FE0"/>
    <w:rsid w:val="00BF71CF"/>
    <w:rsid w:val="00BF75AF"/>
    <w:rsid w:val="00BF7AD0"/>
    <w:rsid w:val="00BF7B2D"/>
    <w:rsid w:val="00C00736"/>
    <w:rsid w:val="00C00D3A"/>
    <w:rsid w:val="00C01221"/>
    <w:rsid w:val="00C01B43"/>
    <w:rsid w:val="00C02768"/>
    <w:rsid w:val="00C03303"/>
    <w:rsid w:val="00C03457"/>
    <w:rsid w:val="00C0473C"/>
    <w:rsid w:val="00C04C54"/>
    <w:rsid w:val="00C04F34"/>
    <w:rsid w:val="00C050B2"/>
    <w:rsid w:val="00C10004"/>
    <w:rsid w:val="00C11878"/>
    <w:rsid w:val="00C119C3"/>
    <w:rsid w:val="00C13514"/>
    <w:rsid w:val="00C147D0"/>
    <w:rsid w:val="00C15305"/>
    <w:rsid w:val="00C153A6"/>
    <w:rsid w:val="00C16DF2"/>
    <w:rsid w:val="00C2313F"/>
    <w:rsid w:val="00C23711"/>
    <w:rsid w:val="00C25164"/>
    <w:rsid w:val="00C25B25"/>
    <w:rsid w:val="00C274BB"/>
    <w:rsid w:val="00C27E68"/>
    <w:rsid w:val="00C309B6"/>
    <w:rsid w:val="00C31216"/>
    <w:rsid w:val="00C31E87"/>
    <w:rsid w:val="00C3220A"/>
    <w:rsid w:val="00C339AE"/>
    <w:rsid w:val="00C345CF"/>
    <w:rsid w:val="00C34F9F"/>
    <w:rsid w:val="00C379AB"/>
    <w:rsid w:val="00C41F4E"/>
    <w:rsid w:val="00C424C9"/>
    <w:rsid w:val="00C426FE"/>
    <w:rsid w:val="00C42BE9"/>
    <w:rsid w:val="00C42DA6"/>
    <w:rsid w:val="00C42E14"/>
    <w:rsid w:val="00C4322C"/>
    <w:rsid w:val="00C43265"/>
    <w:rsid w:val="00C43806"/>
    <w:rsid w:val="00C44057"/>
    <w:rsid w:val="00C447A7"/>
    <w:rsid w:val="00C449F5"/>
    <w:rsid w:val="00C4599E"/>
    <w:rsid w:val="00C45B9F"/>
    <w:rsid w:val="00C467F2"/>
    <w:rsid w:val="00C47F5A"/>
    <w:rsid w:val="00C50937"/>
    <w:rsid w:val="00C50B7D"/>
    <w:rsid w:val="00C51E52"/>
    <w:rsid w:val="00C520F6"/>
    <w:rsid w:val="00C52575"/>
    <w:rsid w:val="00C527FE"/>
    <w:rsid w:val="00C54CF3"/>
    <w:rsid w:val="00C5597C"/>
    <w:rsid w:val="00C55DCE"/>
    <w:rsid w:val="00C55FE8"/>
    <w:rsid w:val="00C565A6"/>
    <w:rsid w:val="00C56E5A"/>
    <w:rsid w:val="00C6260A"/>
    <w:rsid w:val="00C626B1"/>
    <w:rsid w:val="00C629CA"/>
    <w:rsid w:val="00C663BD"/>
    <w:rsid w:val="00C710F3"/>
    <w:rsid w:val="00C734EF"/>
    <w:rsid w:val="00C74EFB"/>
    <w:rsid w:val="00C81DF0"/>
    <w:rsid w:val="00C82A26"/>
    <w:rsid w:val="00C82C88"/>
    <w:rsid w:val="00C846C5"/>
    <w:rsid w:val="00C85658"/>
    <w:rsid w:val="00C864C1"/>
    <w:rsid w:val="00C87BDD"/>
    <w:rsid w:val="00C903E8"/>
    <w:rsid w:val="00C90B32"/>
    <w:rsid w:val="00C9124A"/>
    <w:rsid w:val="00C935C0"/>
    <w:rsid w:val="00C93726"/>
    <w:rsid w:val="00C93731"/>
    <w:rsid w:val="00C974B8"/>
    <w:rsid w:val="00CA013D"/>
    <w:rsid w:val="00CA0756"/>
    <w:rsid w:val="00CA1846"/>
    <w:rsid w:val="00CA2DD4"/>
    <w:rsid w:val="00CA2FA3"/>
    <w:rsid w:val="00CA5730"/>
    <w:rsid w:val="00CA5A23"/>
    <w:rsid w:val="00CA5A4A"/>
    <w:rsid w:val="00CA5B24"/>
    <w:rsid w:val="00CA5D6D"/>
    <w:rsid w:val="00CA60E2"/>
    <w:rsid w:val="00CA6E73"/>
    <w:rsid w:val="00CA6F79"/>
    <w:rsid w:val="00CB05F7"/>
    <w:rsid w:val="00CB08B9"/>
    <w:rsid w:val="00CB12CB"/>
    <w:rsid w:val="00CB14D2"/>
    <w:rsid w:val="00CB1867"/>
    <w:rsid w:val="00CB286C"/>
    <w:rsid w:val="00CB57D0"/>
    <w:rsid w:val="00CB59FF"/>
    <w:rsid w:val="00CB61F7"/>
    <w:rsid w:val="00CB6621"/>
    <w:rsid w:val="00CB69C2"/>
    <w:rsid w:val="00CB794F"/>
    <w:rsid w:val="00CC05A4"/>
    <w:rsid w:val="00CC2348"/>
    <w:rsid w:val="00CC3807"/>
    <w:rsid w:val="00CC4051"/>
    <w:rsid w:val="00CC41A2"/>
    <w:rsid w:val="00CC593A"/>
    <w:rsid w:val="00CC644C"/>
    <w:rsid w:val="00CC66AF"/>
    <w:rsid w:val="00CC7D9D"/>
    <w:rsid w:val="00CD17FB"/>
    <w:rsid w:val="00CD30DB"/>
    <w:rsid w:val="00CD3740"/>
    <w:rsid w:val="00CD4223"/>
    <w:rsid w:val="00CD4C4A"/>
    <w:rsid w:val="00CD527B"/>
    <w:rsid w:val="00CD5F71"/>
    <w:rsid w:val="00CD61C3"/>
    <w:rsid w:val="00CD644B"/>
    <w:rsid w:val="00CD7E63"/>
    <w:rsid w:val="00CE02FF"/>
    <w:rsid w:val="00CE040B"/>
    <w:rsid w:val="00CE0CF6"/>
    <w:rsid w:val="00CE2EA1"/>
    <w:rsid w:val="00CE3791"/>
    <w:rsid w:val="00CE54AD"/>
    <w:rsid w:val="00CE6012"/>
    <w:rsid w:val="00CE6919"/>
    <w:rsid w:val="00CE6D43"/>
    <w:rsid w:val="00CE7E9A"/>
    <w:rsid w:val="00CF01A3"/>
    <w:rsid w:val="00CF13E0"/>
    <w:rsid w:val="00CF3D1C"/>
    <w:rsid w:val="00CF3D5B"/>
    <w:rsid w:val="00CF52F2"/>
    <w:rsid w:val="00CF58A0"/>
    <w:rsid w:val="00CF5A4F"/>
    <w:rsid w:val="00CF5EA4"/>
    <w:rsid w:val="00CF7686"/>
    <w:rsid w:val="00D00ABA"/>
    <w:rsid w:val="00D00B06"/>
    <w:rsid w:val="00D01632"/>
    <w:rsid w:val="00D01D32"/>
    <w:rsid w:val="00D03909"/>
    <w:rsid w:val="00D04266"/>
    <w:rsid w:val="00D049AC"/>
    <w:rsid w:val="00D049E9"/>
    <w:rsid w:val="00D06350"/>
    <w:rsid w:val="00D11571"/>
    <w:rsid w:val="00D117E9"/>
    <w:rsid w:val="00D12483"/>
    <w:rsid w:val="00D12A3F"/>
    <w:rsid w:val="00D13EC2"/>
    <w:rsid w:val="00D14196"/>
    <w:rsid w:val="00D14699"/>
    <w:rsid w:val="00D16F34"/>
    <w:rsid w:val="00D176AC"/>
    <w:rsid w:val="00D20A17"/>
    <w:rsid w:val="00D2310F"/>
    <w:rsid w:val="00D242AC"/>
    <w:rsid w:val="00D27D00"/>
    <w:rsid w:val="00D30984"/>
    <w:rsid w:val="00D30D6F"/>
    <w:rsid w:val="00D31554"/>
    <w:rsid w:val="00D3206D"/>
    <w:rsid w:val="00D32264"/>
    <w:rsid w:val="00D32ECD"/>
    <w:rsid w:val="00D33922"/>
    <w:rsid w:val="00D3523E"/>
    <w:rsid w:val="00D37E9A"/>
    <w:rsid w:val="00D37E9E"/>
    <w:rsid w:val="00D40FF9"/>
    <w:rsid w:val="00D42771"/>
    <w:rsid w:val="00D42D4B"/>
    <w:rsid w:val="00D432EE"/>
    <w:rsid w:val="00D4412D"/>
    <w:rsid w:val="00D445AD"/>
    <w:rsid w:val="00D467E4"/>
    <w:rsid w:val="00D46FF9"/>
    <w:rsid w:val="00D476AB"/>
    <w:rsid w:val="00D47719"/>
    <w:rsid w:val="00D5002C"/>
    <w:rsid w:val="00D50200"/>
    <w:rsid w:val="00D503B6"/>
    <w:rsid w:val="00D50724"/>
    <w:rsid w:val="00D50938"/>
    <w:rsid w:val="00D52962"/>
    <w:rsid w:val="00D52A48"/>
    <w:rsid w:val="00D541AA"/>
    <w:rsid w:val="00D543E4"/>
    <w:rsid w:val="00D55C95"/>
    <w:rsid w:val="00D564EE"/>
    <w:rsid w:val="00D56FA8"/>
    <w:rsid w:val="00D6075B"/>
    <w:rsid w:val="00D6143F"/>
    <w:rsid w:val="00D61FB5"/>
    <w:rsid w:val="00D622BC"/>
    <w:rsid w:val="00D6271B"/>
    <w:rsid w:val="00D63C9E"/>
    <w:rsid w:val="00D65691"/>
    <w:rsid w:val="00D66C64"/>
    <w:rsid w:val="00D6744D"/>
    <w:rsid w:val="00D674AF"/>
    <w:rsid w:val="00D72352"/>
    <w:rsid w:val="00D72ADA"/>
    <w:rsid w:val="00D72B63"/>
    <w:rsid w:val="00D731AB"/>
    <w:rsid w:val="00D743FC"/>
    <w:rsid w:val="00D74FA9"/>
    <w:rsid w:val="00D759B6"/>
    <w:rsid w:val="00D76B49"/>
    <w:rsid w:val="00D8012E"/>
    <w:rsid w:val="00D8035D"/>
    <w:rsid w:val="00D80430"/>
    <w:rsid w:val="00D81C72"/>
    <w:rsid w:val="00D82B30"/>
    <w:rsid w:val="00D82D83"/>
    <w:rsid w:val="00D8446B"/>
    <w:rsid w:val="00D85624"/>
    <w:rsid w:val="00D858D3"/>
    <w:rsid w:val="00D87BF3"/>
    <w:rsid w:val="00D910B7"/>
    <w:rsid w:val="00D925C9"/>
    <w:rsid w:val="00D935AC"/>
    <w:rsid w:val="00D94B81"/>
    <w:rsid w:val="00D95854"/>
    <w:rsid w:val="00D973A6"/>
    <w:rsid w:val="00D979EB"/>
    <w:rsid w:val="00DA2010"/>
    <w:rsid w:val="00DA20FA"/>
    <w:rsid w:val="00DA2208"/>
    <w:rsid w:val="00DA4436"/>
    <w:rsid w:val="00DA4EF7"/>
    <w:rsid w:val="00DA5460"/>
    <w:rsid w:val="00DA68D7"/>
    <w:rsid w:val="00DA6BBD"/>
    <w:rsid w:val="00DA74E7"/>
    <w:rsid w:val="00DA793E"/>
    <w:rsid w:val="00DB053D"/>
    <w:rsid w:val="00DB146E"/>
    <w:rsid w:val="00DB2033"/>
    <w:rsid w:val="00DB222B"/>
    <w:rsid w:val="00DB2268"/>
    <w:rsid w:val="00DB234A"/>
    <w:rsid w:val="00DB3040"/>
    <w:rsid w:val="00DB4185"/>
    <w:rsid w:val="00DB4293"/>
    <w:rsid w:val="00DB4D2D"/>
    <w:rsid w:val="00DB5497"/>
    <w:rsid w:val="00DC0E83"/>
    <w:rsid w:val="00DC13F7"/>
    <w:rsid w:val="00DC18D0"/>
    <w:rsid w:val="00DC260D"/>
    <w:rsid w:val="00DC3A24"/>
    <w:rsid w:val="00DC4361"/>
    <w:rsid w:val="00DC5CAC"/>
    <w:rsid w:val="00DC5E56"/>
    <w:rsid w:val="00DC60C3"/>
    <w:rsid w:val="00DC6EAE"/>
    <w:rsid w:val="00DC747F"/>
    <w:rsid w:val="00DD0CDF"/>
    <w:rsid w:val="00DD16FC"/>
    <w:rsid w:val="00DD19D5"/>
    <w:rsid w:val="00DD1CE5"/>
    <w:rsid w:val="00DD335B"/>
    <w:rsid w:val="00DD674A"/>
    <w:rsid w:val="00DE050C"/>
    <w:rsid w:val="00DE0B43"/>
    <w:rsid w:val="00DE0BEE"/>
    <w:rsid w:val="00DE2640"/>
    <w:rsid w:val="00DE3008"/>
    <w:rsid w:val="00DE5DB9"/>
    <w:rsid w:val="00DE6502"/>
    <w:rsid w:val="00DE7937"/>
    <w:rsid w:val="00DF2AA4"/>
    <w:rsid w:val="00DF37CF"/>
    <w:rsid w:val="00DF38B4"/>
    <w:rsid w:val="00DF3D32"/>
    <w:rsid w:val="00DF4394"/>
    <w:rsid w:val="00DF6137"/>
    <w:rsid w:val="00DF6BCB"/>
    <w:rsid w:val="00DF6D4E"/>
    <w:rsid w:val="00DF77DE"/>
    <w:rsid w:val="00DF7FDD"/>
    <w:rsid w:val="00E00337"/>
    <w:rsid w:val="00E00700"/>
    <w:rsid w:val="00E008F7"/>
    <w:rsid w:val="00E0091B"/>
    <w:rsid w:val="00E00F1A"/>
    <w:rsid w:val="00E015BF"/>
    <w:rsid w:val="00E017CA"/>
    <w:rsid w:val="00E02793"/>
    <w:rsid w:val="00E03B18"/>
    <w:rsid w:val="00E049E4"/>
    <w:rsid w:val="00E06A8D"/>
    <w:rsid w:val="00E07037"/>
    <w:rsid w:val="00E07BF6"/>
    <w:rsid w:val="00E10757"/>
    <w:rsid w:val="00E1091D"/>
    <w:rsid w:val="00E10FA5"/>
    <w:rsid w:val="00E15BD5"/>
    <w:rsid w:val="00E16FD9"/>
    <w:rsid w:val="00E21DA9"/>
    <w:rsid w:val="00E22159"/>
    <w:rsid w:val="00E234A8"/>
    <w:rsid w:val="00E242AB"/>
    <w:rsid w:val="00E256EA"/>
    <w:rsid w:val="00E2586A"/>
    <w:rsid w:val="00E25E6E"/>
    <w:rsid w:val="00E26D08"/>
    <w:rsid w:val="00E26FA2"/>
    <w:rsid w:val="00E2797C"/>
    <w:rsid w:val="00E3122C"/>
    <w:rsid w:val="00E31505"/>
    <w:rsid w:val="00E32D5A"/>
    <w:rsid w:val="00E339B4"/>
    <w:rsid w:val="00E34FE1"/>
    <w:rsid w:val="00E36531"/>
    <w:rsid w:val="00E3659C"/>
    <w:rsid w:val="00E36886"/>
    <w:rsid w:val="00E37B0F"/>
    <w:rsid w:val="00E416C8"/>
    <w:rsid w:val="00E42927"/>
    <w:rsid w:val="00E434F2"/>
    <w:rsid w:val="00E4393A"/>
    <w:rsid w:val="00E43EC2"/>
    <w:rsid w:val="00E44DCF"/>
    <w:rsid w:val="00E45596"/>
    <w:rsid w:val="00E45F0E"/>
    <w:rsid w:val="00E47A2B"/>
    <w:rsid w:val="00E515E2"/>
    <w:rsid w:val="00E5199A"/>
    <w:rsid w:val="00E51FCB"/>
    <w:rsid w:val="00E5249C"/>
    <w:rsid w:val="00E55CB2"/>
    <w:rsid w:val="00E5659D"/>
    <w:rsid w:val="00E57EC9"/>
    <w:rsid w:val="00E605DA"/>
    <w:rsid w:val="00E6239F"/>
    <w:rsid w:val="00E62854"/>
    <w:rsid w:val="00E62F0E"/>
    <w:rsid w:val="00E63217"/>
    <w:rsid w:val="00E6388C"/>
    <w:rsid w:val="00E64405"/>
    <w:rsid w:val="00E64915"/>
    <w:rsid w:val="00E6605E"/>
    <w:rsid w:val="00E7022C"/>
    <w:rsid w:val="00E72B0D"/>
    <w:rsid w:val="00E72D18"/>
    <w:rsid w:val="00E7464D"/>
    <w:rsid w:val="00E772A2"/>
    <w:rsid w:val="00E81B81"/>
    <w:rsid w:val="00E85BB3"/>
    <w:rsid w:val="00E85C9D"/>
    <w:rsid w:val="00E878E6"/>
    <w:rsid w:val="00E90DC3"/>
    <w:rsid w:val="00E9176D"/>
    <w:rsid w:val="00E9518C"/>
    <w:rsid w:val="00E95C92"/>
    <w:rsid w:val="00E964A5"/>
    <w:rsid w:val="00E96D80"/>
    <w:rsid w:val="00EA1A0C"/>
    <w:rsid w:val="00EA22BC"/>
    <w:rsid w:val="00EA32D9"/>
    <w:rsid w:val="00EA4811"/>
    <w:rsid w:val="00EA4B2A"/>
    <w:rsid w:val="00EA5709"/>
    <w:rsid w:val="00EA5F73"/>
    <w:rsid w:val="00EA67F8"/>
    <w:rsid w:val="00EA740F"/>
    <w:rsid w:val="00EA7BB5"/>
    <w:rsid w:val="00EB07EB"/>
    <w:rsid w:val="00EB0CBE"/>
    <w:rsid w:val="00EB21B6"/>
    <w:rsid w:val="00EB37C2"/>
    <w:rsid w:val="00EB6337"/>
    <w:rsid w:val="00EB63F8"/>
    <w:rsid w:val="00EB67C7"/>
    <w:rsid w:val="00EB687B"/>
    <w:rsid w:val="00EB6DB3"/>
    <w:rsid w:val="00EC05A7"/>
    <w:rsid w:val="00EC4CC2"/>
    <w:rsid w:val="00EC4E4B"/>
    <w:rsid w:val="00EC4E4D"/>
    <w:rsid w:val="00EC53AD"/>
    <w:rsid w:val="00EC57EF"/>
    <w:rsid w:val="00ED0F1A"/>
    <w:rsid w:val="00ED3F5B"/>
    <w:rsid w:val="00ED6DE2"/>
    <w:rsid w:val="00EE263D"/>
    <w:rsid w:val="00EE2688"/>
    <w:rsid w:val="00EE37DC"/>
    <w:rsid w:val="00EE3F2B"/>
    <w:rsid w:val="00EE40CB"/>
    <w:rsid w:val="00EE5155"/>
    <w:rsid w:val="00EE5679"/>
    <w:rsid w:val="00EE5ACA"/>
    <w:rsid w:val="00EE5AE6"/>
    <w:rsid w:val="00EF1A0C"/>
    <w:rsid w:val="00EF1DC7"/>
    <w:rsid w:val="00EF2253"/>
    <w:rsid w:val="00EF33A6"/>
    <w:rsid w:val="00EF350D"/>
    <w:rsid w:val="00EF3D97"/>
    <w:rsid w:val="00EF411F"/>
    <w:rsid w:val="00EF5C95"/>
    <w:rsid w:val="00EF5D3E"/>
    <w:rsid w:val="00EF7A2B"/>
    <w:rsid w:val="00F00227"/>
    <w:rsid w:val="00F00CA4"/>
    <w:rsid w:val="00F01B20"/>
    <w:rsid w:val="00F01E3F"/>
    <w:rsid w:val="00F02A47"/>
    <w:rsid w:val="00F057FC"/>
    <w:rsid w:val="00F060D1"/>
    <w:rsid w:val="00F06A84"/>
    <w:rsid w:val="00F07ACD"/>
    <w:rsid w:val="00F10375"/>
    <w:rsid w:val="00F11517"/>
    <w:rsid w:val="00F1216B"/>
    <w:rsid w:val="00F123B6"/>
    <w:rsid w:val="00F123E2"/>
    <w:rsid w:val="00F13BEB"/>
    <w:rsid w:val="00F13D21"/>
    <w:rsid w:val="00F1568D"/>
    <w:rsid w:val="00F16DCD"/>
    <w:rsid w:val="00F20C8C"/>
    <w:rsid w:val="00F20C99"/>
    <w:rsid w:val="00F212B3"/>
    <w:rsid w:val="00F215ED"/>
    <w:rsid w:val="00F230D3"/>
    <w:rsid w:val="00F241A4"/>
    <w:rsid w:val="00F24BC4"/>
    <w:rsid w:val="00F24E17"/>
    <w:rsid w:val="00F254AB"/>
    <w:rsid w:val="00F26594"/>
    <w:rsid w:val="00F26606"/>
    <w:rsid w:val="00F270BB"/>
    <w:rsid w:val="00F3147A"/>
    <w:rsid w:val="00F32879"/>
    <w:rsid w:val="00F32E0C"/>
    <w:rsid w:val="00F333E6"/>
    <w:rsid w:val="00F33D4C"/>
    <w:rsid w:val="00F34CE0"/>
    <w:rsid w:val="00F35559"/>
    <w:rsid w:val="00F36C31"/>
    <w:rsid w:val="00F37A2F"/>
    <w:rsid w:val="00F37A96"/>
    <w:rsid w:val="00F37E15"/>
    <w:rsid w:val="00F406DB"/>
    <w:rsid w:val="00F4088F"/>
    <w:rsid w:val="00F41319"/>
    <w:rsid w:val="00F432B4"/>
    <w:rsid w:val="00F44EA3"/>
    <w:rsid w:val="00F45670"/>
    <w:rsid w:val="00F45C74"/>
    <w:rsid w:val="00F45D0A"/>
    <w:rsid w:val="00F506B3"/>
    <w:rsid w:val="00F50A04"/>
    <w:rsid w:val="00F51AAF"/>
    <w:rsid w:val="00F52C2A"/>
    <w:rsid w:val="00F54AF6"/>
    <w:rsid w:val="00F5602A"/>
    <w:rsid w:val="00F56352"/>
    <w:rsid w:val="00F579F3"/>
    <w:rsid w:val="00F60CC9"/>
    <w:rsid w:val="00F61AE2"/>
    <w:rsid w:val="00F61F35"/>
    <w:rsid w:val="00F63323"/>
    <w:rsid w:val="00F633BD"/>
    <w:rsid w:val="00F6346B"/>
    <w:rsid w:val="00F6432D"/>
    <w:rsid w:val="00F645E8"/>
    <w:rsid w:val="00F64D80"/>
    <w:rsid w:val="00F64E6E"/>
    <w:rsid w:val="00F65628"/>
    <w:rsid w:val="00F667CC"/>
    <w:rsid w:val="00F66964"/>
    <w:rsid w:val="00F66B30"/>
    <w:rsid w:val="00F716EF"/>
    <w:rsid w:val="00F73020"/>
    <w:rsid w:val="00F7383B"/>
    <w:rsid w:val="00F758C5"/>
    <w:rsid w:val="00F76141"/>
    <w:rsid w:val="00F76C0C"/>
    <w:rsid w:val="00F7703B"/>
    <w:rsid w:val="00F81A79"/>
    <w:rsid w:val="00F84C0A"/>
    <w:rsid w:val="00F85458"/>
    <w:rsid w:val="00F8566E"/>
    <w:rsid w:val="00F859AE"/>
    <w:rsid w:val="00F869B4"/>
    <w:rsid w:val="00F90063"/>
    <w:rsid w:val="00F915D3"/>
    <w:rsid w:val="00F917AC"/>
    <w:rsid w:val="00F922DE"/>
    <w:rsid w:val="00F927BF"/>
    <w:rsid w:val="00F940D4"/>
    <w:rsid w:val="00F94338"/>
    <w:rsid w:val="00F9708A"/>
    <w:rsid w:val="00FA0BEC"/>
    <w:rsid w:val="00FA135B"/>
    <w:rsid w:val="00FA16E8"/>
    <w:rsid w:val="00FA1DD5"/>
    <w:rsid w:val="00FA2B1D"/>
    <w:rsid w:val="00FA2FC2"/>
    <w:rsid w:val="00FA4DBB"/>
    <w:rsid w:val="00FA7F9B"/>
    <w:rsid w:val="00FB1338"/>
    <w:rsid w:val="00FB1F5C"/>
    <w:rsid w:val="00FB27FA"/>
    <w:rsid w:val="00FB4E22"/>
    <w:rsid w:val="00FB6A7C"/>
    <w:rsid w:val="00FB7652"/>
    <w:rsid w:val="00FB7EE7"/>
    <w:rsid w:val="00FB7F52"/>
    <w:rsid w:val="00FC1EF5"/>
    <w:rsid w:val="00FC3BEE"/>
    <w:rsid w:val="00FC3CB8"/>
    <w:rsid w:val="00FC7138"/>
    <w:rsid w:val="00FC7E9A"/>
    <w:rsid w:val="00FC7F6E"/>
    <w:rsid w:val="00FD01D4"/>
    <w:rsid w:val="00FD0CA7"/>
    <w:rsid w:val="00FD137B"/>
    <w:rsid w:val="00FD1CA2"/>
    <w:rsid w:val="00FD1CC1"/>
    <w:rsid w:val="00FD289F"/>
    <w:rsid w:val="00FD2A40"/>
    <w:rsid w:val="00FD300F"/>
    <w:rsid w:val="00FD348C"/>
    <w:rsid w:val="00FD3AED"/>
    <w:rsid w:val="00FD3B85"/>
    <w:rsid w:val="00FD45AF"/>
    <w:rsid w:val="00FD5C4A"/>
    <w:rsid w:val="00FD7CBB"/>
    <w:rsid w:val="00FD7D29"/>
    <w:rsid w:val="00FE0987"/>
    <w:rsid w:val="00FE131F"/>
    <w:rsid w:val="00FE215B"/>
    <w:rsid w:val="00FE4647"/>
    <w:rsid w:val="00FE4AB7"/>
    <w:rsid w:val="00FE4EDE"/>
    <w:rsid w:val="00FE7E1F"/>
    <w:rsid w:val="00FF02C1"/>
    <w:rsid w:val="00FF3E6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8B"/>
    <w:pPr>
      <w:jc w:val="both"/>
    </w:pPr>
    <w:rPr>
      <w:rFonts w:ascii="Garamond" w:hAnsi="Garamond"/>
      <w:lang w:val="en-GB"/>
    </w:rPr>
  </w:style>
  <w:style w:type="paragraph" w:styleId="Heading1">
    <w:name w:val="heading 1"/>
    <w:basedOn w:val="Normal"/>
    <w:next w:val="Normal"/>
    <w:link w:val="Heading1Char"/>
    <w:uiPriority w:val="9"/>
    <w:qFormat/>
    <w:rsid w:val="00FB7652"/>
    <w:pPr>
      <w:keepNext/>
      <w:keepLines/>
      <w:spacing w:before="240"/>
      <w:outlineLvl w:val="0"/>
    </w:pPr>
    <w:rPr>
      <w:rFonts w:eastAsiaTheme="majorEastAsia" w:cstheme="majorBidi"/>
      <w:b/>
      <w:bCs/>
      <w:color w:val="345A8A" w:themeColor="accent1" w:themeShade="B5"/>
      <w:sz w:val="32"/>
      <w:szCs w:val="32"/>
    </w:rPr>
  </w:style>
  <w:style w:type="paragraph" w:styleId="Heading2">
    <w:name w:val="heading 2"/>
    <w:basedOn w:val="Heading1"/>
    <w:next w:val="Normal"/>
    <w:link w:val="Heading2Char"/>
    <w:autoRedefine/>
    <w:uiPriority w:val="9"/>
    <w:unhideWhenUsed/>
    <w:qFormat/>
    <w:rsid w:val="0076616A"/>
    <w:pPr>
      <w:spacing w:before="200"/>
      <w:outlineLvl w:val="1"/>
    </w:pPr>
    <w:rPr>
      <w:bCs w:val="0"/>
      <w:color w:val="4F81BD" w:themeColor="accent1"/>
      <w:sz w:val="26"/>
      <w:szCs w:val="26"/>
    </w:rPr>
  </w:style>
  <w:style w:type="paragraph" w:styleId="Heading3">
    <w:name w:val="heading 3"/>
    <w:basedOn w:val="Normal"/>
    <w:next w:val="Normal"/>
    <w:link w:val="Heading3Char"/>
    <w:uiPriority w:val="9"/>
    <w:unhideWhenUsed/>
    <w:qFormat/>
    <w:rsid w:val="00C34F9F"/>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F350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2,3"/>
    <w:basedOn w:val="Normal"/>
    <w:link w:val="ListParagraphChar"/>
    <w:autoRedefine/>
    <w:uiPriority w:val="34"/>
    <w:qFormat/>
    <w:rsid w:val="002F0EE8"/>
    <w:pPr>
      <w:numPr>
        <w:numId w:val="41"/>
      </w:numPr>
    </w:pPr>
    <w:rPr>
      <w:rFonts w:cs="Times New Roman"/>
    </w:rPr>
  </w:style>
  <w:style w:type="character" w:customStyle="1" w:styleId="Heading2Char">
    <w:name w:val="Heading 2 Char"/>
    <w:basedOn w:val="DefaultParagraphFont"/>
    <w:link w:val="Heading2"/>
    <w:uiPriority w:val="9"/>
    <w:rsid w:val="0076616A"/>
    <w:rPr>
      <w:rFonts w:ascii="Garamond" w:eastAsiaTheme="majorEastAsia" w:hAnsi="Garamond" w:cstheme="majorBidi"/>
      <w:b/>
      <w:color w:val="4F81BD" w:themeColor="accent1"/>
      <w:sz w:val="26"/>
      <w:szCs w:val="26"/>
      <w:lang w:val="en-GB"/>
    </w:rPr>
  </w:style>
  <w:style w:type="character" w:customStyle="1" w:styleId="Heading1Char">
    <w:name w:val="Heading 1 Char"/>
    <w:basedOn w:val="DefaultParagraphFont"/>
    <w:link w:val="Heading1"/>
    <w:uiPriority w:val="9"/>
    <w:rsid w:val="00FB7652"/>
    <w:rPr>
      <w:rFonts w:ascii="Garamond" w:eastAsiaTheme="majorEastAsia" w:hAnsi="Garamond" w:cstheme="majorBidi"/>
      <w:b/>
      <w:bCs/>
      <w:color w:val="345A8A" w:themeColor="accent1" w:themeShade="B5"/>
      <w:sz w:val="32"/>
      <w:szCs w:val="32"/>
      <w:lang w:val="en-GB"/>
    </w:rPr>
  </w:style>
  <w:style w:type="paragraph" w:styleId="Header">
    <w:name w:val="header"/>
    <w:basedOn w:val="Normal"/>
    <w:link w:val="HeaderChar"/>
    <w:uiPriority w:val="99"/>
    <w:unhideWhenUsed/>
    <w:rsid w:val="00C42BE9"/>
    <w:pPr>
      <w:tabs>
        <w:tab w:val="center" w:pos="4819"/>
        <w:tab w:val="right" w:pos="9638"/>
      </w:tabs>
    </w:pPr>
  </w:style>
  <w:style w:type="character" w:customStyle="1" w:styleId="HeaderChar">
    <w:name w:val="Header Char"/>
    <w:basedOn w:val="DefaultParagraphFont"/>
    <w:link w:val="Header"/>
    <w:uiPriority w:val="99"/>
    <w:rsid w:val="00C42BE9"/>
    <w:rPr>
      <w:lang w:val="en-GB"/>
    </w:rPr>
  </w:style>
  <w:style w:type="paragraph" w:styleId="Footer">
    <w:name w:val="footer"/>
    <w:basedOn w:val="Normal"/>
    <w:link w:val="FooterChar"/>
    <w:uiPriority w:val="99"/>
    <w:unhideWhenUsed/>
    <w:rsid w:val="00C42BE9"/>
    <w:pPr>
      <w:tabs>
        <w:tab w:val="center" w:pos="4819"/>
        <w:tab w:val="right" w:pos="9638"/>
      </w:tabs>
    </w:pPr>
  </w:style>
  <w:style w:type="character" w:customStyle="1" w:styleId="FooterChar">
    <w:name w:val="Footer Char"/>
    <w:basedOn w:val="DefaultParagraphFont"/>
    <w:link w:val="Footer"/>
    <w:uiPriority w:val="99"/>
    <w:rsid w:val="00C42BE9"/>
    <w:rPr>
      <w:lang w:val="en-GB"/>
    </w:rPr>
  </w:style>
  <w:style w:type="paragraph" w:styleId="BalloonText">
    <w:name w:val="Balloon Text"/>
    <w:basedOn w:val="Normal"/>
    <w:link w:val="BalloonTextChar"/>
    <w:uiPriority w:val="99"/>
    <w:semiHidden/>
    <w:unhideWhenUsed/>
    <w:rsid w:val="00C42B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BE9"/>
    <w:rPr>
      <w:rFonts w:ascii="Lucida Grande" w:hAnsi="Lucida Grande" w:cs="Lucida Grande"/>
      <w:sz w:val="18"/>
      <w:szCs w:val="18"/>
      <w:lang w:val="en-GB"/>
    </w:rPr>
  </w:style>
  <w:style w:type="character" w:styleId="PageNumber">
    <w:name w:val="page number"/>
    <w:basedOn w:val="DefaultParagraphFont"/>
    <w:uiPriority w:val="99"/>
    <w:semiHidden/>
    <w:unhideWhenUsed/>
    <w:rsid w:val="00BF1F4D"/>
  </w:style>
  <w:style w:type="character" w:styleId="Hyperlink">
    <w:name w:val="Hyperlink"/>
    <w:basedOn w:val="DefaultParagraphFont"/>
    <w:uiPriority w:val="99"/>
    <w:unhideWhenUsed/>
    <w:rsid w:val="0043405E"/>
    <w:rPr>
      <w:color w:val="0000FF" w:themeColor="hyperlink"/>
      <w:u w:val="single"/>
    </w:rPr>
  </w:style>
  <w:style w:type="table" w:styleId="TableGrid">
    <w:name w:val="Table Grid"/>
    <w:basedOn w:val="TableNormal"/>
    <w:uiPriority w:val="59"/>
    <w:rsid w:val="00434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1731F"/>
    <w:pPr>
      <w:contextualSpacing/>
    </w:pPr>
    <w:rPr>
      <w:rFonts w:ascii="Cambria" w:eastAsiaTheme="majorEastAsia" w:hAnsi="Cambria" w:cstheme="majorBidi"/>
      <w:spacing w:val="-10"/>
      <w:kern w:val="28"/>
      <w:sz w:val="40"/>
      <w:szCs w:val="56"/>
    </w:rPr>
  </w:style>
  <w:style w:type="character" w:customStyle="1" w:styleId="TitleChar">
    <w:name w:val="Title Char"/>
    <w:basedOn w:val="DefaultParagraphFont"/>
    <w:link w:val="Title"/>
    <w:uiPriority w:val="10"/>
    <w:rsid w:val="0021731F"/>
    <w:rPr>
      <w:rFonts w:ascii="Cambria" w:eastAsiaTheme="majorEastAsia" w:hAnsi="Cambria" w:cstheme="majorBidi"/>
      <w:spacing w:val="-10"/>
      <w:kern w:val="28"/>
      <w:sz w:val="40"/>
      <w:szCs w:val="56"/>
      <w:lang w:val="en-GB"/>
    </w:rPr>
  </w:style>
  <w:style w:type="character" w:styleId="CommentReference">
    <w:name w:val="annotation reference"/>
    <w:basedOn w:val="DefaultParagraphFont"/>
    <w:uiPriority w:val="99"/>
    <w:semiHidden/>
    <w:unhideWhenUsed/>
    <w:rsid w:val="0021731F"/>
    <w:rPr>
      <w:sz w:val="16"/>
      <w:szCs w:val="16"/>
    </w:rPr>
  </w:style>
  <w:style w:type="paragraph" w:styleId="CommentText">
    <w:name w:val="annotation text"/>
    <w:basedOn w:val="Normal"/>
    <w:link w:val="CommentTextChar"/>
    <w:uiPriority w:val="99"/>
    <w:unhideWhenUsed/>
    <w:rsid w:val="0021731F"/>
    <w:rPr>
      <w:sz w:val="20"/>
      <w:szCs w:val="20"/>
    </w:rPr>
  </w:style>
  <w:style w:type="character" w:customStyle="1" w:styleId="CommentTextChar">
    <w:name w:val="Comment Text Char"/>
    <w:basedOn w:val="DefaultParagraphFont"/>
    <w:link w:val="CommentText"/>
    <w:uiPriority w:val="99"/>
    <w:rsid w:val="0021731F"/>
    <w:rPr>
      <w:sz w:val="20"/>
      <w:szCs w:val="20"/>
      <w:lang w:val="en-GB"/>
    </w:rPr>
  </w:style>
  <w:style w:type="paragraph" w:styleId="CommentSubject">
    <w:name w:val="annotation subject"/>
    <w:basedOn w:val="CommentText"/>
    <w:next w:val="CommentText"/>
    <w:link w:val="CommentSubjectChar"/>
    <w:uiPriority w:val="99"/>
    <w:semiHidden/>
    <w:unhideWhenUsed/>
    <w:rsid w:val="0021731F"/>
    <w:rPr>
      <w:b/>
      <w:bCs/>
    </w:rPr>
  </w:style>
  <w:style w:type="character" w:customStyle="1" w:styleId="CommentSubjectChar">
    <w:name w:val="Comment Subject Char"/>
    <w:basedOn w:val="CommentTextChar"/>
    <w:link w:val="CommentSubject"/>
    <w:uiPriority w:val="99"/>
    <w:semiHidden/>
    <w:rsid w:val="0021731F"/>
    <w:rPr>
      <w:b/>
      <w:bCs/>
      <w:sz w:val="20"/>
      <w:szCs w:val="20"/>
      <w:lang w:val="en-GB"/>
    </w:rPr>
  </w:style>
  <w:style w:type="character" w:styleId="FollowedHyperlink">
    <w:name w:val="FollowedHyperlink"/>
    <w:basedOn w:val="DefaultParagraphFont"/>
    <w:uiPriority w:val="99"/>
    <w:semiHidden/>
    <w:unhideWhenUsed/>
    <w:rsid w:val="00DC5CAC"/>
    <w:rPr>
      <w:color w:val="800080" w:themeColor="followedHyperlink"/>
      <w:u w:val="singl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dnotetekst,f"/>
    <w:basedOn w:val="Normal"/>
    <w:link w:val="FootnoteTextChar"/>
    <w:uiPriority w:val="99"/>
    <w:unhideWhenUsed/>
    <w:qFormat/>
    <w:rsid w:val="00DC5CAC"/>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DC5CAC"/>
    <w:rPr>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4_G,Ref,de nota al pie,referencia nota al pie"/>
    <w:basedOn w:val="DefaultParagraphFont"/>
    <w:link w:val="Char2"/>
    <w:uiPriority w:val="99"/>
    <w:unhideWhenUsed/>
    <w:qFormat/>
    <w:rsid w:val="00DC5CAC"/>
    <w:rPr>
      <w:vertAlign w:val="superscript"/>
    </w:rPr>
  </w:style>
  <w:style w:type="character" w:customStyle="1" w:styleId="Heading3Char">
    <w:name w:val="Heading 3 Char"/>
    <w:basedOn w:val="DefaultParagraphFont"/>
    <w:link w:val="Heading3"/>
    <w:uiPriority w:val="9"/>
    <w:rsid w:val="00C34F9F"/>
    <w:rPr>
      <w:rFonts w:asciiTheme="majorHAnsi" w:eastAsiaTheme="majorEastAsia" w:hAnsiTheme="majorHAnsi" w:cstheme="majorBidi"/>
      <w:color w:val="243F60" w:themeColor="accent1" w:themeShade="7F"/>
      <w:lang w:val="en-GB"/>
    </w:rPr>
  </w:style>
  <w:style w:type="table" w:customStyle="1" w:styleId="Tabel-Gitter1">
    <w:name w:val="Tabel - Gitter1"/>
    <w:basedOn w:val="TableNormal"/>
    <w:next w:val="TableGrid"/>
    <w:uiPriority w:val="59"/>
    <w:rsid w:val="00C34F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879"/>
    <w:rPr>
      <w:rFonts w:ascii="Garamond" w:hAnsi="Garamond"/>
      <w:lang w:val="en-GB"/>
    </w:rPr>
  </w:style>
  <w:style w:type="paragraph" w:customStyle="1" w:styleId="Char2">
    <w:name w:val="Char2"/>
    <w:basedOn w:val="Normal"/>
    <w:link w:val="FootnoteReference"/>
    <w:uiPriority w:val="99"/>
    <w:rsid w:val="00084508"/>
    <w:pPr>
      <w:spacing w:after="160" w:line="240" w:lineRule="exact"/>
      <w:jc w:val="left"/>
    </w:pPr>
    <w:rPr>
      <w:rFonts w:asciiTheme="minorHAnsi" w:hAnsiTheme="minorHAnsi"/>
      <w:vertAlign w:val="superscript"/>
      <w:lang w:val="da-DK"/>
    </w:rPr>
  </w:style>
  <w:style w:type="paragraph" w:styleId="BodyText">
    <w:name w:val="Body Text"/>
    <w:link w:val="BodyTextChar"/>
    <w:unhideWhenUsed/>
    <w:qFormat/>
    <w:rsid w:val="00D14699"/>
    <w:pPr>
      <w:numPr>
        <w:numId w:val="1"/>
      </w:numPr>
      <w:spacing w:before="120" w:after="120" w:line="276" w:lineRule="auto"/>
      <w:jc w:val="both"/>
    </w:pPr>
    <w:rPr>
      <w:rFonts w:ascii="Garamond" w:eastAsia="Times New Roman" w:hAnsi="Garamond" w:cs="Times New Roman"/>
      <w:szCs w:val="22"/>
      <w:lang w:val="en-US" w:eastAsia="ja-JP" w:bidi="en-US"/>
    </w:rPr>
  </w:style>
  <w:style w:type="character" w:customStyle="1" w:styleId="BodyTextChar">
    <w:name w:val="Body Text Char"/>
    <w:basedOn w:val="DefaultParagraphFont"/>
    <w:link w:val="BodyText"/>
    <w:rsid w:val="00D14699"/>
    <w:rPr>
      <w:rFonts w:ascii="Garamond" w:eastAsia="Times New Roman" w:hAnsi="Garamond" w:cs="Times New Roman"/>
      <w:szCs w:val="22"/>
      <w:lang w:val="en-US" w:eastAsia="ja-JP" w:bidi="en-US"/>
    </w:rPr>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qFormat/>
    <w:locked/>
    <w:rsid w:val="002F0EE8"/>
    <w:rPr>
      <w:rFonts w:ascii="Garamond" w:hAnsi="Garamond" w:cs="Times New Roman"/>
      <w:lang w:val="en-GB"/>
    </w:rPr>
  </w:style>
  <w:style w:type="paragraph" w:styleId="ListNumber">
    <w:name w:val="List Number"/>
    <w:basedOn w:val="Normal"/>
    <w:uiPriority w:val="99"/>
    <w:unhideWhenUsed/>
    <w:rsid w:val="005D645A"/>
    <w:pPr>
      <w:numPr>
        <w:numId w:val="2"/>
      </w:numPr>
      <w:contextualSpacing/>
    </w:pPr>
    <w:rPr>
      <w:szCs w:val="22"/>
      <w:lang w:val="da-DK"/>
    </w:rPr>
  </w:style>
  <w:style w:type="paragraph" w:customStyle="1" w:styleId="Default">
    <w:name w:val="Default"/>
    <w:rsid w:val="00226601"/>
    <w:pPr>
      <w:autoSpaceDE w:val="0"/>
      <w:autoSpaceDN w:val="0"/>
      <w:adjustRightInd w:val="0"/>
    </w:pPr>
    <w:rPr>
      <w:rFonts w:ascii="Calibri" w:eastAsiaTheme="minorHAnsi" w:hAnsi="Calibri" w:cs="Calibri"/>
      <w:color w:val="000000"/>
      <w:lang w:val="en-GB" w:eastAsia="en-US"/>
    </w:rPr>
  </w:style>
  <w:style w:type="paragraph" w:styleId="Caption">
    <w:name w:val="caption"/>
    <w:basedOn w:val="Normal"/>
    <w:next w:val="Normal"/>
    <w:uiPriority w:val="35"/>
    <w:unhideWhenUsed/>
    <w:qFormat/>
    <w:rsid w:val="00226601"/>
    <w:pPr>
      <w:spacing w:after="200"/>
    </w:pPr>
    <w:rPr>
      <w:rFonts w:asciiTheme="minorHAnsi" w:eastAsiaTheme="minorHAnsi" w:hAnsiTheme="minorHAnsi"/>
      <w:i/>
      <w:iCs/>
      <w:color w:val="1F497D" w:themeColor="text2"/>
      <w:sz w:val="18"/>
      <w:szCs w:val="18"/>
      <w:lang w:val="da-DK" w:eastAsia="en-US"/>
    </w:rPr>
  </w:style>
  <w:style w:type="paragraph" w:styleId="NoSpacing">
    <w:name w:val="No Spacing"/>
    <w:uiPriority w:val="1"/>
    <w:qFormat/>
    <w:rsid w:val="00226601"/>
    <w:rPr>
      <w:sz w:val="22"/>
      <w:szCs w:val="22"/>
    </w:rPr>
  </w:style>
  <w:style w:type="paragraph" w:styleId="ListBullet">
    <w:name w:val="List Bullet"/>
    <w:basedOn w:val="Normal"/>
    <w:uiPriority w:val="99"/>
    <w:unhideWhenUsed/>
    <w:rsid w:val="00226601"/>
    <w:pPr>
      <w:numPr>
        <w:numId w:val="3"/>
      </w:numPr>
      <w:spacing w:after="200" w:line="276" w:lineRule="auto"/>
      <w:contextualSpacing/>
    </w:pPr>
    <w:rPr>
      <w:rFonts w:asciiTheme="minorHAnsi" w:hAnsiTheme="minorHAnsi"/>
      <w:sz w:val="22"/>
      <w:szCs w:val="22"/>
      <w:lang w:val="da-DK"/>
    </w:rPr>
  </w:style>
  <w:style w:type="paragraph" w:styleId="NormalWeb">
    <w:name w:val="Normal (Web)"/>
    <w:basedOn w:val="Normal"/>
    <w:uiPriority w:val="99"/>
    <w:unhideWhenUsed/>
    <w:rsid w:val="007B61C4"/>
    <w:pPr>
      <w:spacing w:before="100" w:beforeAutospacing="1" w:after="100" w:afterAutospacing="1"/>
      <w:jc w:val="left"/>
    </w:pPr>
    <w:rPr>
      <w:rFonts w:ascii="Times New Roman" w:eastAsia="Times New Roman" w:hAnsi="Times New Roman" w:cs="Times New Roman"/>
      <w:lang w:eastAsia="en-US"/>
    </w:rPr>
  </w:style>
  <w:style w:type="character" w:styleId="Emphasis">
    <w:name w:val="Emphasis"/>
    <w:basedOn w:val="DefaultParagraphFont"/>
    <w:uiPriority w:val="20"/>
    <w:qFormat/>
    <w:rsid w:val="00B17537"/>
    <w:rPr>
      <w:i/>
      <w:iCs/>
    </w:rPr>
  </w:style>
  <w:style w:type="character" w:customStyle="1" w:styleId="Heading7Char">
    <w:name w:val="Heading 7 Char"/>
    <w:basedOn w:val="DefaultParagraphFont"/>
    <w:link w:val="Heading7"/>
    <w:uiPriority w:val="9"/>
    <w:semiHidden/>
    <w:rsid w:val="00EF350D"/>
    <w:rPr>
      <w:rFonts w:asciiTheme="majorHAnsi" w:eastAsiaTheme="majorEastAsia" w:hAnsiTheme="majorHAnsi" w:cstheme="majorBidi"/>
      <w:i/>
      <w:iCs/>
      <w:color w:val="243F60" w:themeColor="accent1" w:themeShade="7F"/>
      <w:lang w:val="en-GB"/>
    </w:rPr>
  </w:style>
  <w:style w:type="paragraph" w:styleId="BodyText3">
    <w:name w:val="Body Text 3"/>
    <w:basedOn w:val="Normal"/>
    <w:link w:val="BodyText3Char"/>
    <w:uiPriority w:val="99"/>
    <w:semiHidden/>
    <w:unhideWhenUsed/>
    <w:rsid w:val="00EF350D"/>
    <w:pPr>
      <w:spacing w:after="120"/>
    </w:pPr>
    <w:rPr>
      <w:sz w:val="16"/>
      <w:szCs w:val="16"/>
    </w:rPr>
  </w:style>
  <w:style w:type="character" w:customStyle="1" w:styleId="BodyText3Char">
    <w:name w:val="Body Text 3 Char"/>
    <w:basedOn w:val="DefaultParagraphFont"/>
    <w:link w:val="BodyText3"/>
    <w:uiPriority w:val="99"/>
    <w:semiHidden/>
    <w:rsid w:val="00EF350D"/>
    <w:rPr>
      <w:rFonts w:ascii="Garamond" w:hAnsi="Garamond"/>
      <w:sz w:val="16"/>
      <w:szCs w:val="16"/>
      <w:lang w:val="en-GB"/>
    </w:rPr>
  </w:style>
  <w:style w:type="paragraph" w:customStyle="1" w:styleId="NormaDoc">
    <w:name w:val="NormaDoc"/>
    <w:basedOn w:val="Normal"/>
    <w:rsid w:val="00EF350D"/>
    <w:pPr>
      <w:spacing w:before="120" w:after="240"/>
    </w:pPr>
    <w:rPr>
      <w:rFonts w:ascii="Times New Roman" w:eastAsia="Times New Roman" w:hAnsi="Times New Roman" w:cs="Times New Roman"/>
      <w:sz w:val="22"/>
      <w:szCs w:val="22"/>
      <w:lang w:val="en-US" w:eastAsia="en-US"/>
    </w:rPr>
  </w:style>
  <w:style w:type="character" w:customStyle="1" w:styleId="tlid-translation">
    <w:name w:val="tlid-translation"/>
    <w:basedOn w:val="DefaultParagraphFont"/>
    <w:rsid w:val="00EF2253"/>
  </w:style>
  <w:style w:type="character" w:styleId="Strong">
    <w:name w:val="Strong"/>
    <w:basedOn w:val="DefaultParagraphFont"/>
    <w:uiPriority w:val="22"/>
    <w:qFormat/>
    <w:rsid w:val="00793DB6"/>
    <w:rPr>
      <w:b/>
      <w:bCs/>
    </w:rPr>
  </w:style>
  <w:style w:type="paragraph" w:customStyle="1" w:styleId="xxmsonormal">
    <w:name w:val="x_xmsonormal"/>
    <w:basedOn w:val="Normal"/>
    <w:rsid w:val="009A7204"/>
    <w:pPr>
      <w:jc w:val="left"/>
    </w:pPr>
    <w:rPr>
      <w:rFonts w:ascii="Calibri" w:eastAsiaTheme="minorHAnsi" w:hAnsi="Calibri" w:cs="Calibri"/>
      <w:sz w:val="22"/>
      <w:szCs w:val="22"/>
      <w:lang w:val="fr-FR" w:eastAsia="fr-FR"/>
    </w:rPr>
  </w:style>
  <w:style w:type="character" w:customStyle="1" w:styleId="UnresolvedMention1">
    <w:name w:val="Unresolved Mention1"/>
    <w:basedOn w:val="DefaultParagraphFont"/>
    <w:uiPriority w:val="99"/>
    <w:semiHidden/>
    <w:unhideWhenUsed/>
    <w:rsid w:val="00215884"/>
    <w:rPr>
      <w:color w:val="605E5C"/>
      <w:shd w:val="clear" w:color="auto" w:fill="E1DFDD"/>
    </w:rPr>
  </w:style>
  <w:style w:type="table" w:customStyle="1" w:styleId="TableGrid1">
    <w:name w:val="Table Grid1"/>
    <w:basedOn w:val="TableNormal"/>
    <w:next w:val="TableGrid"/>
    <w:uiPriority w:val="59"/>
    <w:rsid w:val="000659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008F7"/>
    <w:rPr>
      <w:color w:val="605E5C"/>
      <w:shd w:val="clear" w:color="auto" w:fill="E1DFDD"/>
    </w:rPr>
  </w:style>
  <w:style w:type="table" w:customStyle="1" w:styleId="TableGrid2">
    <w:name w:val="Table Grid2"/>
    <w:basedOn w:val="TableNormal"/>
    <w:next w:val="TableGrid"/>
    <w:uiPriority w:val="59"/>
    <w:rsid w:val="001B5A8B"/>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177A"/>
    <w:pPr>
      <w:spacing w:line="259" w:lineRule="auto"/>
      <w:jc w:val="left"/>
      <w:outlineLvl w:val="9"/>
    </w:pPr>
    <w:rPr>
      <w:rFonts w:asciiTheme="majorHAnsi" w:hAnsiTheme="majorHAnsi"/>
      <w:b w:val="0"/>
      <w:bCs w:val="0"/>
      <w:color w:val="365F91" w:themeColor="accent1" w:themeShade="BF"/>
      <w:lang w:val="en-US" w:eastAsia="en-US"/>
    </w:rPr>
  </w:style>
  <w:style w:type="paragraph" w:styleId="TOC1">
    <w:name w:val="toc 1"/>
    <w:basedOn w:val="Normal"/>
    <w:next w:val="Normal"/>
    <w:autoRedefine/>
    <w:uiPriority w:val="39"/>
    <w:unhideWhenUsed/>
    <w:rsid w:val="0047177A"/>
    <w:pPr>
      <w:spacing w:after="100"/>
    </w:pPr>
  </w:style>
  <w:style w:type="paragraph" w:styleId="TOC2">
    <w:name w:val="toc 2"/>
    <w:basedOn w:val="Normal"/>
    <w:next w:val="Normal"/>
    <w:autoRedefine/>
    <w:uiPriority w:val="39"/>
    <w:unhideWhenUsed/>
    <w:rsid w:val="00D5002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857">
      <w:bodyDiv w:val="1"/>
      <w:marLeft w:val="0"/>
      <w:marRight w:val="0"/>
      <w:marTop w:val="0"/>
      <w:marBottom w:val="0"/>
      <w:divBdr>
        <w:top w:val="none" w:sz="0" w:space="0" w:color="auto"/>
        <w:left w:val="none" w:sz="0" w:space="0" w:color="auto"/>
        <w:bottom w:val="none" w:sz="0" w:space="0" w:color="auto"/>
        <w:right w:val="none" w:sz="0" w:space="0" w:color="auto"/>
      </w:divBdr>
    </w:div>
    <w:div w:id="139083111">
      <w:bodyDiv w:val="1"/>
      <w:marLeft w:val="0"/>
      <w:marRight w:val="0"/>
      <w:marTop w:val="0"/>
      <w:marBottom w:val="0"/>
      <w:divBdr>
        <w:top w:val="none" w:sz="0" w:space="0" w:color="auto"/>
        <w:left w:val="none" w:sz="0" w:space="0" w:color="auto"/>
        <w:bottom w:val="none" w:sz="0" w:space="0" w:color="auto"/>
        <w:right w:val="none" w:sz="0" w:space="0" w:color="auto"/>
      </w:divBdr>
    </w:div>
    <w:div w:id="216816489">
      <w:bodyDiv w:val="1"/>
      <w:marLeft w:val="0"/>
      <w:marRight w:val="0"/>
      <w:marTop w:val="0"/>
      <w:marBottom w:val="0"/>
      <w:divBdr>
        <w:top w:val="none" w:sz="0" w:space="0" w:color="auto"/>
        <w:left w:val="none" w:sz="0" w:space="0" w:color="auto"/>
        <w:bottom w:val="none" w:sz="0" w:space="0" w:color="auto"/>
        <w:right w:val="none" w:sz="0" w:space="0" w:color="auto"/>
      </w:divBdr>
    </w:div>
    <w:div w:id="264925831">
      <w:bodyDiv w:val="1"/>
      <w:marLeft w:val="0"/>
      <w:marRight w:val="0"/>
      <w:marTop w:val="0"/>
      <w:marBottom w:val="0"/>
      <w:divBdr>
        <w:top w:val="none" w:sz="0" w:space="0" w:color="auto"/>
        <w:left w:val="none" w:sz="0" w:space="0" w:color="auto"/>
        <w:bottom w:val="none" w:sz="0" w:space="0" w:color="auto"/>
        <w:right w:val="none" w:sz="0" w:space="0" w:color="auto"/>
      </w:divBdr>
    </w:div>
    <w:div w:id="312873801">
      <w:bodyDiv w:val="1"/>
      <w:marLeft w:val="0"/>
      <w:marRight w:val="0"/>
      <w:marTop w:val="0"/>
      <w:marBottom w:val="0"/>
      <w:divBdr>
        <w:top w:val="none" w:sz="0" w:space="0" w:color="auto"/>
        <w:left w:val="none" w:sz="0" w:space="0" w:color="auto"/>
        <w:bottom w:val="none" w:sz="0" w:space="0" w:color="auto"/>
        <w:right w:val="none" w:sz="0" w:space="0" w:color="auto"/>
      </w:divBdr>
    </w:div>
    <w:div w:id="392044710">
      <w:bodyDiv w:val="1"/>
      <w:marLeft w:val="0"/>
      <w:marRight w:val="0"/>
      <w:marTop w:val="0"/>
      <w:marBottom w:val="0"/>
      <w:divBdr>
        <w:top w:val="none" w:sz="0" w:space="0" w:color="auto"/>
        <w:left w:val="none" w:sz="0" w:space="0" w:color="auto"/>
        <w:bottom w:val="none" w:sz="0" w:space="0" w:color="auto"/>
        <w:right w:val="none" w:sz="0" w:space="0" w:color="auto"/>
      </w:divBdr>
    </w:div>
    <w:div w:id="570115868">
      <w:bodyDiv w:val="1"/>
      <w:marLeft w:val="0"/>
      <w:marRight w:val="0"/>
      <w:marTop w:val="0"/>
      <w:marBottom w:val="0"/>
      <w:divBdr>
        <w:top w:val="none" w:sz="0" w:space="0" w:color="auto"/>
        <w:left w:val="none" w:sz="0" w:space="0" w:color="auto"/>
        <w:bottom w:val="none" w:sz="0" w:space="0" w:color="auto"/>
        <w:right w:val="none" w:sz="0" w:space="0" w:color="auto"/>
      </w:divBdr>
    </w:div>
    <w:div w:id="581140148">
      <w:bodyDiv w:val="1"/>
      <w:marLeft w:val="0"/>
      <w:marRight w:val="0"/>
      <w:marTop w:val="0"/>
      <w:marBottom w:val="0"/>
      <w:divBdr>
        <w:top w:val="none" w:sz="0" w:space="0" w:color="auto"/>
        <w:left w:val="none" w:sz="0" w:space="0" w:color="auto"/>
        <w:bottom w:val="none" w:sz="0" w:space="0" w:color="auto"/>
        <w:right w:val="none" w:sz="0" w:space="0" w:color="auto"/>
      </w:divBdr>
    </w:div>
    <w:div w:id="682899399">
      <w:bodyDiv w:val="1"/>
      <w:marLeft w:val="0"/>
      <w:marRight w:val="0"/>
      <w:marTop w:val="0"/>
      <w:marBottom w:val="0"/>
      <w:divBdr>
        <w:top w:val="none" w:sz="0" w:space="0" w:color="auto"/>
        <w:left w:val="none" w:sz="0" w:space="0" w:color="auto"/>
        <w:bottom w:val="none" w:sz="0" w:space="0" w:color="auto"/>
        <w:right w:val="none" w:sz="0" w:space="0" w:color="auto"/>
      </w:divBdr>
      <w:divsChild>
        <w:div w:id="1480728921">
          <w:marLeft w:val="360"/>
          <w:marRight w:val="0"/>
          <w:marTop w:val="200"/>
          <w:marBottom w:val="0"/>
          <w:divBdr>
            <w:top w:val="none" w:sz="0" w:space="0" w:color="auto"/>
            <w:left w:val="none" w:sz="0" w:space="0" w:color="auto"/>
            <w:bottom w:val="none" w:sz="0" w:space="0" w:color="auto"/>
            <w:right w:val="none" w:sz="0" w:space="0" w:color="auto"/>
          </w:divBdr>
        </w:div>
        <w:div w:id="1348480225">
          <w:marLeft w:val="360"/>
          <w:marRight w:val="0"/>
          <w:marTop w:val="200"/>
          <w:marBottom w:val="0"/>
          <w:divBdr>
            <w:top w:val="none" w:sz="0" w:space="0" w:color="auto"/>
            <w:left w:val="none" w:sz="0" w:space="0" w:color="auto"/>
            <w:bottom w:val="none" w:sz="0" w:space="0" w:color="auto"/>
            <w:right w:val="none" w:sz="0" w:space="0" w:color="auto"/>
          </w:divBdr>
        </w:div>
        <w:div w:id="1802386555">
          <w:marLeft w:val="360"/>
          <w:marRight w:val="0"/>
          <w:marTop w:val="200"/>
          <w:marBottom w:val="0"/>
          <w:divBdr>
            <w:top w:val="none" w:sz="0" w:space="0" w:color="auto"/>
            <w:left w:val="none" w:sz="0" w:space="0" w:color="auto"/>
            <w:bottom w:val="none" w:sz="0" w:space="0" w:color="auto"/>
            <w:right w:val="none" w:sz="0" w:space="0" w:color="auto"/>
          </w:divBdr>
        </w:div>
        <w:div w:id="497767629">
          <w:marLeft w:val="360"/>
          <w:marRight w:val="0"/>
          <w:marTop w:val="200"/>
          <w:marBottom w:val="0"/>
          <w:divBdr>
            <w:top w:val="none" w:sz="0" w:space="0" w:color="auto"/>
            <w:left w:val="none" w:sz="0" w:space="0" w:color="auto"/>
            <w:bottom w:val="none" w:sz="0" w:space="0" w:color="auto"/>
            <w:right w:val="none" w:sz="0" w:space="0" w:color="auto"/>
          </w:divBdr>
        </w:div>
        <w:div w:id="252397974">
          <w:marLeft w:val="360"/>
          <w:marRight w:val="0"/>
          <w:marTop w:val="200"/>
          <w:marBottom w:val="0"/>
          <w:divBdr>
            <w:top w:val="none" w:sz="0" w:space="0" w:color="auto"/>
            <w:left w:val="none" w:sz="0" w:space="0" w:color="auto"/>
            <w:bottom w:val="none" w:sz="0" w:space="0" w:color="auto"/>
            <w:right w:val="none" w:sz="0" w:space="0" w:color="auto"/>
          </w:divBdr>
        </w:div>
      </w:divsChild>
    </w:div>
    <w:div w:id="697896866">
      <w:bodyDiv w:val="1"/>
      <w:marLeft w:val="0"/>
      <w:marRight w:val="0"/>
      <w:marTop w:val="0"/>
      <w:marBottom w:val="0"/>
      <w:divBdr>
        <w:top w:val="none" w:sz="0" w:space="0" w:color="auto"/>
        <w:left w:val="none" w:sz="0" w:space="0" w:color="auto"/>
        <w:bottom w:val="none" w:sz="0" w:space="0" w:color="auto"/>
        <w:right w:val="none" w:sz="0" w:space="0" w:color="auto"/>
      </w:divBdr>
    </w:div>
    <w:div w:id="988679100">
      <w:bodyDiv w:val="1"/>
      <w:marLeft w:val="0"/>
      <w:marRight w:val="0"/>
      <w:marTop w:val="0"/>
      <w:marBottom w:val="0"/>
      <w:divBdr>
        <w:top w:val="none" w:sz="0" w:space="0" w:color="auto"/>
        <w:left w:val="none" w:sz="0" w:space="0" w:color="auto"/>
        <w:bottom w:val="none" w:sz="0" w:space="0" w:color="auto"/>
        <w:right w:val="none" w:sz="0" w:space="0" w:color="auto"/>
      </w:divBdr>
    </w:div>
    <w:div w:id="1014502059">
      <w:bodyDiv w:val="1"/>
      <w:marLeft w:val="0"/>
      <w:marRight w:val="0"/>
      <w:marTop w:val="0"/>
      <w:marBottom w:val="0"/>
      <w:divBdr>
        <w:top w:val="none" w:sz="0" w:space="0" w:color="auto"/>
        <w:left w:val="none" w:sz="0" w:space="0" w:color="auto"/>
        <w:bottom w:val="none" w:sz="0" w:space="0" w:color="auto"/>
        <w:right w:val="none" w:sz="0" w:space="0" w:color="auto"/>
      </w:divBdr>
    </w:div>
    <w:div w:id="1054816237">
      <w:bodyDiv w:val="1"/>
      <w:marLeft w:val="0"/>
      <w:marRight w:val="0"/>
      <w:marTop w:val="0"/>
      <w:marBottom w:val="0"/>
      <w:divBdr>
        <w:top w:val="none" w:sz="0" w:space="0" w:color="auto"/>
        <w:left w:val="none" w:sz="0" w:space="0" w:color="auto"/>
        <w:bottom w:val="none" w:sz="0" w:space="0" w:color="auto"/>
        <w:right w:val="none" w:sz="0" w:space="0" w:color="auto"/>
      </w:divBdr>
    </w:div>
    <w:div w:id="1082220575">
      <w:bodyDiv w:val="1"/>
      <w:marLeft w:val="0"/>
      <w:marRight w:val="0"/>
      <w:marTop w:val="0"/>
      <w:marBottom w:val="0"/>
      <w:divBdr>
        <w:top w:val="none" w:sz="0" w:space="0" w:color="auto"/>
        <w:left w:val="none" w:sz="0" w:space="0" w:color="auto"/>
        <w:bottom w:val="none" w:sz="0" w:space="0" w:color="auto"/>
        <w:right w:val="none" w:sz="0" w:space="0" w:color="auto"/>
      </w:divBdr>
    </w:div>
    <w:div w:id="1107846531">
      <w:bodyDiv w:val="1"/>
      <w:marLeft w:val="0"/>
      <w:marRight w:val="0"/>
      <w:marTop w:val="0"/>
      <w:marBottom w:val="0"/>
      <w:divBdr>
        <w:top w:val="none" w:sz="0" w:space="0" w:color="auto"/>
        <w:left w:val="none" w:sz="0" w:space="0" w:color="auto"/>
        <w:bottom w:val="none" w:sz="0" w:space="0" w:color="auto"/>
        <w:right w:val="none" w:sz="0" w:space="0" w:color="auto"/>
      </w:divBdr>
    </w:div>
    <w:div w:id="1201015652">
      <w:bodyDiv w:val="1"/>
      <w:marLeft w:val="0"/>
      <w:marRight w:val="0"/>
      <w:marTop w:val="0"/>
      <w:marBottom w:val="0"/>
      <w:divBdr>
        <w:top w:val="none" w:sz="0" w:space="0" w:color="auto"/>
        <w:left w:val="none" w:sz="0" w:space="0" w:color="auto"/>
        <w:bottom w:val="none" w:sz="0" w:space="0" w:color="auto"/>
        <w:right w:val="none" w:sz="0" w:space="0" w:color="auto"/>
      </w:divBdr>
    </w:div>
    <w:div w:id="1265459706">
      <w:bodyDiv w:val="1"/>
      <w:marLeft w:val="0"/>
      <w:marRight w:val="0"/>
      <w:marTop w:val="0"/>
      <w:marBottom w:val="0"/>
      <w:divBdr>
        <w:top w:val="none" w:sz="0" w:space="0" w:color="auto"/>
        <w:left w:val="none" w:sz="0" w:space="0" w:color="auto"/>
        <w:bottom w:val="none" w:sz="0" w:space="0" w:color="auto"/>
        <w:right w:val="none" w:sz="0" w:space="0" w:color="auto"/>
      </w:divBdr>
    </w:div>
    <w:div w:id="1325208215">
      <w:bodyDiv w:val="1"/>
      <w:marLeft w:val="0"/>
      <w:marRight w:val="0"/>
      <w:marTop w:val="0"/>
      <w:marBottom w:val="0"/>
      <w:divBdr>
        <w:top w:val="none" w:sz="0" w:space="0" w:color="auto"/>
        <w:left w:val="none" w:sz="0" w:space="0" w:color="auto"/>
        <w:bottom w:val="none" w:sz="0" w:space="0" w:color="auto"/>
        <w:right w:val="none" w:sz="0" w:space="0" w:color="auto"/>
      </w:divBdr>
    </w:div>
    <w:div w:id="1507670753">
      <w:bodyDiv w:val="1"/>
      <w:marLeft w:val="0"/>
      <w:marRight w:val="0"/>
      <w:marTop w:val="0"/>
      <w:marBottom w:val="0"/>
      <w:divBdr>
        <w:top w:val="none" w:sz="0" w:space="0" w:color="auto"/>
        <w:left w:val="none" w:sz="0" w:space="0" w:color="auto"/>
        <w:bottom w:val="none" w:sz="0" w:space="0" w:color="auto"/>
        <w:right w:val="none" w:sz="0" w:space="0" w:color="auto"/>
      </w:divBdr>
    </w:div>
    <w:div w:id="1509521317">
      <w:bodyDiv w:val="1"/>
      <w:marLeft w:val="0"/>
      <w:marRight w:val="0"/>
      <w:marTop w:val="0"/>
      <w:marBottom w:val="0"/>
      <w:divBdr>
        <w:top w:val="none" w:sz="0" w:space="0" w:color="auto"/>
        <w:left w:val="none" w:sz="0" w:space="0" w:color="auto"/>
        <w:bottom w:val="none" w:sz="0" w:space="0" w:color="auto"/>
        <w:right w:val="none" w:sz="0" w:space="0" w:color="auto"/>
      </w:divBdr>
    </w:div>
    <w:div w:id="1544437508">
      <w:bodyDiv w:val="1"/>
      <w:marLeft w:val="0"/>
      <w:marRight w:val="0"/>
      <w:marTop w:val="0"/>
      <w:marBottom w:val="0"/>
      <w:divBdr>
        <w:top w:val="none" w:sz="0" w:space="0" w:color="auto"/>
        <w:left w:val="none" w:sz="0" w:space="0" w:color="auto"/>
        <w:bottom w:val="none" w:sz="0" w:space="0" w:color="auto"/>
        <w:right w:val="none" w:sz="0" w:space="0" w:color="auto"/>
      </w:divBdr>
    </w:div>
    <w:div w:id="1570918125">
      <w:bodyDiv w:val="1"/>
      <w:marLeft w:val="0"/>
      <w:marRight w:val="0"/>
      <w:marTop w:val="0"/>
      <w:marBottom w:val="0"/>
      <w:divBdr>
        <w:top w:val="none" w:sz="0" w:space="0" w:color="auto"/>
        <w:left w:val="none" w:sz="0" w:space="0" w:color="auto"/>
        <w:bottom w:val="none" w:sz="0" w:space="0" w:color="auto"/>
        <w:right w:val="none" w:sz="0" w:space="0" w:color="auto"/>
      </w:divBdr>
    </w:div>
    <w:div w:id="1614701422">
      <w:bodyDiv w:val="1"/>
      <w:marLeft w:val="0"/>
      <w:marRight w:val="0"/>
      <w:marTop w:val="0"/>
      <w:marBottom w:val="0"/>
      <w:divBdr>
        <w:top w:val="none" w:sz="0" w:space="0" w:color="auto"/>
        <w:left w:val="none" w:sz="0" w:space="0" w:color="auto"/>
        <w:bottom w:val="none" w:sz="0" w:space="0" w:color="auto"/>
        <w:right w:val="none" w:sz="0" w:space="0" w:color="auto"/>
      </w:divBdr>
    </w:div>
    <w:div w:id="1625500104">
      <w:bodyDiv w:val="1"/>
      <w:marLeft w:val="0"/>
      <w:marRight w:val="0"/>
      <w:marTop w:val="0"/>
      <w:marBottom w:val="0"/>
      <w:divBdr>
        <w:top w:val="none" w:sz="0" w:space="0" w:color="auto"/>
        <w:left w:val="none" w:sz="0" w:space="0" w:color="auto"/>
        <w:bottom w:val="none" w:sz="0" w:space="0" w:color="auto"/>
        <w:right w:val="none" w:sz="0" w:space="0" w:color="auto"/>
      </w:divBdr>
    </w:div>
    <w:div w:id="1645618592">
      <w:bodyDiv w:val="1"/>
      <w:marLeft w:val="0"/>
      <w:marRight w:val="0"/>
      <w:marTop w:val="0"/>
      <w:marBottom w:val="0"/>
      <w:divBdr>
        <w:top w:val="none" w:sz="0" w:space="0" w:color="auto"/>
        <w:left w:val="none" w:sz="0" w:space="0" w:color="auto"/>
        <w:bottom w:val="none" w:sz="0" w:space="0" w:color="auto"/>
        <w:right w:val="none" w:sz="0" w:space="0" w:color="auto"/>
      </w:divBdr>
    </w:div>
    <w:div w:id="1735663237">
      <w:bodyDiv w:val="1"/>
      <w:marLeft w:val="0"/>
      <w:marRight w:val="0"/>
      <w:marTop w:val="0"/>
      <w:marBottom w:val="0"/>
      <w:divBdr>
        <w:top w:val="none" w:sz="0" w:space="0" w:color="auto"/>
        <w:left w:val="none" w:sz="0" w:space="0" w:color="auto"/>
        <w:bottom w:val="none" w:sz="0" w:space="0" w:color="auto"/>
        <w:right w:val="none" w:sz="0" w:space="0" w:color="auto"/>
      </w:divBdr>
    </w:div>
    <w:div w:id="1782414381">
      <w:bodyDiv w:val="1"/>
      <w:marLeft w:val="0"/>
      <w:marRight w:val="0"/>
      <w:marTop w:val="0"/>
      <w:marBottom w:val="0"/>
      <w:divBdr>
        <w:top w:val="none" w:sz="0" w:space="0" w:color="auto"/>
        <w:left w:val="none" w:sz="0" w:space="0" w:color="auto"/>
        <w:bottom w:val="none" w:sz="0" w:space="0" w:color="auto"/>
        <w:right w:val="none" w:sz="0" w:space="0" w:color="auto"/>
      </w:divBdr>
    </w:div>
    <w:div w:id="1813205264">
      <w:bodyDiv w:val="1"/>
      <w:marLeft w:val="0"/>
      <w:marRight w:val="0"/>
      <w:marTop w:val="0"/>
      <w:marBottom w:val="0"/>
      <w:divBdr>
        <w:top w:val="none" w:sz="0" w:space="0" w:color="auto"/>
        <w:left w:val="none" w:sz="0" w:space="0" w:color="auto"/>
        <w:bottom w:val="none" w:sz="0" w:space="0" w:color="auto"/>
        <w:right w:val="none" w:sz="0" w:space="0" w:color="auto"/>
      </w:divBdr>
    </w:div>
    <w:div w:id="185337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4539-A85A-4D1B-868D-9212FD9C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8016</Words>
  <Characters>45692</Characters>
  <Application>Microsoft Office Word</Application>
  <DocSecurity>0</DocSecurity>
  <Lines>380</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Tana Copenhagen ApS</Company>
  <LinksUpToDate>false</LinksUpToDate>
  <CharactersWithSpaces>53601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Raahauge Norup</dc:creator>
  <cp:lastModifiedBy>Thomas Raahauge Norup</cp:lastModifiedBy>
  <cp:revision>4</cp:revision>
  <cp:lastPrinted>2021-10-09T10:46:00Z</cp:lastPrinted>
  <dcterms:created xsi:type="dcterms:W3CDTF">2021-11-29T08:48:00Z</dcterms:created>
  <dcterms:modified xsi:type="dcterms:W3CDTF">2021-11-29T12:58:00Z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