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6B0" w:rsidRDefault="004E16B0" w:rsidP="004E16B0">
      <w:pPr>
        <w:pStyle w:val="Overskrift1"/>
        <w:numPr>
          <w:ilvl w:val="0"/>
          <w:numId w:val="0"/>
        </w:numPr>
        <w:ind w:left="432" w:hanging="432"/>
        <w:rPr>
          <w:lang w:val="en-GB"/>
        </w:rPr>
      </w:pPr>
      <w:bookmarkStart w:id="0" w:name="_Toc128045118"/>
      <w:r>
        <w:rPr>
          <w:lang w:val="en-GB"/>
        </w:rPr>
        <w:t>Annex 4</w:t>
      </w:r>
      <w:r w:rsidRPr="00377AE5">
        <w:rPr>
          <w:lang w:val="en-GB"/>
        </w:rPr>
        <w:t xml:space="preserve">: </w:t>
      </w:r>
      <w:r>
        <w:rPr>
          <w:lang w:val="en-GB"/>
        </w:rPr>
        <w:t>Format for project t</w:t>
      </w:r>
      <w:r w:rsidRPr="007466DC">
        <w:rPr>
          <w:lang w:val="en-GB"/>
        </w:rPr>
        <w:t>ime/cost (top up)</w:t>
      </w:r>
      <w:r>
        <w:rPr>
          <w:lang w:val="en-GB"/>
        </w:rPr>
        <w:t xml:space="preserve"> extension.</w:t>
      </w:r>
      <w:bookmarkEnd w:id="0"/>
      <w:r>
        <w:rPr>
          <w:lang w:val="en-GB"/>
        </w:rPr>
        <w:t xml:space="preserve"> </w:t>
      </w:r>
    </w:p>
    <w:p w:rsidR="004E16B0" w:rsidRDefault="004E16B0" w:rsidP="004E16B0">
      <w:r>
        <w:t>A</w:t>
      </w:r>
      <w:r w:rsidRPr="007466DC">
        <w:t xml:space="preserve">ppendix </w:t>
      </w:r>
      <w:r>
        <w:t xml:space="preserve">to Project Document </w:t>
      </w:r>
      <w:r w:rsidRPr="007466DC">
        <w:t>(English)</w:t>
      </w:r>
    </w:p>
    <w:p w:rsidR="004E16B0" w:rsidRPr="001A4D9C" w:rsidRDefault="004E16B0" w:rsidP="004E16B0">
      <w:pPr>
        <w:rPr>
          <w:b/>
          <w:bCs/>
        </w:rPr>
      </w:pPr>
    </w:p>
    <w:p w:rsidR="004E16B0" w:rsidRPr="001A4D9C" w:rsidRDefault="004E16B0" w:rsidP="004E16B0">
      <w:pPr>
        <w:pStyle w:val="Listeafsnit"/>
        <w:widowControl/>
        <w:numPr>
          <w:ilvl w:val="0"/>
          <w:numId w:val="3"/>
        </w:numPr>
        <w:autoSpaceDE/>
        <w:autoSpaceDN/>
        <w:spacing w:after="200" w:line="276" w:lineRule="auto"/>
        <w:contextualSpacing/>
        <w:rPr>
          <w:b/>
          <w:bCs/>
        </w:rPr>
      </w:pPr>
      <w:r w:rsidRPr="001A4D9C">
        <w:rPr>
          <w:b/>
          <w:bCs/>
        </w:rPr>
        <w:t>Project data</w:t>
      </w:r>
    </w:p>
    <w:tbl>
      <w:tblPr>
        <w:tblStyle w:val="Tabel-Gitter"/>
        <w:tblW w:w="0" w:type="auto"/>
        <w:tblLook w:val="04A0" w:firstRow="1" w:lastRow="0" w:firstColumn="1" w:lastColumn="0" w:noHBand="0" w:noVBand="1"/>
      </w:tblPr>
      <w:tblGrid>
        <w:gridCol w:w="3823"/>
        <w:gridCol w:w="5193"/>
      </w:tblGrid>
      <w:tr w:rsidR="004E16B0" w:rsidRPr="001A4D9C" w:rsidTr="00A127AE">
        <w:tc>
          <w:tcPr>
            <w:tcW w:w="3823" w:type="dxa"/>
          </w:tcPr>
          <w:p w:rsidR="004E16B0" w:rsidRPr="001A4D9C" w:rsidRDefault="004E16B0" w:rsidP="00A127AE">
            <w:r w:rsidRPr="001A4D9C">
              <w:t>Title of project</w:t>
            </w:r>
          </w:p>
        </w:tc>
        <w:tc>
          <w:tcPr>
            <w:tcW w:w="5193" w:type="dxa"/>
          </w:tcPr>
          <w:p w:rsidR="004E16B0" w:rsidRPr="001A4D9C" w:rsidRDefault="004E16B0" w:rsidP="00A127AE"/>
        </w:tc>
      </w:tr>
      <w:tr w:rsidR="004E16B0" w:rsidRPr="001A4D9C" w:rsidTr="00A127AE">
        <w:tc>
          <w:tcPr>
            <w:tcW w:w="3823" w:type="dxa"/>
          </w:tcPr>
          <w:p w:rsidR="004E16B0" w:rsidRPr="001A4D9C" w:rsidRDefault="004E16B0" w:rsidP="00A127AE">
            <w:r w:rsidRPr="001A4D9C">
              <w:t>Implementing partner</w:t>
            </w:r>
          </w:p>
        </w:tc>
        <w:tc>
          <w:tcPr>
            <w:tcW w:w="5193" w:type="dxa"/>
          </w:tcPr>
          <w:p w:rsidR="004E16B0" w:rsidRPr="001A4D9C" w:rsidRDefault="004E16B0" w:rsidP="00A127AE"/>
        </w:tc>
      </w:tr>
      <w:tr w:rsidR="004E16B0" w:rsidRPr="001A4D9C" w:rsidTr="00A127AE">
        <w:tc>
          <w:tcPr>
            <w:tcW w:w="3823" w:type="dxa"/>
          </w:tcPr>
          <w:p w:rsidR="004E16B0" w:rsidRPr="001A4D9C" w:rsidRDefault="004E16B0" w:rsidP="00A127AE">
            <w:r w:rsidRPr="001A4D9C">
              <w:t>Original implementation period</w:t>
            </w:r>
          </w:p>
        </w:tc>
        <w:tc>
          <w:tcPr>
            <w:tcW w:w="5193" w:type="dxa"/>
          </w:tcPr>
          <w:p w:rsidR="004E16B0" w:rsidRPr="001A4D9C" w:rsidRDefault="004E16B0" w:rsidP="00A127AE"/>
        </w:tc>
      </w:tr>
      <w:tr w:rsidR="004E16B0" w:rsidRPr="001A4D9C" w:rsidTr="00A127AE">
        <w:tc>
          <w:tcPr>
            <w:tcW w:w="3823" w:type="dxa"/>
          </w:tcPr>
          <w:p w:rsidR="004E16B0" w:rsidRPr="001A4D9C" w:rsidRDefault="004E16B0" w:rsidP="00A127AE">
            <w:r w:rsidRPr="001A4D9C">
              <w:t xml:space="preserve">New implementation period </w:t>
            </w:r>
            <w:r w:rsidRPr="001A4D9C">
              <w:rPr>
                <w:color w:val="FF0000"/>
              </w:rPr>
              <w:t>(if no change, write “no change”)</w:t>
            </w:r>
          </w:p>
        </w:tc>
        <w:tc>
          <w:tcPr>
            <w:tcW w:w="5193" w:type="dxa"/>
          </w:tcPr>
          <w:p w:rsidR="004E16B0" w:rsidRPr="001A4D9C" w:rsidRDefault="004E16B0" w:rsidP="00A127AE"/>
        </w:tc>
      </w:tr>
      <w:tr w:rsidR="004E16B0" w:rsidRPr="001A4D9C" w:rsidTr="00A127AE">
        <w:tc>
          <w:tcPr>
            <w:tcW w:w="3823" w:type="dxa"/>
          </w:tcPr>
          <w:p w:rsidR="004E16B0" w:rsidRPr="001A4D9C" w:rsidRDefault="004E16B0" w:rsidP="00A127AE">
            <w:r w:rsidRPr="001A4D9C">
              <w:t xml:space="preserve">Original </w:t>
            </w:r>
            <w:r>
              <w:t xml:space="preserve">approved </w:t>
            </w:r>
            <w:r w:rsidRPr="001A4D9C">
              <w:t>project budget (DKK M)</w:t>
            </w:r>
          </w:p>
        </w:tc>
        <w:tc>
          <w:tcPr>
            <w:tcW w:w="5193" w:type="dxa"/>
          </w:tcPr>
          <w:p w:rsidR="004E16B0" w:rsidRPr="001A4D9C" w:rsidRDefault="004E16B0" w:rsidP="00A127AE"/>
        </w:tc>
      </w:tr>
      <w:tr w:rsidR="004E16B0" w:rsidRPr="001A4D9C" w:rsidTr="00A127AE">
        <w:tc>
          <w:tcPr>
            <w:tcW w:w="3823" w:type="dxa"/>
          </w:tcPr>
          <w:p w:rsidR="004E16B0" w:rsidRPr="001A4D9C" w:rsidRDefault="004E16B0" w:rsidP="00A127AE">
            <w:r>
              <w:t>Previous budget top-ups (DKK M) (with dates)</w:t>
            </w:r>
          </w:p>
        </w:tc>
        <w:tc>
          <w:tcPr>
            <w:tcW w:w="5193" w:type="dxa"/>
          </w:tcPr>
          <w:p w:rsidR="004E16B0" w:rsidRPr="001A4D9C" w:rsidRDefault="004E16B0" w:rsidP="00A127AE"/>
        </w:tc>
      </w:tr>
      <w:tr w:rsidR="004E16B0" w:rsidRPr="001A4D9C" w:rsidTr="00A127AE">
        <w:tc>
          <w:tcPr>
            <w:tcW w:w="3823" w:type="dxa"/>
          </w:tcPr>
          <w:p w:rsidR="004E16B0" w:rsidRPr="001A4D9C" w:rsidRDefault="004E16B0" w:rsidP="00A127AE">
            <w:r>
              <w:t>This top-up (DKK M)</w:t>
            </w:r>
          </w:p>
        </w:tc>
        <w:tc>
          <w:tcPr>
            <w:tcW w:w="5193" w:type="dxa"/>
          </w:tcPr>
          <w:p w:rsidR="004E16B0" w:rsidRPr="001A4D9C" w:rsidRDefault="004E16B0" w:rsidP="00A127AE"/>
        </w:tc>
      </w:tr>
      <w:tr w:rsidR="004E16B0" w:rsidRPr="001A4D9C" w:rsidTr="00A127AE">
        <w:tc>
          <w:tcPr>
            <w:tcW w:w="3823" w:type="dxa"/>
          </w:tcPr>
          <w:p w:rsidR="004E16B0" w:rsidRPr="001A4D9C" w:rsidRDefault="004E16B0" w:rsidP="00A127AE">
            <w:r w:rsidRPr="001A4D9C">
              <w:t xml:space="preserve">New </w:t>
            </w:r>
            <w:r>
              <w:t xml:space="preserve">total </w:t>
            </w:r>
            <w:r w:rsidRPr="001A4D9C">
              <w:t xml:space="preserve">project budget (DKK M) </w:t>
            </w:r>
            <w:r w:rsidRPr="001A4D9C">
              <w:rPr>
                <w:color w:val="FF0000"/>
              </w:rPr>
              <w:t>(if no change, write “no change”)</w:t>
            </w:r>
          </w:p>
        </w:tc>
        <w:tc>
          <w:tcPr>
            <w:tcW w:w="5193" w:type="dxa"/>
          </w:tcPr>
          <w:p w:rsidR="004E16B0" w:rsidRPr="001A4D9C" w:rsidRDefault="004E16B0" w:rsidP="00A127AE"/>
        </w:tc>
      </w:tr>
    </w:tbl>
    <w:p w:rsidR="004E16B0" w:rsidRPr="001A4D9C" w:rsidRDefault="004E16B0" w:rsidP="004E16B0"/>
    <w:p w:rsidR="004E16B0" w:rsidRDefault="004E16B0" w:rsidP="004E16B0">
      <w:pPr>
        <w:pStyle w:val="Listeafsnit"/>
        <w:widowControl/>
        <w:numPr>
          <w:ilvl w:val="0"/>
          <w:numId w:val="3"/>
        </w:numPr>
        <w:autoSpaceDE/>
        <w:autoSpaceDN/>
        <w:spacing w:after="200" w:line="276" w:lineRule="auto"/>
        <w:contextualSpacing/>
        <w:rPr>
          <w:b/>
          <w:bCs/>
        </w:rPr>
      </w:pPr>
      <w:r>
        <w:rPr>
          <w:b/>
          <w:bCs/>
        </w:rPr>
        <w:t>Brief project description</w:t>
      </w:r>
    </w:p>
    <w:tbl>
      <w:tblPr>
        <w:tblStyle w:val="Tabel-Gitter"/>
        <w:tblW w:w="0" w:type="auto"/>
        <w:tblLook w:val="04A0" w:firstRow="1" w:lastRow="0" w:firstColumn="1" w:lastColumn="0" w:noHBand="0" w:noVBand="1"/>
      </w:tblPr>
      <w:tblGrid>
        <w:gridCol w:w="9016"/>
      </w:tblGrid>
      <w:tr w:rsidR="004E16B0" w:rsidRPr="001A4D9C" w:rsidTr="00A127AE">
        <w:trPr>
          <w:trHeight w:val="1276"/>
        </w:trPr>
        <w:tc>
          <w:tcPr>
            <w:tcW w:w="9016" w:type="dxa"/>
          </w:tcPr>
          <w:p w:rsidR="004E16B0" w:rsidRPr="001A4D9C" w:rsidRDefault="004E16B0" w:rsidP="00A127AE"/>
        </w:tc>
      </w:tr>
    </w:tbl>
    <w:p w:rsidR="004E16B0" w:rsidRPr="001A4D9C" w:rsidRDefault="004E16B0" w:rsidP="004E16B0"/>
    <w:p w:rsidR="004E16B0" w:rsidRPr="001A4D9C" w:rsidRDefault="004E16B0" w:rsidP="004E16B0">
      <w:pPr>
        <w:pStyle w:val="Listeafsnit"/>
        <w:widowControl/>
        <w:numPr>
          <w:ilvl w:val="0"/>
          <w:numId w:val="3"/>
        </w:numPr>
        <w:autoSpaceDE/>
        <w:autoSpaceDN/>
        <w:spacing w:after="200" w:line="276" w:lineRule="auto"/>
        <w:contextualSpacing/>
        <w:rPr>
          <w:b/>
          <w:bCs/>
        </w:rPr>
      </w:pPr>
      <w:r w:rsidRPr="001A4D9C">
        <w:rPr>
          <w:b/>
          <w:bCs/>
        </w:rPr>
        <w:t>Reason for change</w:t>
      </w:r>
      <w:r>
        <w:rPr>
          <w:b/>
          <w:bCs/>
        </w:rPr>
        <w:t xml:space="preserve"> or top-up </w:t>
      </w:r>
    </w:p>
    <w:tbl>
      <w:tblPr>
        <w:tblStyle w:val="Tabel-Gitter"/>
        <w:tblW w:w="0" w:type="auto"/>
        <w:tblLook w:val="04A0" w:firstRow="1" w:lastRow="0" w:firstColumn="1" w:lastColumn="0" w:noHBand="0" w:noVBand="1"/>
      </w:tblPr>
      <w:tblGrid>
        <w:gridCol w:w="9016"/>
      </w:tblGrid>
      <w:tr w:rsidR="004E16B0" w:rsidRPr="001A4D9C" w:rsidTr="00A127AE">
        <w:trPr>
          <w:trHeight w:val="1276"/>
        </w:trPr>
        <w:tc>
          <w:tcPr>
            <w:tcW w:w="9016" w:type="dxa"/>
          </w:tcPr>
          <w:p w:rsidR="004E16B0" w:rsidRPr="001A4D9C" w:rsidRDefault="004E16B0" w:rsidP="00A127AE"/>
        </w:tc>
      </w:tr>
    </w:tbl>
    <w:p w:rsidR="004E16B0" w:rsidRPr="001A4D9C" w:rsidRDefault="004E16B0" w:rsidP="004E16B0"/>
    <w:p w:rsidR="004E16B0" w:rsidRPr="001A4D9C" w:rsidRDefault="004E16B0" w:rsidP="004E16B0">
      <w:pPr>
        <w:pStyle w:val="Listeafsnit"/>
        <w:widowControl/>
        <w:numPr>
          <w:ilvl w:val="0"/>
          <w:numId w:val="3"/>
        </w:numPr>
        <w:autoSpaceDE/>
        <w:autoSpaceDN/>
        <w:spacing w:after="200" w:line="276" w:lineRule="auto"/>
        <w:contextualSpacing/>
      </w:pPr>
      <w:r w:rsidRPr="001A4D9C">
        <w:rPr>
          <w:b/>
          <w:bCs/>
        </w:rPr>
        <w:t>Change to expected results</w:t>
      </w:r>
      <w:r w:rsidRPr="001A4D9C">
        <w:t xml:space="preserve"> (if any)</w:t>
      </w:r>
    </w:p>
    <w:p w:rsidR="004E16B0" w:rsidRPr="001A4D9C" w:rsidRDefault="004E16B0" w:rsidP="004E16B0">
      <w:pPr>
        <w:spacing w:line="240" w:lineRule="auto"/>
        <w:rPr>
          <w:color w:val="FF0000"/>
        </w:rPr>
      </w:pPr>
      <w:r w:rsidRPr="001A4D9C">
        <w:rPr>
          <w:color w:val="FF0000"/>
        </w:rPr>
        <w:t>Note: if the results of the project are expected to change following a time</w:t>
      </w:r>
      <w:r>
        <w:rPr>
          <w:color w:val="FF0000"/>
        </w:rPr>
        <w:t>,</w:t>
      </w:r>
      <w:r w:rsidRPr="001A4D9C">
        <w:rPr>
          <w:color w:val="FF0000"/>
        </w:rPr>
        <w:t>/or cost extension</w:t>
      </w:r>
      <w:r>
        <w:rPr>
          <w:color w:val="FF0000"/>
        </w:rPr>
        <w:t xml:space="preserve"> and/or top up</w:t>
      </w:r>
      <w:r w:rsidRPr="001A4D9C">
        <w:rPr>
          <w:color w:val="FF0000"/>
        </w:rPr>
        <w:t>, the new targets should be added in the tables below for the outcome(s) and output(s) concerned. Text for previous and current year should be copied over from the project document.</w:t>
      </w:r>
      <w:r>
        <w:rPr>
          <w:color w:val="FF0000"/>
        </w:rPr>
        <w:t xml:space="preserve"> If there is no change to expected results, this section may be omitted and a statement of “no change” inserted.</w:t>
      </w:r>
    </w:p>
    <w:tbl>
      <w:tblPr>
        <w:tblStyle w:val="Tabel-Gitter"/>
        <w:tblW w:w="9778" w:type="dxa"/>
        <w:tblLayout w:type="fixed"/>
        <w:tblLook w:val="04A0" w:firstRow="1" w:lastRow="0" w:firstColumn="1" w:lastColumn="0" w:noHBand="0" w:noVBand="1"/>
      </w:tblPr>
      <w:tblGrid>
        <w:gridCol w:w="1384"/>
        <w:gridCol w:w="851"/>
        <w:gridCol w:w="992"/>
        <w:gridCol w:w="6551"/>
      </w:tblGrid>
      <w:tr w:rsidR="004E16B0" w:rsidRPr="00B4346C" w:rsidTr="00A127AE">
        <w:tc>
          <w:tcPr>
            <w:tcW w:w="2235" w:type="dxa"/>
            <w:gridSpan w:val="2"/>
            <w:shd w:val="clear" w:color="auto" w:fill="DBE5F1" w:themeFill="accent1" w:themeFillTint="33"/>
          </w:tcPr>
          <w:p w:rsidR="004E16B0" w:rsidRPr="00B4346C" w:rsidRDefault="004E16B0" w:rsidP="00A127AE">
            <w:pPr>
              <w:rPr>
                <w:sz w:val="21"/>
                <w:szCs w:val="21"/>
              </w:rPr>
            </w:pPr>
            <w:r w:rsidRPr="00B4346C">
              <w:rPr>
                <w:sz w:val="21"/>
                <w:szCs w:val="21"/>
              </w:rPr>
              <w:t>Project Title</w:t>
            </w:r>
          </w:p>
        </w:tc>
        <w:tc>
          <w:tcPr>
            <w:tcW w:w="7543" w:type="dxa"/>
            <w:gridSpan w:val="2"/>
          </w:tcPr>
          <w:p w:rsidR="004E16B0" w:rsidRPr="00B4346C" w:rsidRDefault="004E16B0" w:rsidP="00A127AE">
            <w:pPr>
              <w:rPr>
                <w:sz w:val="21"/>
                <w:szCs w:val="21"/>
              </w:rPr>
            </w:pPr>
            <w:r w:rsidRPr="00B4346C">
              <w:rPr>
                <w:sz w:val="21"/>
                <w:szCs w:val="21"/>
              </w:rPr>
              <w:t>[Title of the project engagement]</w:t>
            </w:r>
          </w:p>
        </w:tc>
      </w:tr>
      <w:tr w:rsidR="004E16B0" w:rsidRPr="00B4346C" w:rsidTr="00A127AE">
        <w:tc>
          <w:tcPr>
            <w:tcW w:w="2235" w:type="dxa"/>
            <w:gridSpan w:val="2"/>
            <w:shd w:val="clear" w:color="auto" w:fill="DBE5F1" w:themeFill="accent1" w:themeFillTint="33"/>
          </w:tcPr>
          <w:p w:rsidR="004E16B0" w:rsidRPr="00B4346C" w:rsidRDefault="004E16B0" w:rsidP="00A127AE">
            <w:pPr>
              <w:rPr>
                <w:sz w:val="21"/>
                <w:szCs w:val="21"/>
              </w:rPr>
            </w:pPr>
            <w:r w:rsidRPr="00B4346C">
              <w:rPr>
                <w:sz w:val="21"/>
                <w:szCs w:val="21"/>
              </w:rPr>
              <w:t>Outcome</w:t>
            </w:r>
          </w:p>
        </w:tc>
        <w:tc>
          <w:tcPr>
            <w:tcW w:w="7543" w:type="dxa"/>
            <w:gridSpan w:val="2"/>
          </w:tcPr>
          <w:p w:rsidR="004E16B0" w:rsidRPr="00B4346C" w:rsidRDefault="004E16B0" w:rsidP="00A127AE">
            <w:pPr>
              <w:rPr>
                <w:sz w:val="21"/>
                <w:szCs w:val="21"/>
              </w:rPr>
            </w:pPr>
            <w:r w:rsidRPr="00B4346C">
              <w:rPr>
                <w:sz w:val="21"/>
                <w:szCs w:val="21"/>
              </w:rPr>
              <w:t>[The short-term and medium term effects of the project’s outputs on the target group]</w:t>
            </w:r>
          </w:p>
        </w:tc>
      </w:tr>
      <w:tr w:rsidR="004E16B0" w:rsidRPr="00B4346C" w:rsidTr="00A127AE">
        <w:tc>
          <w:tcPr>
            <w:tcW w:w="2235" w:type="dxa"/>
            <w:gridSpan w:val="2"/>
            <w:shd w:val="clear" w:color="auto" w:fill="DBE5F1" w:themeFill="accent1" w:themeFillTint="33"/>
          </w:tcPr>
          <w:p w:rsidR="004E16B0" w:rsidRPr="00B4346C" w:rsidRDefault="004E16B0" w:rsidP="00A127AE">
            <w:pPr>
              <w:rPr>
                <w:sz w:val="21"/>
                <w:szCs w:val="21"/>
              </w:rPr>
            </w:pPr>
            <w:r w:rsidRPr="00B4346C">
              <w:rPr>
                <w:sz w:val="21"/>
                <w:szCs w:val="21"/>
              </w:rPr>
              <w:t>Outcome indicator</w:t>
            </w:r>
          </w:p>
        </w:tc>
        <w:tc>
          <w:tcPr>
            <w:tcW w:w="7543" w:type="dxa"/>
            <w:gridSpan w:val="2"/>
          </w:tcPr>
          <w:p w:rsidR="004E16B0" w:rsidRPr="00B4346C" w:rsidRDefault="004E16B0" w:rsidP="00A127AE">
            <w:pPr>
              <w:rPr>
                <w:sz w:val="21"/>
                <w:szCs w:val="21"/>
              </w:rPr>
            </w:pPr>
            <w:r w:rsidRPr="00B4346C">
              <w:rPr>
                <w:sz w:val="21"/>
                <w:szCs w:val="21"/>
              </w:rPr>
              <w:t>[Quantitative or qualitative factor or variable that provides a simple and reliable means to measure achievement or to reflect the changes connected to an intervention. It should also indicate the means of verification]</w:t>
            </w:r>
            <w:r w:rsidRPr="00B4346C" w:rsidDel="00B61AB6">
              <w:rPr>
                <w:sz w:val="21"/>
                <w:szCs w:val="21"/>
              </w:rPr>
              <w:t xml:space="preserve"> </w:t>
            </w:r>
          </w:p>
        </w:tc>
      </w:tr>
      <w:tr w:rsidR="004E16B0" w:rsidRPr="00B4346C" w:rsidTr="00A127AE">
        <w:tc>
          <w:tcPr>
            <w:tcW w:w="1384" w:type="dxa"/>
            <w:shd w:val="clear" w:color="auto" w:fill="DBE5F1" w:themeFill="accent1" w:themeFillTint="33"/>
          </w:tcPr>
          <w:p w:rsidR="004E16B0" w:rsidRPr="00B4346C" w:rsidRDefault="004E16B0" w:rsidP="00A127AE">
            <w:pPr>
              <w:rPr>
                <w:sz w:val="21"/>
                <w:szCs w:val="21"/>
              </w:rPr>
            </w:pPr>
            <w:r w:rsidRPr="00B4346C">
              <w:rPr>
                <w:sz w:val="21"/>
                <w:szCs w:val="21"/>
              </w:rPr>
              <w:lastRenderedPageBreak/>
              <w:t>Baseline</w:t>
            </w:r>
          </w:p>
        </w:tc>
        <w:tc>
          <w:tcPr>
            <w:tcW w:w="851" w:type="dxa"/>
            <w:shd w:val="clear" w:color="auto" w:fill="DBE5F1" w:themeFill="accent1" w:themeFillTint="33"/>
          </w:tcPr>
          <w:p w:rsidR="004E16B0" w:rsidRPr="00B4346C" w:rsidRDefault="004E16B0" w:rsidP="00A127AE">
            <w:pPr>
              <w:rPr>
                <w:sz w:val="21"/>
                <w:szCs w:val="21"/>
              </w:rPr>
            </w:pPr>
            <w:r w:rsidRPr="00B4346C">
              <w:rPr>
                <w:sz w:val="21"/>
                <w:szCs w:val="21"/>
              </w:rPr>
              <w:t>Year</w:t>
            </w:r>
          </w:p>
        </w:tc>
        <w:tc>
          <w:tcPr>
            <w:tcW w:w="992" w:type="dxa"/>
          </w:tcPr>
          <w:p w:rsidR="004E16B0" w:rsidRPr="00B4346C" w:rsidRDefault="004E16B0" w:rsidP="00A127AE">
            <w:pPr>
              <w:rPr>
                <w:sz w:val="21"/>
                <w:szCs w:val="21"/>
              </w:rPr>
            </w:pPr>
          </w:p>
        </w:tc>
        <w:tc>
          <w:tcPr>
            <w:tcW w:w="6551" w:type="dxa"/>
          </w:tcPr>
          <w:p w:rsidR="004E16B0" w:rsidRPr="00B4346C" w:rsidRDefault="004E16B0" w:rsidP="00A127AE">
            <w:pPr>
              <w:rPr>
                <w:sz w:val="21"/>
                <w:szCs w:val="21"/>
              </w:rPr>
            </w:pPr>
            <w:r w:rsidRPr="00B4346C">
              <w:rPr>
                <w:sz w:val="21"/>
                <w:szCs w:val="21"/>
              </w:rPr>
              <w:t>[Situation prior to engagement activities]</w:t>
            </w:r>
          </w:p>
        </w:tc>
      </w:tr>
      <w:tr w:rsidR="004E16B0" w:rsidRPr="00B4346C" w:rsidTr="00A127AE">
        <w:tc>
          <w:tcPr>
            <w:tcW w:w="1384" w:type="dxa"/>
            <w:shd w:val="clear" w:color="auto" w:fill="DBE5F1" w:themeFill="accent1" w:themeFillTint="33"/>
          </w:tcPr>
          <w:p w:rsidR="004E16B0" w:rsidRPr="00B4346C" w:rsidRDefault="004E16B0" w:rsidP="00A127AE">
            <w:pPr>
              <w:rPr>
                <w:sz w:val="21"/>
                <w:szCs w:val="21"/>
              </w:rPr>
            </w:pPr>
            <w:r w:rsidRPr="00B4346C">
              <w:rPr>
                <w:sz w:val="21"/>
                <w:szCs w:val="21"/>
              </w:rPr>
              <w:t>Target</w:t>
            </w:r>
          </w:p>
        </w:tc>
        <w:tc>
          <w:tcPr>
            <w:tcW w:w="851" w:type="dxa"/>
            <w:shd w:val="clear" w:color="auto" w:fill="DBE5F1" w:themeFill="accent1" w:themeFillTint="33"/>
          </w:tcPr>
          <w:p w:rsidR="004E16B0" w:rsidRPr="00B4346C" w:rsidRDefault="004E16B0" w:rsidP="00A127AE">
            <w:pPr>
              <w:rPr>
                <w:sz w:val="21"/>
                <w:szCs w:val="21"/>
              </w:rPr>
            </w:pPr>
            <w:r w:rsidRPr="00B4346C">
              <w:rPr>
                <w:sz w:val="21"/>
                <w:szCs w:val="21"/>
              </w:rPr>
              <w:t>Year</w:t>
            </w:r>
          </w:p>
        </w:tc>
        <w:tc>
          <w:tcPr>
            <w:tcW w:w="992" w:type="dxa"/>
          </w:tcPr>
          <w:p w:rsidR="004E16B0" w:rsidRPr="00B4346C" w:rsidRDefault="004E16B0" w:rsidP="00A127AE">
            <w:pPr>
              <w:rPr>
                <w:sz w:val="21"/>
                <w:szCs w:val="21"/>
              </w:rPr>
            </w:pPr>
          </w:p>
        </w:tc>
        <w:tc>
          <w:tcPr>
            <w:tcW w:w="6551" w:type="dxa"/>
          </w:tcPr>
          <w:p w:rsidR="004E16B0" w:rsidRPr="00B4346C" w:rsidRDefault="004E16B0" w:rsidP="00A127AE">
            <w:pPr>
              <w:rPr>
                <w:sz w:val="21"/>
                <w:szCs w:val="21"/>
              </w:rPr>
            </w:pPr>
            <w:r w:rsidRPr="00B4346C">
              <w:rPr>
                <w:sz w:val="21"/>
                <w:szCs w:val="21"/>
              </w:rPr>
              <w:t>[intended situation by the end of engagement (phase)]</w:t>
            </w:r>
          </w:p>
        </w:tc>
      </w:tr>
    </w:tbl>
    <w:p w:rsidR="004E16B0" w:rsidRPr="001A4D9C" w:rsidRDefault="004E16B0" w:rsidP="004E16B0"/>
    <w:tbl>
      <w:tblPr>
        <w:tblStyle w:val="Tabel-Gitter"/>
        <w:tblW w:w="9778" w:type="dxa"/>
        <w:tblLayout w:type="fixed"/>
        <w:tblLook w:val="04A0" w:firstRow="1" w:lastRow="0" w:firstColumn="1" w:lastColumn="0" w:noHBand="0" w:noVBand="1"/>
      </w:tblPr>
      <w:tblGrid>
        <w:gridCol w:w="1384"/>
        <w:gridCol w:w="851"/>
        <w:gridCol w:w="992"/>
        <w:gridCol w:w="6551"/>
      </w:tblGrid>
      <w:tr w:rsidR="004E16B0" w:rsidRPr="00B4346C" w:rsidTr="00A127AE">
        <w:tc>
          <w:tcPr>
            <w:tcW w:w="2235" w:type="dxa"/>
            <w:gridSpan w:val="2"/>
            <w:shd w:val="clear" w:color="auto" w:fill="8DB3E2" w:themeFill="text2" w:themeFillTint="66"/>
          </w:tcPr>
          <w:p w:rsidR="004E16B0" w:rsidRPr="00B4346C" w:rsidRDefault="004E16B0" w:rsidP="00A127AE">
            <w:pPr>
              <w:rPr>
                <w:sz w:val="21"/>
                <w:szCs w:val="21"/>
              </w:rPr>
            </w:pPr>
            <w:r w:rsidRPr="00B4346C">
              <w:rPr>
                <w:sz w:val="21"/>
                <w:szCs w:val="21"/>
              </w:rPr>
              <w:t>Output</w:t>
            </w:r>
          </w:p>
        </w:tc>
        <w:tc>
          <w:tcPr>
            <w:tcW w:w="7543" w:type="dxa"/>
            <w:gridSpan w:val="2"/>
          </w:tcPr>
          <w:p w:rsidR="004E16B0" w:rsidRPr="00B4346C" w:rsidRDefault="004E16B0" w:rsidP="00A127AE">
            <w:pPr>
              <w:rPr>
                <w:sz w:val="21"/>
                <w:szCs w:val="21"/>
              </w:rPr>
            </w:pPr>
            <w:r w:rsidRPr="00B4346C">
              <w:rPr>
                <w:sz w:val="21"/>
                <w:szCs w:val="21"/>
              </w:rPr>
              <w:t>[Short-term result in the form of goods and services which result from an engagement activity]</w:t>
            </w:r>
          </w:p>
        </w:tc>
      </w:tr>
      <w:tr w:rsidR="004E16B0" w:rsidRPr="00B4346C" w:rsidTr="00A127AE">
        <w:tc>
          <w:tcPr>
            <w:tcW w:w="2235" w:type="dxa"/>
            <w:gridSpan w:val="2"/>
            <w:shd w:val="clear" w:color="auto" w:fill="8DB3E2" w:themeFill="text2" w:themeFillTint="66"/>
          </w:tcPr>
          <w:p w:rsidR="004E16B0" w:rsidRPr="00B4346C" w:rsidRDefault="004E16B0" w:rsidP="00A127AE">
            <w:pPr>
              <w:rPr>
                <w:sz w:val="21"/>
                <w:szCs w:val="21"/>
              </w:rPr>
            </w:pPr>
            <w:r w:rsidRPr="00B4346C">
              <w:rPr>
                <w:sz w:val="21"/>
                <w:szCs w:val="21"/>
              </w:rPr>
              <w:t>Output indicator</w:t>
            </w:r>
          </w:p>
        </w:tc>
        <w:tc>
          <w:tcPr>
            <w:tcW w:w="7543" w:type="dxa"/>
            <w:gridSpan w:val="2"/>
          </w:tcPr>
          <w:p w:rsidR="004E16B0" w:rsidRPr="00B4346C" w:rsidRDefault="004E16B0" w:rsidP="00A127AE">
            <w:pPr>
              <w:rPr>
                <w:sz w:val="21"/>
                <w:szCs w:val="21"/>
              </w:rPr>
            </w:pPr>
            <w:r w:rsidRPr="00B4346C">
              <w:rPr>
                <w:sz w:val="21"/>
                <w:szCs w:val="21"/>
              </w:rPr>
              <w:t>[Quantitative or qualitative factor or variable that provides a simple and reliable means to measure achievement or to reflect the changes connected to an intervention]</w:t>
            </w:r>
            <w:r w:rsidRPr="00B4346C" w:rsidDel="00B61AB6">
              <w:rPr>
                <w:sz w:val="21"/>
                <w:szCs w:val="21"/>
              </w:rPr>
              <w:t xml:space="preserve"> </w:t>
            </w:r>
          </w:p>
        </w:tc>
      </w:tr>
      <w:tr w:rsidR="004E16B0" w:rsidRPr="00B4346C" w:rsidTr="00A127AE">
        <w:tc>
          <w:tcPr>
            <w:tcW w:w="1384" w:type="dxa"/>
            <w:shd w:val="clear" w:color="auto" w:fill="8DB3E2" w:themeFill="text2" w:themeFillTint="66"/>
          </w:tcPr>
          <w:p w:rsidR="004E16B0" w:rsidRPr="00B4346C" w:rsidRDefault="004E16B0" w:rsidP="00A127AE">
            <w:pPr>
              <w:rPr>
                <w:sz w:val="21"/>
                <w:szCs w:val="21"/>
              </w:rPr>
            </w:pPr>
            <w:r w:rsidRPr="00B4346C">
              <w:rPr>
                <w:sz w:val="21"/>
                <w:szCs w:val="21"/>
              </w:rPr>
              <w:t>Baseline</w:t>
            </w:r>
          </w:p>
        </w:tc>
        <w:tc>
          <w:tcPr>
            <w:tcW w:w="851" w:type="dxa"/>
            <w:shd w:val="clear" w:color="auto" w:fill="8DB3E2" w:themeFill="text2" w:themeFillTint="66"/>
          </w:tcPr>
          <w:p w:rsidR="004E16B0" w:rsidRPr="00B4346C" w:rsidRDefault="004E16B0" w:rsidP="00A127AE">
            <w:pPr>
              <w:rPr>
                <w:sz w:val="21"/>
                <w:szCs w:val="21"/>
              </w:rPr>
            </w:pPr>
            <w:r w:rsidRPr="00B4346C">
              <w:rPr>
                <w:sz w:val="21"/>
                <w:szCs w:val="21"/>
              </w:rPr>
              <w:t>Year</w:t>
            </w:r>
          </w:p>
        </w:tc>
        <w:tc>
          <w:tcPr>
            <w:tcW w:w="992" w:type="dxa"/>
          </w:tcPr>
          <w:p w:rsidR="004E16B0" w:rsidRPr="00B4346C" w:rsidRDefault="004E16B0" w:rsidP="00A127AE">
            <w:pPr>
              <w:rPr>
                <w:sz w:val="21"/>
                <w:szCs w:val="21"/>
              </w:rPr>
            </w:pPr>
          </w:p>
        </w:tc>
        <w:tc>
          <w:tcPr>
            <w:tcW w:w="6551" w:type="dxa"/>
          </w:tcPr>
          <w:p w:rsidR="004E16B0" w:rsidRPr="00B4346C" w:rsidRDefault="004E16B0" w:rsidP="00A127AE">
            <w:pPr>
              <w:rPr>
                <w:sz w:val="21"/>
                <w:szCs w:val="21"/>
              </w:rPr>
            </w:pPr>
            <w:r w:rsidRPr="00B4346C">
              <w:rPr>
                <w:sz w:val="21"/>
                <w:szCs w:val="21"/>
              </w:rPr>
              <w:t>[Situation prior to engagement activity]</w:t>
            </w:r>
          </w:p>
        </w:tc>
      </w:tr>
      <w:tr w:rsidR="004E16B0" w:rsidRPr="00B4346C" w:rsidTr="00A127AE">
        <w:tc>
          <w:tcPr>
            <w:tcW w:w="1384" w:type="dxa"/>
            <w:shd w:val="clear" w:color="auto" w:fill="8DB3E2" w:themeFill="text2" w:themeFillTint="66"/>
          </w:tcPr>
          <w:p w:rsidR="004E16B0" w:rsidRPr="00B4346C" w:rsidRDefault="004E16B0" w:rsidP="00A127AE">
            <w:pPr>
              <w:rPr>
                <w:sz w:val="21"/>
                <w:szCs w:val="21"/>
              </w:rPr>
            </w:pPr>
            <w:r w:rsidRPr="00B4346C">
              <w:rPr>
                <w:sz w:val="21"/>
                <w:szCs w:val="21"/>
              </w:rPr>
              <w:t xml:space="preserve">Target </w:t>
            </w:r>
          </w:p>
        </w:tc>
        <w:tc>
          <w:tcPr>
            <w:tcW w:w="851" w:type="dxa"/>
            <w:shd w:val="clear" w:color="auto" w:fill="8DB3E2" w:themeFill="text2" w:themeFillTint="66"/>
          </w:tcPr>
          <w:p w:rsidR="004E16B0" w:rsidRPr="00B4346C" w:rsidRDefault="004E16B0" w:rsidP="00A127AE">
            <w:pPr>
              <w:rPr>
                <w:sz w:val="21"/>
                <w:szCs w:val="21"/>
              </w:rPr>
            </w:pPr>
            <w:r w:rsidRPr="00B4346C">
              <w:rPr>
                <w:sz w:val="21"/>
                <w:szCs w:val="21"/>
              </w:rPr>
              <w:t>Year 1</w:t>
            </w:r>
          </w:p>
        </w:tc>
        <w:tc>
          <w:tcPr>
            <w:tcW w:w="992" w:type="dxa"/>
          </w:tcPr>
          <w:p w:rsidR="004E16B0" w:rsidRPr="00B4346C" w:rsidRDefault="004E16B0" w:rsidP="00A127AE">
            <w:pPr>
              <w:rPr>
                <w:sz w:val="21"/>
                <w:szCs w:val="21"/>
              </w:rPr>
            </w:pPr>
          </w:p>
        </w:tc>
        <w:tc>
          <w:tcPr>
            <w:tcW w:w="6551" w:type="dxa"/>
          </w:tcPr>
          <w:p w:rsidR="004E16B0" w:rsidRPr="00B4346C" w:rsidRDefault="004E16B0" w:rsidP="00A127AE">
            <w:pPr>
              <w:rPr>
                <w:sz w:val="21"/>
                <w:szCs w:val="21"/>
              </w:rPr>
            </w:pPr>
            <w:r w:rsidRPr="00B4346C">
              <w:rPr>
                <w:sz w:val="21"/>
                <w:szCs w:val="21"/>
              </w:rPr>
              <w:t>[Intended situation after first year of implementation]</w:t>
            </w:r>
          </w:p>
        </w:tc>
      </w:tr>
      <w:tr w:rsidR="004E16B0" w:rsidRPr="00B4346C" w:rsidTr="00A127AE">
        <w:tc>
          <w:tcPr>
            <w:tcW w:w="1384" w:type="dxa"/>
            <w:shd w:val="clear" w:color="auto" w:fill="8DB3E2" w:themeFill="text2" w:themeFillTint="66"/>
          </w:tcPr>
          <w:p w:rsidR="004E16B0" w:rsidRPr="00B4346C" w:rsidRDefault="004E16B0" w:rsidP="00A127AE">
            <w:pPr>
              <w:rPr>
                <w:sz w:val="21"/>
                <w:szCs w:val="21"/>
              </w:rPr>
            </w:pPr>
            <w:r w:rsidRPr="00B4346C">
              <w:rPr>
                <w:sz w:val="21"/>
                <w:szCs w:val="21"/>
              </w:rPr>
              <w:t>Target</w:t>
            </w:r>
          </w:p>
        </w:tc>
        <w:tc>
          <w:tcPr>
            <w:tcW w:w="851" w:type="dxa"/>
            <w:shd w:val="clear" w:color="auto" w:fill="8DB3E2" w:themeFill="text2" w:themeFillTint="66"/>
          </w:tcPr>
          <w:p w:rsidR="004E16B0" w:rsidRPr="00B4346C" w:rsidRDefault="004E16B0" w:rsidP="00A127AE">
            <w:pPr>
              <w:rPr>
                <w:sz w:val="21"/>
                <w:szCs w:val="21"/>
              </w:rPr>
            </w:pPr>
            <w:r w:rsidRPr="00B4346C">
              <w:rPr>
                <w:sz w:val="21"/>
                <w:szCs w:val="21"/>
              </w:rPr>
              <w:t>Year 2</w:t>
            </w:r>
          </w:p>
        </w:tc>
        <w:tc>
          <w:tcPr>
            <w:tcW w:w="992" w:type="dxa"/>
          </w:tcPr>
          <w:p w:rsidR="004E16B0" w:rsidRPr="00B4346C" w:rsidRDefault="004E16B0" w:rsidP="00A127AE">
            <w:pPr>
              <w:rPr>
                <w:sz w:val="21"/>
                <w:szCs w:val="21"/>
              </w:rPr>
            </w:pPr>
          </w:p>
        </w:tc>
        <w:tc>
          <w:tcPr>
            <w:tcW w:w="6551" w:type="dxa"/>
          </w:tcPr>
          <w:p w:rsidR="004E16B0" w:rsidRPr="00B4346C" w:rsidRDefault="004E16B0" w:rsidP="00A127AE">
            <w:pPr>
              <w:rPr>
                <w:sz w:val="21"/>
                <w:szCs w:val="21"/>
              </w:rPr>
            </w:pPr>
            <w:r w:rsidRPr="00B4346C">
              <w:rPr>
                <w:sz w:val="21"/>
                <w:szCs w:val="21"/>
              </w:rPr>
              <w:t xml:space="preserve">[Intended situation after two years of implementation] </w:t>
            </w:r>
          </w:p>
        </w:tc>
      </w:tr>
      <w:tr w:rsidR="004E16B0" w:rsidRPr="00B4346C" w:rsidTr="00A127AE">
        <w:tc>
          <w:tcPr>
            <w:tcW w:w="1384" w:type="dxa"/>
            <w:shd w:val="clear" w:color="auto" w:fill="8DB3E2" w:themeFill="text2" w:themeFillTint="66"/>
          </w:tcPr>
          <w:p w:rsidR="004E16B0" w:rsidRPr="00B4346C" w:rsidRDefault="004E16B0" w:rsidP="00A127AE">
            <w:pPr>
              <w:rPr>
                <w:sz w:val="21"/>
                <w:szCs w:val="21"/>
              </w:rPr>
            </w:pPr>
            <w:r w:rsidRPr="00B4346C">
              <w:rPr>
                <w:sz w:val="21"/>
                <w:szCs w:val="21"/>
              </w:rPr>
              <w:t>Target</w:t>
            </w:r>
          </w:p>
        </w:tc>
        <w:tc>
          <w:tcPr>
            <w:tcW w:w="851" w:type="dxa"/>
            <w:shd w:val="clear" w:color="auto" w:fill="8DB3E2" w:themeFill="text2" w:themeFillTint="66"/>
          </w:tcPr>
          <w:p w:rsidR="004E16B0" w:rsidRPr="00B4346C" w:rsidRDefault="004E16B0" w:rsidP="00A127AE">
            <w:pPr>
              <w:rPr>
                <w:sz w:val="21"/>
                <w:szCs w:val="21"/>
              </w:rPr>
            </w:pPr>
            <w:r w:rsidRPr="00B4346C">
              <w:rPr>
                <w:sz w:val="21"/>
                <w:szCs w:val="21"/>
              </w:rPr>
              <w:t>Year 3</w:t>
            </w:r>
          </w:p>
        </w:tc>
        <w:tc>
          <w:tcPr>
            <w:tcW w:w="992" w:type="dxa"/>
          </w:tcPr>
          <w:p w:rsidR="004E16B0" w:rsidRPr="00B4346C" w:rsidRDefault="004E16B0" w:rsidP="00A127AE">
            <w:pPr>
              <w:rPr>
                <w:sz w:val="21"/>
                <w:szCs w:val="21"/>
              </w:rPr>
            </w:pPr>
          </w:p>
        </w:tc>
        <w:tc>
          <w:tcPr>
            <w:tcW w:w="6551" w:type="dxa"/>
          </w:tcPr>
          <w:p w:rsidR="004E16B0" w:rsidRPr="00B4346C" w:rsidRDefault="004E16B0" w:rsidP="00A127AE">
            <w:pPr>
              <w:rPr>
                <w:sz w:val="21"/>
                <w:szCs w:val="21"/>
              </w:rPr>
            </w:pPr>
            <w:r w:rsidRPr="00B4346C">
              <w:rPr>
                <w:sz w:val="21"/>
                <w:szCs w:val="21"/>
              </w:rPr>
              <w:t xml:space="preserve">[Intended situation after three years of implementation] </w:t>
            </w:r>
          </w:p>
        </w:tc>
      </w:tr>
      <w:tr w:rsidR="004E16B0" w:rsidRPr="00B4346C" w:rsidTr="00A127AE">
        <w:tc>
          <w:tcPr>
            <w:tcW w:w="1384" w:type="dxa"/>
            <w:shd w:val="clear" w:color="auto" w:fill="8DB3E2" w:themeFill="text2" w:themeFillTint="66"/>
          </w:tcPr>
          <w:p w:rsidR="004E16B0" w:rsidRPr="00B4346C" w:rsidRDefault="004E16B0" w:rsidP="00A127AE">
            <w:pPr>
              <w:rPr>
                <w:sz w:val="21"/>
                <w:szCs w:val="21"/>
              </w:rPr>
            </w:pPr>
            <w:r w:rsidRPr="00B4346C">
              <w:rPr>
                <w:sz w:val="21"/>
                <w:szCs w:val="21"/>
              </w:rPr>
              <w:t>…</w:t>
            </w:r>
          </w:p>
        </w:tc>
        <w:tc>
          <w:tcPr>
            <w:tcW w:w="851" w:type="dxa"/>
            <w:shd w:val="clear" w:color="auto" w:fill="8DB3E2" w:themeFill="text2" w:themeFillTint="66"/>
          </w:tcPr>
          <w:p w:rsidR="004E16B0" w:rsidRPr="00B4346C" w:rsidRDefault="004E16B0" w:rsidP="00A127AE">
            <w:pPr>
              <w:rPr>
                <w:sz w:val="21"/>
                <w:szCs w:val="21"/>
              </w:rPr>
            </w:pPr>
            <w:r w:rsidRPr="00B4346C">
              <w:rPr>
                <w:sz w:val="21"/>
                <w:szCs w:val="21"/>
              </w:rPr>
              <w:t>….</w:t>
            </w:r>
          </w:p>
        </w:tc>
        <w:tc>
          <w:tcPr>
            <w:tcW w:w="992" w:type="dxa"/>
          </w:tcPr>
          <w:p w:rsidR="004E16B0" w:rsidRPr="00B4346C" w:rsidRDefault="004E16B0" w:rsidP="00A127AE">
            <w:pPr>
              <w:rPr>
                <w:sz w:val="21"/>
                <w:szCs w:val="21"/>
              </w:rPr>
            </w:pPr>
          </w:p>
        </w:tc>
        <w:tc>
          <w:tcPr>
            <w:tcW w:w="6551" w:type="dxa"/>
          </w:tcPr>
          <w:p w:rsidR="004E16B0" w:rsidRPr="00B4346C" w:rsidRDefault="004E16B0" w:rsidP="00A127AE">
            <w:pPr>
              <w:rPr>
                <w:sz w:val="21"/>
                <w:szCs w:val="21"/>
              </w:rPr>
            </w:pPr>
            <w:r w:rsidRPr="00B4346C">
              <w:rPr>
                <w:sz w:val="21"/>
                <w:szCs w:val="21"/>
              </w:rPr>
              <w:t>….</w:t>
            </w:r>
          </w:p>
        </w:tc>
      </w:tr>
      <w:tr w:rsidR="004E16B0" w:rsidRPr="00B4346C" w:rsidTr="00A127AE">
        <w:tc>
          <w:tcPr>
            <w:tcW w:w="1384" w:type="dxa"/>
            <w:shd w:val="clear" w:color="auto" w:fill="8DB3E2" w:themeFill="text2" w:themeFillTint="66"/>
          </w:tcPr>
          <w:p w:rsidR="004E16B0" w:rsidRPr="00B4346C" w:rsidRDefault="004E16B0" w:rsidP="00A127AE">
            <w:pPr>
              <w:rPr>
                <w:sz w:val="21"/>
                <w:szCs w:val="21"/>
              </w:rPr>
            </w:pPr>
            <w:r w:rsidRPr="00B4346C">
              <w:rPr>
                <w:sz w:val="21"/>
                <w:szCs w:val="21"/>
              </w:rPr>
              <w:t xml:space="preserve">Target </w:t>
            </w:r>
          </w:p>
        </w:tc>
        <w:tc>
          <w:tcPr>
            <w:tcW w:w="851" w:type="dxa"/>
            <w:shd w:val="clear" w:color="auto" w:fill="8DB3E2" w:themeFill="text2" w:themeFillTint="66"/>
          </w:tcPr>
          <w:p w:rsidR="004E16B0" w:rsidRPr="00B4346C" w:rsidRDefault="004E16B0" w:rsidP="00A127AE">
            <w:pPr>
              <w:rPr>
                <w:sz w:val="21"/>
                <w:szCs w:val="21"/>
              </w:rPr>
            </w:pPr>
            <w:r w:rsidRPr="00B4346C">
              <w:rPr>
                <w:sz w:val="21"/>
                <w:szCs w:val="21"/>
              </w:rPr>
              <w:t>Year</w:t>
            </w:r>
          </w:p>
        </w:tc>
        <w:tc>
          <w:tcPr>
            <w:tcW w:w="992" w:type="dxa"/>
          </w:tcPr>
          <w:p w:rsidR="004E16B0" w:rsidRPr="00B4346C" w:rsidRDefault="004E16B0" w:rsidP="00A127AE">
            <w:pPr>
              <w:rPr>
                <w:sz w:val="21"/>
                <w:szCs w:val="21"/>
              </w:rPr>
            </w:pPr>
          </w:p>
        </w:tc>
        <w:tc>
          <w:tcPr>
            <w:tcW w:w="6551" w:type="dxa"/>
          </w:tcPr>
          <w:p w:rsidR="004E16B0" w:rsidRPr="00B4346C" w:rsidRDefault="004E16B0" w:rsidP="00A127AE">
            <w:pPr>
              <w:rPr>
                <w:sz w:val="21"/>
                <w:szCs w:val="21"/>
              </w:rPr>
            </w:pPr>
            <w:r w:rsidRPr="00B4346C">
              <w:rPr>
                <w:sz w:val="21"/>
                <w:szCs w:val="21"/>
              </w:rPr>
              <w:t>[Intended situation when activity under the engagement ends ]</w:t>
            </w:r>
          </w:p>
        </w:tc>
      </w:tr>
      <w:tr w:rsidR="004E16B0" w:rsidRPr="00B4346C" w:rsidTr="00A127AE">
        <w:trPr>
          <w:trHeight w:hRule="exact" w:val="113"/>
        </w:trPr>
        <w:tc>
          <w:tcPr>
            <w:tcW w:w="9778" w:type="dxa"/>
            <w:gridSpan w:val="4"/>
          </w:tcPr>
          <w:p w:rsidR="004E16B0" w:rsidRPr="00B4346C" w:rsidRDefault="004E16B0" w:rsidP="00A127AE">
            <w:pPr>
              <w:rPr>
                <w:sz w:val="21"/>
                <w:szCs w:val="21"/>
              </w:rPr>
            </w:pPr>
          </w:p>
        </w:tc>
      </w:tr>
    </w:tbl>
    <w:p w:rsidR="004E16B0" w:rsidRPr="001A4D9C" w:rsidRDefault="004E16B0" w:rsidP="004E16B0"/>
    <w:p w:rsidR="004E16B0" w:rsidRPr="001A4D9C" w:rsidRDefault="004E16B0" w:rsidP="004E16B0">
      <w:pPr>
        <w:pStyle w:val="Listeafsnit"/>
        <w:widowControl/>
        <w:numPr>
          <w:ilvl w:val="0"/>
          <w:numId w:val="3"/>
        </w:numPr>
        <w:autoSpaceDE/>
        <w:autoSpaceDN/>
        <w:spacing w:after="200" w:line="276" w:lineRule="auto"/>
        <w:contextualSpacing/>
      </w:pPr>
      <w:r w:rsidRPr="001A4D9C">
        <w:rPr>
          <w:b/>
          <w:bCs/>
        </w:rPr>
        <w:t>Change to risk assessment</w:t>
      </w:r>
      <w:r w:rsidRPr="001A4D9C">
        <w:t xml:space="preserve"> (if any)</w:t>
      </w:r>
    </w:p>
    <w:p w:rsidR="004E16B0" w:rsidRPr="001A4D9C" w:rsidRDefault="004E16B0" w:rsidP="004E16B0">
      <w:pPr>
        <w:spacing w:line="240" w:lineRule="auto"/>
        <w:rPr>
          <w:color w:val="FF0000"/>
        </w:rPr>
      </w:pPr>
      <w:r w:rsidRPr="001A4D9C">
        <w:rPr>
          <w:color w:val="FF0000"/>
        </w:rPr>
        <w:t xml:space="preserve">Note: if there is any change to the contextual, programmatic and/or institutional risks as a consequence of the extension, the updated risk assessment should be included in the table below. Use separate tables for contextual, programmatic and/or institutional risks.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1701"/>
        <w:gridCol w:w="1276"/>
        <w:gridCol w:w="1559"/>
        <w:gridCol w:w="2126"/>
      </w:tblGrid>
      <w:tr w:rsidR="004E16B0" w:rsidRPr="001A4D9C" w:rsidTr="00A127AE">
        <w:tc>
          <w:tcPr>
            <w:tcW w:w="1413" w:type="dxa"/>
          </w:tcPr>
          <w:p w:rsidR="004E16B0" w:rsidRPr="001A4D9C" w:rsidRDefault="004E16B0" w:rsidP="00A127AE">
            <w:pPr>
              <w:autoSpaceDE w:val="0"/>
              <w:autoSpaceDN w:val="0"/>
              <w:adjustRightInd w:val="0"/>
              <w:spacing w:after="0" w:line="240" w:lineRule="auto"/>
              <w:rPr>
                <w:rFonts w:cs="Calibri"/>
                <w:b/>
                <w:color w:val="000000"/>
                <w:sz w:val="16"/>
                <w:szCs w:val="16"/>
              </w:rPr>
            </w:pPr>
            <w:r w:rsidRPr="001A4D9C">
              <w:rPr>
                <w:rFonts w:cs="Calibri"/>
                <w:b/>
                <w:color w:val="000000"/>
                <w:sz w:val="16"/>
                <w:szCs w:val="16"/>
              </w:rPr>
              <w:t>Risk Factor</w:t>
            </w:r>
          </w:p>
        </w:tc>
        <w:tc>
          <w:tcPr>
            <w:tcW w:w="1559" w:type="dxa"/>
          </w:tcPr>
          <w:p w:rsidR="004E16B0" w:rsidRPr="001A4D9C" w:rsidRDefault="004E16B0" w:rsidP="00A127AE">
            <w:pPr>
              <w:autoSpaceDE w:val="0"/>
              <w:autoSpaceDN w:val="0"/>
              <w:adjustRightInd w:val="0"/>
              <w:spacing w:after="0" w:line="240" w:lineRule="auto"/>
              <w:rPr>
                <w:rFonts w:cs="Calibri"/>
                <w:b/>
                <w:color w:val="000000"/>
                <w:sz w:val="16"/>
                <w:szCs w:val="16"/>
              </w:rPr>
            </w:pPr>
            <w:r w:rsidRPr="001A4D9C">
              <w:rPr>
                <w:rFonts w:cs="Calibri"/>
                <w:b/>
                <w:color w:val="000000"/>
                <w:sz w:val="16"/>
                <w:szCs w:val="16"/>
              </w:rPr>
              <w:t>Likelihood</w:t>
            </w:r>
          </w:p>
        </w:tc>
        <w:tc>
          <w:tcPr>
            <w:tcW w:w="1701" w:type="dxa"/>
          </w:tcPr>
          <w:p w:rsidR="004E16B0" w:rsidRPr="001A4D9C" w:rsidRDefault="004E16B0" w:rsidP="00A127AE">
            <w:pPr>
              <w:autoSpaceDE w:val="0"/>
              <w:autoSpaceDN w:val="0"/>
              <w:adjustRightInd w:val="0"/>
              <w:spacing w:after="0" w:line="240" w:lineRule="auto"/>
              <w:rPr>
                <w:rFonts w:cs="Calibri"/>
                <w:b/>
                <w:color w:val="000000"/>
                <w:sz w:val="16"/>
                <w:szCs w:val="16"/>
              </w:rPr>
            </w:pPr>
            <w:r w:rsidRPr="001A4D9C">
              <w:rPr>
                <w:rFonts w:cs="Calibri"/>
                <w:b/>
                <w:color w:val="000000"/>
                <w:sz w:val="16"/>
                <w:szCs w:val="16"/>
              </w:rPr>
              <w:t>Impact</w:t>
            </w:r>
          </w:p>
        </w:tc>
        <w:tc>
          <w:tcPr>
            <w:tcW w:w="1276" w:type="dxa"/>
          </w:tcPr>
          <w:p w:rsidR="004E16B0" w:rsidRPr="001A4D9C" w:rsidRDefault="004E16B0" w:rsidP="00A127AE">
            <w:pPr>
              <w:autoSpaceDE w:val="0"/>
              <w:autoSpaceDN w:val="0"/>
              <w:adjustRightInd w:val="0"/>
              <w:spacing w:after="0" w:line="240" w:lineRule="auto"/>
              <w:rPr>
                <w:rFonts w:cs="Calibri"/>
                <w:b/>
                <w:color w:val="000000"/>
                <w:sz w:val="16"/>
                <w:szCs w:val="16"/>
              </w:rPr>
            </w:pPr>
            <w:r w:rsidRPr="001A4D9C">
              <w:rPr>
                <w:rFonts w:cs="Calibri"/>
                <w:b/>
                <w:color w:val="000000"/>
                <w:sz w:val="16"/>
                <w:szCs w:val="16"/>
              </w:rPr>
              <w:t>Risk response</w:t>
            </w:r>
          </w:p>
        </w:tc>
        <w:tc>
          <w:tcPr>
            <w:tcW w:w="1559" w:type="dxa"/>
          </w:tcPr>
          <w:p w:rsidR="004E16B0" w:rsidRPr="001A4D9C" w:rsidRDefault="004E16B0" w:rsidP="00A127AE">
            <w:pPr>
              <w:autoSpaceDE w:val="0"/>
              <w:autoSpaceDN w:val="0"/>
              <w:adjustRightInd w:val="0"/>
              <w:spacing w:after="0" w:line="240" w:lineRule="auto"/>
              <w:rPr>
                <w:rFonts w:cs="Calibri"/>
                <w:b/>
                <w:color w:val="000000"/>
                <w:sz w:val="16"/>
                <w:szCs w:val="16"/>
              </w:rPr>
            </w:pPr>
            <w:r w:rsidRPr="001A4D9C">
              <w:rPr>
                <w:rFonts w:cs="Calibri"/>
                <w:b/>
                <w:color w:val="000000"/>
                <w:sz w:val="16"/>
                <w:szCs w:val="16"/>
              </w:rPr>
              <w:t>Residual risk</w:t>
            </w:r>
          </w:p>
        </w:tc>
        <w:tc>
          <w:tcPr>
            <w:tcW w:w="2126" w:type="dxa"/>
          </w:tcPr>
          <w:p w:rsidR="004E16B0" w:rsidRPr="001A4D9C" w:rsidRDefault="004E16B0" w:rsidP="00A127AE">
            <w:pPr>
              <w:autoSpaceDE w:val="0"/>
              <w:autoSpaceDN w:val="0"/>
              <w:adjustRightInd w:val="0"/>
              <w:spacing w:after="0" w:line="240" w:lineRule="auto"/>
              <w:rPr>
                <w:rFonts w:cs="Calibri"/>
                <w:b/>
                <w:color w:val="000000"/>
                <w:sz w:val="16"/>
                <w:szCs w:val="16"/>
              </w:rPr>
            </w:pPr>
            <w:r w:rsidRPr="001A4D9C">
              <w:rPr>
                <w:rFonts w:cs="Calibri"/>
                <w:b/>
                <w:color w:val="000000"/>
                <w:sz w:val="16"/>
                <w:szCs w:val="16"/>
              </w:rPr>
              <w:t>Background to assessment</w:t>
            </w:r>
          </w:p>
        </w:tc>
      </w:tr>
      <w:tr w:rsidR="004E16B0" w:rsidRPr="001A4D9C" w:rsidTr="00A127AE">
        <w:tc>
          <w:tcPr>
            <w:tcW w:w="1413" w:type="dxa"/>
          </w:tcPr>
          <w:p w:rsidR="004E16B0" w:rsidRPr="001A4D9C" w:rsidRDefault="004E16B0" w:rsidP="00A127AE">
            <w:pPr>
              <w:autoSpaceDE w:val="0"/>
              <w:autoSpaceDN w:val="0"/>
              <w:adjustRightInd w:val="0"/>
              <w:spacing w:after="0" w:line="240" w:lineRule="auto"/>
              <w:rPr>
                <w:rFonts w:cs="Calibri"/>
                <w:color w:val="000000"/>
                <w:sz w:val="16"/>
                <w:szCs w:val="16"/>
              </w:rPr>
            </w:pPr>
            <w:r w:rsidRPr="001A4D9C">
              <w:rPr>
                <w:rFonts w:cs="Calibri"/>
                <w:color w:val="000000"/>
                <w:sz w:val="16"/>
                <w:szCs w:val="16"/>
              </w:rPr>
              <w:t>The risk is formulated as a headline or in one or two sentences</w:t>
            </w:r>
          </w:p>
        </w:tc>
        <w:tc>
          <w:tcPr>
            <w:tcW w:w="1559" w:type="dxa"/>
          </w:tcPr>
          <w:p w:rsidR="004E16B0" w:rsidRPr="001A4D9C" w:rsidRDefault="004E16B0" w:rsidP="004E16B0">
            <w:pPr>
              <w:numPr>
                <w:ilvl w:val="0"/>
                <w:numId w:val="4"/>
              </w:numPr>
              <w:autoSpaceDE w:val="0"/>
              <w:autoSpaceDN w:val="0"/>
              <w:adjustRightInd w:val="0"/>
              <w:spacing w:after="0" w:line="240" w:lineRule="auto"/>
              <w:jc w:val="left"/>
              <w:rPr>
                <w:rFonts w:cs="Calibri"/>
                <w:color w:val="000000"/>
                <w:sz w:val="16"/>
                <w:szCs w:val="16"/>
              </w:rPr>
            </w:pPr>
            <w:r w:rsidRPr="001A4D9C">
              <w:rPr>
                <w:rFonts w:cs="Calibri"/>
                <w:color w:val="000000"/>
                <w:sz w:val="16"/>
                <w:szCs w:val="16"/>
              </w:rPr>
              <w:t>Very unlikely</w:t>
            </w:r>
          </w:p>
          <w:p w:rsidR="004E16B0" w:rsidRPr="001A4D9C" w:rsidRDefault="004E16B0" w:rsidP="004E16B0">
            <w:pPr>
              <w:numPr>
                <w:ilvl w:val="0"/>
                <w:numId w:val="4"/>
              </w:numPr>
              <w:autoSpaceDE w:val="0"/>
              <w:autoSpaceDN w:val="0"/>
              <w:adjustRightInd w:val="0"/>
              <w:spacing w:after="0" w:line="240" w:lineRule="auto"/>
              <w:jc w:val="left"/>
              <w:rPr>
                <w:rFonts w:cs="Calibri"/>
                <w:color w:val="000000"/>
                <w:sz w:val="16"/>
                <w:szCs w:val="16"/>
              </w:rPr>
            </w:pPr>
            <w:r w:rsidRPr="001A4D9C">
              <w:rPr>
                <w:rFonts w:cs="Calibri"/>
                <w:color w:val="000000"/>
                <w:sz w:val="16"/>
                <w:szCs w:val="16"/>
              </w:rPr>
              <w:t>Unlikely</w:t>
            </w:r>
          </w:p>
          <w:p w:rsidR="004E16B0" w:rsidRPr="001A4D9C" w:rsidRDefault="004E16B0" w:rsidP="004E16B0">
            <w:pPr>
              <w:numPr>
                <w:ilvl w:val="0"/>
                <w:numId w:val="4"/>
              </w:numPr>
              <w:autoSpaceDE w:val="0"/>
              <w:autoSpaceDN w:val="0"/>
              <w:adjustRightInd w:val="0"/>
              <w:spacing w:after="0" w:line="240" w:lineRule="auto"/>
              <w:jc w:val="left"/>
              <w:rPr>
                <w:rFonts w:cs="Calibri"/>
                <w:color w:val="000000"/>
                <w:sz w:val="16"/>
                <w:szCs w:val="16"/>
              </w:rPr>
            </w:pPr>
            <w:r w:rsidRPr="001A4D9C">
              <w:rPr>
                <w:rFonts w:cs="Calibri"/>
                <w:color w:val="000000"/>
                <w:sz w:val="16"/>
                <w:szCs w:val="16"/>
              </w:rPr>
              <w:t>Likely</w:t>
            </w:r>
          </w:p>
          <w:p w:rsidR="004E16B0" w:rsidRPr="001A4D9C" w:rsidRDefault="004E16B0" w:rsidP="004E16B0">
            <w:pPr>
              <w:numPr>
                <w:ilvl w:val="0"/>
                <w:numId w:val="4"/>
              </w:numPr>
              <w:autoSpaceDE w:val="0"/>
              <w:autoSpaceDN w:val="0"/>
              <w:adjustRightInd w:val="0"/>
              <w:spacing w:after="0" w:line="240" w:lineRule="auto"/>
              <w:jc w:val="left"/>
              <w:rPr>
                <w:rFonts w:cs="Calibri"/>
                <w:color w:val="000000"/>
                <w:sz w:val="16"/>
                <w:szCs w:val="16"/>
              </w:rPr>
            </w:pPr>
            <w:r w:rsidRPr="001A4D9C">
              <w:rPr>
                <w:rFonts w:cs="Calibri"/>
                <w:color w:val="000000"/>
                <w:sz w:val="16"/>
                <w:szCs w:val="16"/>
              </w:rPr>
              <w:t>Almost certain</w:t>
            </w:r>
          </w:p>
        </w:tc>
        <w:tc>
          <w:tcPr>
            <w:tcW w:w="1701" w:type="dxa"/>
          </w:tcPr>
          <w:p w:rsidR="004E16B0" w:rsidRPr="001A4D9C" w:rsidRDefault="004E16B0" w:rsidP="004E16B0">
            <w:pPr>
              <w:numPr>
                <w:ilvl w:val="0"/>
                <w:numId w:val="4"/>
              </w:numPr>
              <w:autoSpaceDE w:val="0"/>
              <w:autoSpaceDN w:val="0"/>
              <w:adjustRightInd w:val="0"/>
              <w:spacing w:after="0" w:line="240" w:lineRule="auto"/>
              <w:contextualSpacing/>
              <w:jc w:val="left"/>
              <w:rPr>
                <w:rFonts w:cs="Calibri"/>
                <w:color w:val="000000"/>
                <w:sz w:val="16"/>
                <w:szCs w:val="16"/>
              </w:rPr>
            </w:pPr>
            <w:r w:rsidRPr="001A4D9C">
              <w:rPr>
                <w:rFonts w:cs="Calibri"/>
                <w:color w:val="000000"/>
                <w:sz w:val="16"/>
                <w:szCs w:val="16"/>
              </w:rPr>
              <w:t>Insignificant</w:t>
            </w:r>
          </w:p>
          <w:p w:rsidR="004E16B0" w:rsidRPr="001A4D9C" w:rsidRDefault="004E16B0" w:rsidP="004E16B0">
            <w:pPr>
              <w:numPr>
                <w:ilvl w:val="0"/>
                <w:numId w:val="4"/>
              </w:numPr>
              <w:autoSpaceDE w:val="0"/>
              <w:autoSpaceDN w:val="0"/>
              <w:adjustRightInd w:val="0"/>
              <w:spacing w:after="0" w:line="240" w:lineRule="auto"/>
              <w:jc w:val="left"/>
              <w:rPr>
                <w:rFonts w:cs="Calibri"/>
                <w:color w:val="000000"/>
                <w:sz w:val="16"/>
                <w:szCs w:val="16"/>
              </w:rPr>
            </w:pPr>
            <w:r w:rsidRPr="001A4D9C">
              <w:rPr>
                <w:rFonts w:cs="Calibri"/>
                <w:color w:val="000000"/>
                <w:sz w:val="16"/>
                <w:szCs w:val="16"/>
              </w:rPr>
              <w:t>Minor</w:t>
            </w:r>
          </w:p>
          <w:p w:rsidR="004E16B0" w:rsidRPr="001A4D9C" w:rsidRDefault="004E16B0" w:rsidP="004E16B0">
            <w:pPr>
              <w:numPr>
                <w:ilvl w:val="0"/>
                <w:numId w:val="4"/>
              </w:numPr>
              <w:autoSpaceDE w:val="0"/>
              <w:autoSpaceDN w:val="0"/>
              <w:adjustRightInd w:val="0"/>
              <w:spacing w:after="0" w:line="240" w:lineRule="auto"/>
              <w:jc w:val="left"/>
              <w:rPr>
                <w:rFonts w:cs="Calibri"/>
                <w:color w:val="000000"/>
                <w:sz w:val="16"/>
                <w:szCs w:val="16"/>
              </w:rPr>
            </w:pPr>
            <w:r w:rsidRPr="001A4D9C">
              <w:rPr>
                <w:rFonts w:cs="Calibri"/>
                <w:color w:val="000000"/>
                <w:sz w:val="16"/>
                <w:szCs w:val="16"/>
              </w:rPr>
              <w:t>Major</w:t>
            </w:r>
          </w:p>
          <w:p w:rsidR="004E16B0" w:rsidRPr="001A4D9C" w:rsidRDefault="004E16B0" w:rsidP="004E16B0">
            <w:pPr>
              <w:numPr>
                <w:ilvl w:val="0"/>
                <w:numId w:val="4"/>
              </w:numPr>
              <w:autoSpaceDE w:val="0"/>
              <w:autoSpaceDN w:val="0"/>
              <w:adjustRightInd w:val="0"/>
              <w:spacing w:after="0" w:line="240" w:lineRule="auto"/>
              <w:jc w:val="left"/>
              <w:rPr>
                <w:rFonts w:cs="Calibri"/>
                <w:color w:val="000000"/>
                <w:sz w:val="16"/>
                <w:szCs w:val="16"/>
              </w:rPr>
            </w:pPr>
            <w:r w:rsidRPr="001A4D9C">
              <w:rPr>
                <w:rFonts w:cs="Calibri"/>
                <w:color w:val="000000"/>
                <w:sz w:val="16"/>
                <w:szCs w:val="16"/>
              </w:rPr>
              <w:t>Significant</w:t>
            </w:r>
          </w:p>
        </w:tc>
        <w:tc>
          <w:tcPr>
            <w:tcW w:w="1276" w:type="dxa"/>
          </w:tcPr>
          <w:p w:rsidR="004E16B0" w:rsidRPr="001A4D9C" w:rsidRDefault="004E16B0" w:rsidP="00A127AE">
            <w:pPr>
              <w:autoSpaceDE w:val="0"/>
              <w:autoSpaceDN w:val="0"/>
              <w:adjustRightInd w:val="0"/>
              <w:spacing w:after="0" w:line="240" w:lineRule="auto"/>
              <w:rPr>
                <w:rFonts w:cs="Calibri"/>
                <w:color w:val="000000"/>
                <w:sz w:val="16"/>
                <w:szCs w:val="16"/>
              </w:rPr>
            </w:pPr>
            <w:r w:rsidRPr="001A4D9C">
              <w:rPr>
                <w:rFonts w:cs="Calibri"/>
                <w:color w:val="000000"/>
                <w:sz w:val="16"/>
                <w:szCs w:val="16"/>
              </w:rPr>
              <w:t>The risk response is formulated as a headline or in one or two sentences</w:t>
            </w:r>
          </w:p>
        </w:tc>
        <w:tc>
          <w:tcPr>
            <w:tcW w:w="1559" w:type="dxa"/>
          </w:tcPr>
          <w:p w:rsidR="004E16B0" w:rsidRPr="001A4D9C" w:rsidRDefault="004E16B0" w:rsidP="00A127AE">
            <w:pPr>
              <w:autoSpaceDE w:val="0"/>
              <w:autoSpaceDN w:val="0"/>
              <w:adjustRightInd w:val="0"/>
              <w:spacing w:after="0" w:line="240" w:lineRule="auto"/>
              <w:rPr>
                <w:rFonts w:cs="Calibri"/>
                <w:color w:val="000000"/>
                <w:sz w:val="16"/>
                <w:szCs w:val="16"/>
              </w:rPr>
            </w:pPr>
            <w:r w:rsidRPr="001A4D9C">
              <w:rPr>
                <w:rFonts w:cs="Calibri"/>
                <w:color w:val="000000"/>
                <w:sz w:val="16"/>
                <w:szCs w:val="16"/>
              </w:rPr>
              <w:t>The risk that remains after the identified risk response.</w:t>
            </w:r>
          </w:p>
        </w:tc>
        <w:tc>
          <w:tcPr>
            <w:tcW w:w="2126" w:type="dxa"/>
          </w:tcPr>
          <w:p w:rsidR="004E16B0" w:rsidRPr="001A4D9C" w:rsidRDefault="004E16B0" w:rsidP="00A127AE">
            <w:pPr>
              <w:autoSpaceDE w:val="0"/>
              <w:autoSpaceDN w:val="0"/>
              <w:adjustRightInd w:val="0"/>
              <w:spacing w:after="0" w:line="240" w:lineRule="auto"/>
              <w:rPr>
                <w:rFonts w:cs="Calibri"/>
                <w:color w:val="000000"/>
                <w:sz w:val="16"/>
                <w:szCs w:val="16"/>
              </w:rPr>
            </w:pPr>
            <w:r w:rsidRPr="001A4D9C">
              <w:rPr>
                <w:rFonts w:cs="Calibri"/>
                <w:color w:val="000000"/>
                <w:sz w:val="16"/>
                <w:szCs w:val="16"/>
              </w:rPr>
              <w:t>Brief explanation which can emphasize the risk factor itself or any of the other elements in terms of rating and responding to the risk</w:t>
            </w:r>
          </w:p>
        </w:tc>
      </w:tr>
    </w:tbl>
    <w:p w:rsidR="004E16B0" w:rsidRPr="001A4D9C" w:rsidRDefault="004E16B0" w:rsidP="004E16B0"/>
    <w:p w:rsidR="004E16B0" w:rsidRPr="001A4D9C" w:rsidRDefault="004E16B0" w:rsidP="004E16B0">
      <w:pPr>
        <w:pStyle w:val="Listeafsnit"/>
        <w:widowControl/>
        <w:numPr>
          <w:ilvl w:val="0"/>
          <w:numId w:val="3"/>
        </w:numPr>
        <w:autoSpaceDE/>
        <w:autoSpaceDN/>
        <w:spacing w:after="200" w:line="276" w:lineRule="auto"/>
        <w:contextualSpacing/>
        <w:rPr>
          <w:b/>
          <w:bCs/>
        </w:rPr>
      </w:pPr>
      <w:r w:rsidRPr="001A4D9C">
        <w:rPr>
          <w:b/>
          <w:bCs/>
        </w:rPr>
        <w:t>Change to project budget (DKK M)</w:t>
      </w:r>
      <w:r>
        <w:rPr>
          <w:rStyle w:val="Fodnotehenvisning"/>
          <w:b/>
          <w:bCs/>
        </w:rPr>
        <w:footnoteReference w:id="1"/>
      </w:r>
      <w:r w:rsidRPr="001A4D9C">
        <w:t xml:space="preserve"> (if any)</w:t>
      </w:r>
    </w:p>
    <w:p w:rsidR="004E16B0" w:rsidRDefault="004E16B0" w:rsidP="004E16B0">
      <w:pPr>
        <w:spacing w:line="240" w:lineRule="auto"/>
        <w:rPr>
          <w:color w:val="FF0000"/>
        </w:rPr>
      </w:pPr>
      <w:r w:rsidRPr="001A4D9C">
        <w:rPr>
          <w:color w:val="FF0000"/>
        </w:rPr>
        <w:t xml:space="preserve">Note: </w:t>
      </w:r>
      <w:r>
        <w:rPr>
          <w:color w:val="FF0000"/>
        </w:rPr>
        <w:t>Show top-up amounts at output level and, for MoD, activity level (where applicable).</w:t>
      </w:r>
    </w:p>
    <w:p w:rsidR="004E16B0" w:rsidRPr="001A4D9C" w:rsidRDefault="004E16B0" w:rsidP="004E16B0">
      <w:pPr>
        <w:spacing w:line="240" w:lineRule="auto"/>
        <w:rPr>
          <w:b/>
          <w:bCs/>
          <w:color w:val="FF0000"/>
        </w:rPr>
      </w:pPr>
    </w:p>
    <w:p w:rsidR="004E16B0" w:rsidRPr="00EB3830" w:rsidRDefault="004E16B0" w:rsidP="004E16B0">
      <w:pPr>
        <w:pStyle w:val="Overskrift1"/>
        <w:numPr>
          <w:ilvl w:val="0"/>
          <w:numId w:val="0"/>
        </w:numPr>
        <w:ind w:left="432" w:hanging="432"/>
        <w:rPr>
          <w:lang w:val="en-GB"/>
        </w:rPr>
      </w:pPr>
    </w:p>
    <w:p w:rsidR="007D2987" w:rsidRDefault="007D2987">
      <w:bookmarkStart w:id="1" w:name="_GoBack"/>
      <w:bookmarkEnd w:id="1"/>
    </w:p>
    <w:sectPr w:rsidR="007D2987">
      <w:headerReference w:type="even" r:id="rId7"/>
      <w:headerReference w:type="default" r:id="rId8"/>
      <w:footerReference w:type="default" r:id="rId9"/>
      <w:headerReference w:type="first" r:id="rId10"/>
      <w:pgSz w:w="11910" w:h="16840"/>
      <w:pgMar w:top="1060" w:right="1300" w:bottom="1280" w:left="1200" w:header="710" w:footer="10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6B0" w:rsidRDefault="004E16B0" w:rsidP="004E16B0">
      <w:pPr>
        <w:spacing w:after="0" w:line="240" w:lineRule="auto"/>
      </w:pPr>
      <w:r>
        <w:separator/>
      </w:r>
    </w:p>
  </w:endnote>
  <w:endnote w:type="continuationSeparator" w:id="0">
    <w:p w:rsidR="004E16B0" w:rsidRDefault="004E16B0" w:rsidP="004E1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dy CS)">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C91" w:rsidRDefault="004E16B0">
    <w:pPr>
      <w:pStyle w:val="Brdtekst"/>
      <w:spacing w:line="14" w:lineRule="auto"/>
      <w:rPr>
        <w:sz w:val="20"/>
      </w:rPr>
    </w:pPr>
    <w:r>
      <w:rPr>
        <w:noProof/>
        <w:lang w:val="da-DK" w:eastAsia="da-DK"/>
      </w:rPr>
      <mc:AlternateContent>
        <mc:Choice Requires="wps">
          <w:drawing>
            <wp:anchor distT="0" distB="0" distL="114300" distR="114300" simplePos="0" relativeHeight="251659264" behindDoc="1" locked="0" layoutInCell="1" allowOverlap="1" wp14:anchorId="3728A147" wp14:editId="2CBFF610">
              <wp:simplePos x="0" y="0"/>
              <wp:positionH relativeFrom="page">
                <wp:posOffset>3632835</wp:posOffset>
              </wp:positionH>
              <wp:positionV relativeFrom="page">
                <wp:posOffset>9859010</wp:posOffset>
              </wp:positionV>
              <wp:extent cx="220345" cy="183515"/>
              <wp:effectExtent l="0" t="0" r="0" b="0"/>
              <wp:wrapNone/>
              <wp:docPr id="4" name="docshape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C91" w:rsidRDefault="004E16B0">
                          <w:pPr>
                            <w:spacing w:line="288" w:lineRule="exact"/>
                            <w:ind w:left="60"/>
                          </w:pPr>
                          <w:r>
                            <w:rPr>
                              <w:spacing w:val="-5"/>
                            </w:rPr>
                            <w:fldChar w:fldCharType="begin"/>
                          </w:r>
                          <w:r>
                            <w:rPr>
                              <w:spacing w:val="-5"/>
                            </w:rPr>
                            <w:instrText xml:space="preserve"> PAGE </w:instrText>
                          </w:r>
                          <w:r>
                            <w:rPr>
                              <w:spacing w:val="-5"/>
                            </w:rPr>
                            <w:fldChar w:fldCharType="separate"/>
                          </w:r>
                          <w:r>
                            <w:rPr>
                              <w:noProof/>
                              <w:spacing w:val="-5"/>
                            </w:rPr>
                            <w:t>2</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28A147" id="_x0000_t202" coordsize="21600,21600" o:spt="202" path="m,l,21600r21600,l21600,xe">
              <v:stroke joinstyle="miter"/>
              <v:path gradientshapeok="t" o:connecttype="rect"/>
            </v:shapetype>
            <v:shape id="docshape31" o:spid="_x0000_s1026" type="#_x0000_t202" style="position:absolute;left:0;text-align:left;margin-left:286.05pt;margin-top:776.3pt;width:17.35pt;height:14.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" filled="f" stroked="f">
              <v:textbox inset="0,0,0,0">
                <w:txbxContent>
                  <w:p w:rsidR="00111C91" w:rsidRDefault="004E16B0">
                    <w:pPr>
                      <w:spacing w:line="288" w:lineRule="exact"/>
                      <w:ind w:left="60"/>
                    </w:pPr>
                    <w:r>
                      <w:rPr>
                        <w:spacing w:val="-5"/>
                      </w:rPr>
                      <w:fldChar w:fldCharType="begin"/>
                    </w:r>
                    <w:r>
                      <w:rPr>
                        <w:spacing w:val="-5"/>
                      </w:rPr>
                      <w:instrText xml:space="preserve"> PAGE </w:instrText>
                    </w:r>
                    <w:r>
                      <w:rPr>
                        <w:spacing w:val="-5"/>
                      </w:rPr>
                      <w:fldChar w:fldCharType="separate"/>
                    </w:r>
                    <w:r>
                      <w:rPr>
                        <w:noProof/>
                        <w:spacing w:val="-5"/>
                      </w:rPr>
                      <w:t>2</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6B0" w:rsidRDefault="004E16B0" w:rsidP="004E16B0">
      <w:pPr>
        <w:spacing w:after="0" w:line="240" w:lineRule="auto"/>
      </w:pPr>
      <w:r>
        <w:separator/>
      </w:r>
    </w:p>
  </w:footnote>
  <w:footnote w:type="continuationSeparator" w:id="0">
    <w:p w:rsidR="004E16B0" w:rsidRDefault="004E16B0" w:rsidP="004E16B0">
      <w:pPr>
        <w:spacing w:after="0" w:line="240" w:lineRule="auto"/>
      </w:pPr>
      <w:r>
        <w:continuationSeparator/>
      </w:r>
    </w:p>
  </w:footnote>
  <w:footnote w:id="1">
    <w:p w:rsidR="004E16B0" w:rsidRPr="00746190" w:rsidRDefault="004E16B0" w:rsidP="004E16B0">
      <w:pPr>
        <w:spacing w:after="0" w:line="240" w:lineRule="auto"/>
        <w:jc w:val="left"/>
        <w:rPr>
          <w:rFonts w:eastAsia="Times New Roman" w:cs="Times New Roman"/>
          <w:sz w:val="20"/>
          <w:lang w:val="en-US" w:eastAsia="en-GB"/>
        </w:rPr>
      </w:pPr>
      <w:r>
        <w:rPr>
          <w:rStyle w:val="Fodnotehenvisning"/>
        </w:rPr>
        <w:footnoteRef/>
      </w:r>
      <w:r>
        <w:t xml:space="preserve"> </w:t>
      </w:r>
      <w:r w:rsidRPr="00746190">
        <w:rPr>
          <w:sz w:val="20"/>
          <w:lang w:val="en-US"/>
        </w:rPr>
        <w:t xml:space="preserve">Note the possible application of the accumulation principle. </w:t>
      </w:r>
      <w:r w:rsidRPr="00746190">
        <w:rPr>
          <w:rFonts w:eastAsia="Times New Roman" w:cs="Times New Roman"/>
          <w:color w:val="000000"/>
          <w:sz w:val="20"/>
          <w:lang w:eastAsia="en-GB"/>
        </w:rPr>
        <w:t>This means that the previous grant(s) and the forthcoming grant amounts must be added together to determine which grant process to use.</w:t>
      </w:r>
      <w:r w:rsidRPr="00746190">
        <w:rPr>
          <w:rFonts w:eastAsia="Times New Roman" w:cs="Times New Roman"/>
          <w:color w:val="000000"/>
          <w:sz w:val="20"/>
          <w:lang w:val="en-US" w:eastAsia="en-GB"/>
        </w:rPr>
        <w:t xml:space="preserve"> </w:t>
      </w:r>
      <w:r>
        <w:rPr>
          <w:rFonts w:eastAsia="Times New Roman" w:cs="Times New Roman"/>
          <w:color w:val="000000"/>
          <w:sz w:val="20"/>
          <w:lang w:val="en-US" w:eastAsia="en-GB"/>
        </w:rPr>
        <w:t>See PSF Guidelines, Section XX.</w:t>
      </w:r>
    </w:p>
    <w:p w:rsidR="004E16B0" w:rsidRPr="00746190" w:rsidRDefault="004E16B0" w:rsidP="004E16B0">
      <w:pPr>
        <w:pStyle w:val="Fodnoteteks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C91" w:rsidRDefault="004E16B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C91" w:rsidRPr="00953170" w:rsidRDefault="004E16B0" w:rsidP="00953170">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C91" w:rsidRDefault="004E16B0">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8075F"/>
    <w:multiLevelType w:val="hybridMultilevel"/>
    <w:tmpl w:val="EEE20EBC"/>
    <w:lvl w:ilvl="0" w:tplc="B48AB622">
      <w:numFmt w:val="bullet"/>
      <w:lvlText w:val="-"/>
      <w:lvlJc w:val="left"/>
      <w:pPr>
        <w:ind w:left="360" w:hanging="360"/>
      </w:pPr>
      <w:rPr>
        <w:rFonts w:ascii="Calibri" w:eastAsiaTheme="minorHAnsi" w:hAnsi="Calibri" w:cs="Calibri"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 w15:restartNumberingAfterBreak="0">
    <w:nsid w:val="26DD2E79"/>
    <w:multiLevelType w:val="hybridMultilevel"/>
    <w:tmpl w:val="5A002200"/>
    <w:lvl w:ilvl="0" w:tplc="57EC8288">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98F5F8E"/>
    <w:multiLevelType w:val="hybridMultilevel"/>
    <w:tmpl w:val="4DAA0920"/>
    <w:lvl w:ilvl="0" w:tplc="E510546E">
      <w:start w:val="1"/>
      <w:numFmt w:val="bullet"/>
      <w:pStyle w:val="Listeafsni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425F0ADD"/>
    <w:multiLevelType w:val="multilevel"/>
    <w:tmpl w:val="8294C70A"/>
    <w:lvl w:ilvl="0">
      <w:start w:val="1"/>
      <w:numFmt w:val="decimal"/>
      <w:pStyle w:val="Overskrift1"/>
      <w:lvlText w:val="%1"/>
      <w:lvlJc w:val="left"/>
      <w:pPr>
        <w:ind w:left="432" w:hanging="432"/>
      </w:pPr>
      <w:rPr>
        <w:rFonts w:cs="Times New Roman (Body CS)"/>
        <w:b/>
        <w:bCs w:val="0"/>
        <w:sz w:val="26"/>
      </w:rPr>
    </w:lvl>
    <w:lvl w:ilvl="1">
      <w:start w:val="1"/>
      <w:numFmt w:val="decimal"/>
      <w:pStyle w:val="Overskrift2"/>
      <w:lvlText w:val="%1.%2"/>
      <w:lvlJc w:val="left"/>
      <w:pPr>
        <w:ind w:left="6813" w:hanging="576"/>
      </w:pPr>
      <w:rPr>
        <w:rFonts w:cs="Times New Roman (Body CS)"/>
        <w:b/>
        <w:bCs/>
        <w:sz w:val="26"/>
        <w:lang w:val="en-US"/>
      </w:rPr>
    </w:lvl>
    <w:lvl w:ilvl="2">
      <w:start w:val="1"/>
      <w:numFmt w:val="decimal"/>
      <w:pStyle w:val="Overskrift3"/>
      <w:lvlText w:val="%1.%2.%3"/>
      <w:lvlJc w:val="left"/>
      <w:pPr>
        <w:ind w:left="1712" w:hanging="720"/>
      </w:pPr>
      <w:rPr>
        <w:b/>
        <w:bCs w:val="0"/>
        <w:i w:val="0"/>
        <w:iCs w:val="0"/>
        <w:caps w:val="0"/>
        <w:smallCaps w:val="0"/>
        <w:strike w:val="0"/>
        <w:dstrike w:val="0"/>
        <w:outline w:val="0"/>
        <w:shadow w:val="0"/>
        <w:emboss w:val="0"/>
        <w:imprint w:val="0"/>
        <w:noProof w:val="0"/>
        <w:vanish w:val="0"/>
        <w:spacing w:val="0"/>
        <w:kern w:val="0"/>
        <w:position w:val="0"/>
        <w:sz w:val="26"/>
        <w:szCs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6B0"/>
    <w:rsid w:val="004E16B0"/>
    <w:rsid w:val="006D04AA"/>
    <w:rsid w:val="007D298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1E23DB-0F25-44D5-AAF7-7A683DB5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6B0"/>
    <w:pPr>
      <w:jc w:val="both"/>
    </w:pPr>
    <w:rPr>
      <w:rFonts w:ascii="Garamond" w:hAnsi="Garamond" w:cs="Times New Roman (Body CS)"/>
      <w:sz w:val="26"/>
      <w:lang w:val="en-GB"/>
    </w:rPr>
  </w:style>
  <w:style w:type="paragraph" w:styleId="Overskrift1">
    <w:name w:val="heading 1"/>
    <w:basedOn w:val="Normal"/>
    <w:link w:val="Overskrift1Tegn"/>
    <w:uiPriority w:val="1"/>
    <w:qFormat/>
    <w:rsid w:val="004E16B0"/>
    <w:pPr>
      <w:widowControl w:val="0"/>
      <w:numPr>
        <w:numId w:val="1"/>
      </w:numPr>
      <w:autoSpaceDE w:val="0"/>
      <w:autoSpaceDN w:val="0"/>
      <w:spacing w:after="0" w:line="466" w:lineRule="exact"/>
      <w:outlineLvl w:val="0"/>
    </w:pPr>
    <w:rPr>
      <w:rFonts w:eastAsia="Garamond" w:cs="Garamond"/>
      <w:b/>
      <w:bCs/>
      <w:sz w:val="28"/>
      <w:szCs w:val="27"/>
      <w:lang w:val="en-US"/>
    </w:rPr>
  </w:style>
  <w:style w:type="paragraph" w:styleId="Overskrift2">
    <w:name w:val="heading 2"/>
    <w:basedOn w:val="Normal"/>
    <w:link w:val="Overskrift2Tegn"/>
    <w:uiPriority w:val="1"/>
    <w:qFormat/>
    <w:rsid w:val="004E16B0"/>
    <w:pPr>
      <w:widowControl w:val="0"/>
      <w:numPr>
        <w:ilvl w:val="1"/>
        <w:numId w:val="1"/>
      </w:numPr>
      <w:autoSpaceDE w:val="0"/>
      <w:autoSpaceDN w:val="0"/>
      <w:spacing w:after="0" w:line="330" w:lineRule="exact"/>
      <w:ind w:left="576"/>
      <w:outlineLvl w:val="1"/>
    </w:pPr>
    <w:rPr>
      <w:rFonts w:eastAsia="Garamond" w:cs="Garamond"/>
      <w:b/>
      <w:bCs/>
      <w:szCs w:val="26"/>
      <w:lang w:val="en-US"/>
    </w:rPr>
  </w:style>
  <w:style w:type="paragraph" w:styleId="Overskrift3">
    <w:name w:val="heading 3"/>
    <w:basedOn w:val="Normal"/>
    <w:next w:val="Normal"/>
    <w:link w:val="Overskrift3Tegn"/>
    <w:uiPriority w:val="9"/>
    <w:unhideWhenUsed/>
    <w:qFormat/>
    <w:rsid w:val="004E16B0"/>
    <w:pPr>
      <w:keepNext/>
      <w:keepLines/>
      <w:numPr>
        <w:ilvl w:val="2"/>
        <w:numId w:val="1"/>
      </w:numPr>
      <w:spacing w:before="40" w:after="0"/>
      <w:ind w:left="720"/>
      <w:outlineLvl w:val="2"/>
    </w:pPr>
    <w:rPr>
      <w:rFonts w:eastAsiaTheme="majorEastAsia" w:cstheme="majorBidi"/>
      <w:b/>
      <w:sz w:val="24"/>
      <w:szCs w:val="24"/>
    </w:rPr>
  </w:style>
  <w:style w:type="paragraph" w:styleId="Overskrift4">
    <w:name w:val="heading 4"/>
    <w:basedOn w:val="Normal"/>
    <w:next w:val="Normal"/>
    <w:link w:val="Overskrift4Tegn"/>
    <w:uiPriority w:val="9"/>
    <w:unhideWhenUsed/>
    <w:qFormat/>
    <w:rsid w:val="004E16B0"/>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uiPriority w:val="9"/>
    <w:semiHidden/>
    <w:unhideWhenUsed/>
    <w:qFormat/>
    <w:rsid w:val="004E16B0"/>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uiPriority w:val="9"/>
    <w:semiHidden/>
    <w:unhideWhenUsed/>
    <w:qFormat/>
    <w:rsid w:val="004E16B0"/>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qFormat/>
    <w:rsid w:val="004E16B0"/>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qFormat/>
    <w:rsid w:val="004E16B0"/>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4E16B0"/>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4E16B0"/>
    <w:rPr>
      <w:rFonts w:ascii="Garamond" w:eastAsia="Garamond" w:hAnsi="Garamond" w:cs="Garamond"/>
      <w:b/>
      <w:bCs/>
      <w:sz w:val="28"/>
      <w:szCs w:val="27"/>
      <w:lang w:val="en-US"/>
    </w:rPr>
  </w:style>
  <w:style w:type="character" w:customStyle="1" w:styleId="Overskrift2Tegn">
    <w:name w:val="Overskrift 2 Tegn"/>
    <w:basedOn w:val="Standardskrifttypeiafsnit"/>
    <w:link w:val="Overskrift2"/>
    <w:uiPriority w:val="1"/>
    <w:rsid w:val="004E16B0"/>
    <w:rPr>
      <w:rFonts w:ascii="Garamond" w:eastAsia="Garamond" w:hAnsi="Garamond" w:cs="Garamond"/>
      <w:b/>
      <w:bCs/>
      <w:sz w:val="26"/>
      <w:szCs w:val="26"/>
      <w:lang w:val="en-US"/>
    </w:rPr>
  </w:style>
  <w:style w:type="character" w:customStyle="1" w:styleId="Overskrift3Tegn">
    <w:name w:val="Overskrift 3 Tegn"/>
    <w:basedOn w:val="Standardskrifttypeiafsnit"/>
    <w:link w:val="Overskrift3"/>
    <w:uiPriority w:val="9"/>
    <w:rsid w:val="004E16B0"/>
    <w:rPr>
      <w:rFonts w:ascii="Garamond" w:eastAsiaTheme="majorEastAsia" w:hAnsi="Garamond" w:cstheme="majorBidi"/>
      <w:b/>
      <w:sz w:val="24"/>
      <w:szCs w:val="24"/>
      <w:lang w:val="en-GB"/>
    </w:rPr>
  </w:style>
  <w:style w:type="character" w:customStyle="1" w:styleId="Overskrift4Tegn">
    <w:name w:val="Overskrift 4 Tegn"/>
    <w:basedOn w:val="Standardskrifttypeiafsnit"/>
    <w:link w:val="Overskrift4"/>
    <w:uiPriority w:val="9"/>
    <w:rsid w:val="004E16B0"/>
    <w:rPr>
      <w:rFonts w:asciiTheme="majorHAnsi" w:eastAsiaTheme="majorEastAsia" w:hAnsiTheme="majorHAnsi" w:cstheme="majorBidi"/>
      <w:i/>
      <w:iCs/>
      <w:color w:val="365F91" w:themeColor="accent1" w:themeShade="BF"/>
      <w:sz w:val="26"/>
      <w:lang w:val="en-GB"/>
    </w:rPr>
  </w:style>
  <w:style w:type="character" w:customStyle="1" w:styleId="Overskrift5Tegn">
    <w:name w:val="Overskrift 5 Tegn"/>
    <w:basedOn w:val="Standardskrifttypeiafsnit"/>
    <w:link w:val="Overskrift5"/>
    <w:uiPriority w:val="9"/>
    <w:semiHidden/>
    <w:rsid w:val="004E16B0"/>
    <w:rPr>
      <w:rFonts w:asciiTheme="majorHAnsi" w:eastAsiaTheme="majorEastAsia" w:hAnsiTheme="majorHAnsi" w:cstheme="majorBidi"/>
      <w:color w:val="365F91" w:themeColor="accent1" w:themeShade="BF"/>
      <w:sz w:val="26"/>
      <w:lang w:val="en-GB"/>
    </w:rPr>
  </w:style>
  <w:style w:type="character" w:customStyle="1" w:styleId="Overskrift6Tegn">
    <w:name w:val="Overskrift 6 Tegn"/>
    <w:basedOn w:val="Standardskrifttypeiafsnit"/>
    <w:link w:val="Overskrift6"/>
    <w:uiPriority w:val="9"/>
    <w:semiHidden/>
    <w:rsid w:val="004E16B0"/>
    <w:rPr>
      <w:rFonts w:asciiTheme="majorHAnsi" w:eastAsiaTheme="majorEastAsia" w:hAnsiTheme="majorHAnsi" w:cstheme="majorBidi"/>
      <w:color w:val="243F60" w:themeColor="accent1" w:themeShade="7F"/>
      <w:sz w:val="26"/>
      <w:lang w:val="en-GB"/>
    </w:rPr>
  </w:style>
  <w:style w:type="character" w:customStyle="1" w:styleId="Overskrift7Tegn">
    <w:name w:val="Overskrift 7 Tegn"/>
    <w:basedOn w:val="Standardskrifttypeiafsnit"/>
    <w:link w:val="Overskrift7"/>
    <w:uiPriority w:val="9"/>
    <w:semiHidden/>
    <w:rsid w:val="004E16B0"/>
    <w:rPr>
      <w:rFonts w:asciiTheme="majorHAnsi" w:eastAsiaTheme="majorEastAsia" w:hAnsiTheme="majorHAnsi" w:cstheme="majorBidi"/>
      <w:i/>
      <w:iCs/>
      <w:color w:val="243F60" w:themeColor="accent1" w:themeShade="7F"/>
      <w:sz w:val="26"/>
      <w:lang w:val="en-GB"/>
    </w:rPr>
  </w:style>
  <w:style w:type="character" w:customStyle="1" w:styleId="Overskrift8Tegn">
    <w:name w:val="Overskrift 8 Tegn"/>
    <w:basedOn w:val="Standardskrifttypeiafsnit"/>
    <w:link w:val="Overskrift8"/>
    <w:uiPriority w:val="9"/>
    <w:semiHidden/>
    <w:rsid w:val="004E16B0"/>
    <w:rPr>
      <w:rFonts w:asciiTheme="majorHAnsi" w:eastAsiaTheme="majorEastAsia" w:hAnsiTheme="majorHAnsi" w:cstheme="majorBidi"/>
      <w:color w:val="272727" w:themeColor="text1" w:themeTint="D8"/>
      <w:sz w:val="21"/>
      <w:szCs w:val="21"/>
      <w:lang w:val="en-GB"/>
    </w:rPr>
  </w:style>
  <w:style w:type="character" w:customStyle="1" w:styleId="Overskrift9Tegn">
    <w:name w:val="Overskrift 9 Tegn"/>
    <w:basedOn w:val="Standardskrifttypeiafsnit"/>
    <w:link w:val="Overskrift9"/>
    <w:uiPriority w:val="9"/>
    <w:semiHidden/>
    <w:rsid w:val="004E16B0"/>
    <w:rPr>
      <w:rFonts w:asciiTheme="majorHAnsi" w:eastAsiaTheme="majorEastAsia" w:hAnsiTheme="majorHAnsi" w:cstheme="majorBidi"/>
      <w:i/>
      <w:iCs/>
      <w:color w:val="272727" w:themeColor="text1" w:themeTint="D8"/>
      <w:sz w:val="21"/>
      <w:szCs w:val="21"/>
      <w:lang w:val="en-GB"/>
    </w:rPr>
  </w:style>
  <w:style w:type="paragraph" w:styleId="Brdtekst">
    <w:name w:val="Body Text"/>
    <w:basedOn w:val="Normal"/>
    <w:link w:val="BrdtekstTegn"/>
    <w:uiPriority w:val="1"/>
    <w:qFormat/>
    <w:rsid w:val="004E16B0"/>
    <w:pPr>
      <w:widowControl w:val="0"/>
      <w:autoSpaceDE w:val="0"/>
      <w:autoSpaceDN w:val="0"/>
      <w:spacing w:after="0" w:line="240" w:lineRule="auto"/>
    </w:pPr>
    <w:rPr>
      <w:rFonts w:eastAsia="Garamond" w:cs="Garamond"/>
      <w:szCs w:val="26"/>
      <w:lang w:val="en-US"/>
    </w:rPr>
  </w:style>
  <w:style w:type="character" w:customStyle="1" w:styleId="BrdtekstTegn">
    <w:name w:val="Brødtekst Tegn"/>
    <w:basedOn w:val="Standardskrifttypeiafsnit"/>
    <w:link w:val="Brdtekst"/>
    <w:uiPriority w:val="1"/>
    <w:rsid w:val="004E16B0"/>
    <w:rPr>
      <w:rFonts w:ascii="Garamond" w:eastAsia="Garamond" w:hAnsi="Garamond" w:cs="Garamond"/>
      <w:sz w:val="26"/>
      <w:szCs w:val="26"/>
      <w:lang w:val="en-US"/>
    </w:rPr>
  </w:style>
  <w:style w:type="paragraph" w:styleId="Listeafsnit">
    <w:name w:val="List Paragraph"/>
    <w:aliases w:val="List Paragraph (numbered (a)),Lapis Bulleted List,Dot pt,F5 List Paragraph,List Paragraph1,No Spacing1,List Paragraph Char Char Char,Indicator Text,Numbered Para 1,Bullet 1,List Paragraph12,Bullet Points,MAIN CONTENT,List 100s"/>
    <w:basedOn w:val="Normal"/>
    <w:link w:val="ListeafsnitTegn"/>
    <w:uiPriority w:val="34"/>
    <w:qFormat/>
    <w:rsid w:val="004E16B0"/>
    <w:pPr>
      <w:widowControl w:val="0"/>
      <w:numPr>
        <w:numId w:val="2"/>
      </w:numPr>
      <w:autoSpaceDE w:val="0"/>
      <w:autoSpaceDN w:val="0"/>
      <w:spacing w:after="0" w:line="360" w:lineRule="auto"/>
    </w:pPr>
    <w:rPr>
      <w:rFonts w:eastAsia="Garamond" w:cs="Garamond"/>
      <w:szCs w:val="22"/>
      <w:lang w:val="en-US"/>
    </w:rPr>
  </w:style>
  <w:style w:type="paragraph" w:styleId="Sidehoved">
    <w:name w:val="header"/>
    <w:basedOn w:val="Normal"/>
    <w:link w:val="SidehovedTegn"/>
    <w:uiPriority w:val="99"/>
    <w:unhideWhenUsed/>
    <w:rsid w:val="004E16B0"/>
    <w:pPr>
      <w:widowControl w:val="0"/>
      <w:tabs>
        <w:tab w:val="center" w:pos="4513"/>
        <w:tab w:val="right" w:pos="9026"/>
      </w:tabs>
      <w:autoSpaceDE w:val="0"/>
      <w:autoSpaceDN w:val="0"/>
      <w:spacing w:after="0" w:line="240" w:lineRule="auto"/>
    </w:pPr>
    <w:rPr>
      <w:rFonts w:eastAsia="Garamond" w:cs="Garamond"/>
      <w:sz w:val="22"/>
      <w:szCs w:val="22"/>
      <w:lang w:val="en-US"/>
    </w:rPr>
  </w:style>
  <w:style w:type="character" w:customStyle="1" w:styleId="SidehovedTegn">
    <w:name w:val="Sidehoved Tegn"/>
    <w:basedOn w:val="Standardskrifttypeiafsnit"/>
    <w:link w:val="Sidehoved"/>
    <w:uiPriority w:val="99"/>
    <w:rsid w:val="004E16B0"/>
    <w:rPr>
      <w:rFonts w:ascii="Garamond" w:eastAsia="Garamond" w:hAnsi="Garamond" w:cs="Garamond"/>
      <w:sz w:val="22"/>
      <w:szCs w:val="22"/>
      <w:lang w:val="en-US"/>
    </w:rPr>
  </w:style>
  <w:style w:type="paragraph" w:styleId="Fodnotetekst">
    <w:name w:val="footnote text"/>
    <w:basedOn w:val="Normal"/>
    <w:link w:val="FodnotetekstTegn"/>
    <w:uiPriority w:val="99"/>
    <w:unhideWhenUsed/>
    <w:qFormat/>
    <w:rsid w:val="004E16B0"/>
    <w:pPr>
      <w:spacing w:after="0" w:line="240" w:lineRule="auto"/>
    </w:pPr>
    <w:rPr>
      <w:sz w:val="22"/>
    </w:rPr>
  </w:style>
  <w:style w:type="character" w:customStyle="1" w:styleId="FodnotetekstTegn">
    <w:name w:val="Fodnotetekst Tegn"/>
    <w:basedOn w:val="Standardskrifttypeiafsnit"/>
    <w:link w:val="Fodnotetekst"/>
    <w:uiPriority w:val="99"/>
    <w:rsid w:val="004E16B0"/>
    <w:rPr>
      <w:rFonts w:ascii="Garamond" w:hAnsi="Garamond" w:cs="Times New Roman (Body CS)"/>
      <w:sz w:val="22"/>
      <w:lang w:val="en-GB"/>
    </w:rPr>
  </w:style>
  <w:style w:type="character" w:styleId="Fodnotehenvisning">
    <w:name w:val="footnote reference"/>
    <w:aliases w:val="BVI fnr,ftref,Char Char Char Char Carattere Char,Char Char Car Car Char Char Char Char Carattere Char,Char Char Char Char Char Carattere Char,Char Char Car Car Char Char Char Char Char Char Carattere Char Char,Car1,Ref"/>
    <w:basedOn w:val="Standardskrifttypeiafsnit"/>
    <w:link w:val="Char2"/>
    <w:uiPriority w:val="99"/>
    <w:unhideWhenUsed/>
    <w:qFormat/>
    <w:rsid w:val="004E16B0"/>
    <w:rPr>
      <w:vertAlign w:val="superscript"/>
    </w:rPr>
  </w:style>
  <w:style w:type="table" w:styleId="Tabel-Gitter">
    <w:name w:val="Table Grid"/>
    <w:basedOn w:val="Tabel-Normal"/>
    <w:uiPriority w:val="59"/>
    <w:rsid w:val="004E16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afsnitTegn">
    <w:name w:val="Listeafsnit Tegn"/>
    <w:aliases w:val="List Paragraph (numbered (a)) Tegn,Lapis Bulleted List Tegn,Dot pt Tegn,F5 List Paragraph Tegn,List Paragraph1 Tegn,No Spacing1 Tegn,List Paragraph Char Char Char Tegn,Indicator Text Tegn,Numbered Para 1 Tegn,Bullet 1 Tegn"/>
    <w:basedOn w:val="Standardskrifttypeiafsnit"/>
    <w:link w:val="Listeafsnit"/>
    <w:uiPriority w:val="34"/>
    <w:qFormat/>
    <w:locked/>
    <w:rsid w:val="004E16B0"/>
    <w:rPr>
      <w:rFonts w:ascii="Garamond" w:eastAsia="Garamond" w:hAnsi="Garamond" w:cs="Garamond"/>
      <w:sz w:val="26"/>
      <w:szCs w:val="22"/>
      <w:lang w:val="en-US"/>
    </w:rPr>
  </w:style>
  <w:style w:type="paragraph" w:customStyle="1" w:styleId="Char2">
    <w:name w:val="Char2"/>
    <w:basedOn w:val="Normal"/>
    <w:link w:val="Fodnotehenvisning"/>
    <w:uiPriority w:val="99"/>
    <w:rsid w:val="004E16B0"/>
    <w:pPr>
      <w:spacing w:after="160" w:line="240" w:lineRule="exact"/>
    </w:pPr>
    <w:rPr>
      <w:rFonts w:ascii="Verdana" w:hAnsi="Verdana" w:cstheme="minorBidi"/>
      <w:sz w:val="20"/>
      <w:vertAlign w:val="superscript"/>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2611</Characters>
  <Application>Microsoft Office Word</Application>
  <DocSecurity>0</DocSecurity>
  <Lines>21</Lines>
  <Paragraphs>6</Paragraphs>
  <ScaleCrop>false</ScaleCrop>
  <Company>Udenrigsministeriet</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Lok</dc:creator>
  <cp:keywords/>
  <dc:description/>
  <cp:lastModifiedBy>Maria Lok</cp:lastModifiedBy>
  <cp:revision>1</cp:revision>
  <dcterms:created xsi:type="dcterms:W3CDTF">2023-06-08T11:53:00Z</dcterms:created>
  <dcterms:modified xsi:type="dcterms:W3CDTF">2023-06-08T11:53:00Z</dcterms:modified>
</cp:coreProperties>
</file>