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7D" w:rsidRPr="005046E7" w:rsidRDefault="008A747D" w:rsidP="00EB431D">
      <w:pPr>
        <w:pStyle w:val="Overskrift3"/>
        <w:jc w:val="left"/>
        <w:rPr>
          <w:rStyle w:val="Overskrift3Tegn"/>
          <w:b/>
          <w:bCs/>
          <w:lang w:val="en-GB"/>
        </w:rPr>
      </w:pPr>
      <w:bookmarkStart w:id="0" w:name="_Toc362252506"/>
      <w:r w:rsidRPr="005046E7">
        <w:rPr>
          <w:rStyle w:val="Overskrift3Tegn"/>
          <w:b/>
          <w:lang w:val="en-GB"/>
        </w:rPr>
        <w:t xml:space="preserve">Contents of </w:t>
      </w:r>
      <w:r w:rsidR="00FB71DE">
        <w:rPr>
          <w:rStyle w:val="Overskrift3Tegn"/>
          <w:b/>
          <w:lang w:val="en-GB"/>
        </w:rPr>
        <w:t xml:space="preserve">Project </w:t>
      </w:r>
      <w:r w:rsidRPr="005046E7">
        <w:rPr>
          <w:rStyle w:val="Overskrift3Tegn"/>
          <w:b/>
          <w:lang w:val="en-GB"/>
        </w:rPr>
        <w:t>Document</w:t>
      </w:r>
      <w:bookmarkEnd w:id="0"/>
      <w:r w:rsidR="005C4745">
        <w:rPr>
          <w:rStyle w:val="Overskrift3Tegn"/>
          <w:b/>
          <w:lang w:val="en-GB"/>
        </w:rPr>
        <w:t xml:space="preserve"> for single</w:t>
      </w:r>
      <w:r w:rsidR="00FB71DE">
        <w:rPr>
          <w:rStyle w:val="Overskrift3Tegn"/>
          <w:b/>
          <w:lang w:val="en-GB"/>
        </w:rPr>
        <w:t xml:space="preserve">-partner </w:t>
      </w:r>
      <w:r w:rsidR="005C4745">
        <w:rPr>
          <w:rStyle w:val="Overskrift3Tegn"/>
          <w:b/>
          <w:lang w:val="en-GB"/>
        </w:rPr>
        <w:t>pro</w:t>
      </w:r>
      <w:r w:rsidR="00FB71DE">
        <w:rPr>
          <w:rStyle w:val="Overskrift3Tegn"/>
          <w:b/>
          <w:lang w:val="en-GB"/>
        </w:rPr>
        <w:t>jects</w:t>
      </w:r>
      <w:r w:rsidR="005C4745">
        <w:rPr>
          <w:rStyle w:val="Overskrift3Tegn"/>
          <w:b/>
          <w:lang w:val="en-GB"/>
        </w:rPr>
        <w:t xml:space="preserve"> above </w:t>
      </w:r>
      <w:r w:rsidR="00FB71DE">
        <w:rPr>
          <w:rStyle w:val="Overskrift3Tegn"/>
          <w:b/>
          <w:lang w:val="en-GB"/>
        </w:rPr>
        <w:t xml:space="preserve">DKK </w:t>
      </w:r>
      <w:r w:rsidR="000A0ACE">
        <w:rPr>
          <w:rStyle w:val="Overskrift3Tegn"/>
          <w:b/>
          <w:lang w:val="en-GB"/>
        </w:rPr>
        <w:t>10</w:t>
      </w:r>
      <w:r w:rsidR="005C4745">
        <w:rPr>
          <w:rStyle w:val="Overskrift3Tegn"/>
          <w:b/>
          <w:lang w:val="en-GB"/>
        </w:rPr>
        <w:t xml:space="preserve"> million</w:t>
      </w:r>
    </w:p>
    <w:p w:rsidR="00FB71DE" w:rsidRDefault="00FB71DE" w:rsidP="00EB431D">
      <w:pPr>
        <w:spacing w:after="0"/>
        <w:rPr>
          <w:b/>
          <w:lang w:val="en-GB"/>
        </w:rPr>
      </w:pPr>
    </w:p>
    <w:p w:rsidR="008A747D" w:rsidRPr="00ED5E4F" w:rsidRDefault="008A747D" w:rsidP="00EB431D">
      <w:pPr>
        <w:spacing w:after="0"/>
        <w:rPr>
          <w:b/>
          <w:lang w:val="en-GB"/>
        </w:rPr>
      </w:pPr>
      <w:r w:rsidRPr="00ED5E4F">
        <w:rPr>
          <w:b/>
          <w:lang w:val="en-GB"/>
        </w:rPr>
        <w:t xml:space="preserve">Cover page </w:t>
      </w:r>
    </w:p>
    <w:p w:rsidR="008A747D" w:rsidRPr="00ED5E4F" w:rsidRDefault="00BE5F16" w:rsidP="00EB431D">
      <w:pPr>
        <w:spacing w:line="240" w:lineRule="auto"/>
        <w:rPr>
          <w:lang w:val="en-GB"/>
        </w:rPr>
      </w:pPr>
      <w:r>
        <w:rPr>
          <w:lang w:val="en-GB"/>
        </w:rPr>
        <w:t>See Appropriation Cover Note format</w:t>
      </w:r>
      <w:r w:rsidR="00E53408">
        <w:rPr>
          <w:lang w:val="en-GB"/>
        </w:rPr>
        <w:t>.</w:t>
      </w:r>
    </w:p>
    <w:p w:rsidR="008A747D" w:rsidRDefault="008A747D" w:rsidP="00EB431D">
      <w:pPr>
        <w:pStyle w:val="Listeafsnit"/>
        <w:numPr>
          <w:ilvl w:val="0"/>
          <w:numId w:val="3"/>
        </w:numPr>
        <w:spacing w:line="240" w:lineRule="auto"/>
        <w:rPr>
          <w:b/>
          <w:lang w:val="en-GB"/>
        </w:rPr>
      </w:pPr>
      <w:r w:rsidRPr="00B35D71">
        <w:rPr>
          <w:b/>
          <w:lang w:val="en-GB"/>
        </w:rPr>
        <w:t>Introduction</w:t>
      </w:r>
    </w:p>
    <w:p w:rsidR="00AA76D8" w:rsidRDefault="00C47C1C" w:rsidP="00EB431D">
      <w:pPr>
        <w:spacing w:after="0"/>
        <w:rPr>
          <w:lang w:val="en-GB"/>
        </w:rPr>
      </w:pPr>
      <w:r w:rsidRPr="00C47C1C">
        <w:rPr>
          <w:lang w:val="en-GB"/>
        </w:rPr>
        <w:t xml:space="preserve">Brief introduction regarding the strategic </w:t>
      </w:r>
      <w:r w:rsidR="00813127" w:rsidRPr="00C47C1C">
        <w:rPr>
          <w:lang w:val="en-GB"/>
        </w:rPr>
        <w:t>frame, which</w:t>
      </w:r>
      <w:r w:rsidRPr="00C47C1C">
        <w:rPr>
          <w:lang w:val="en-GB"/>
        </w:rPr>
        <w:t xml:space="preserve"> the pro</w:t>
      </w:r>
      <w:r w:rsidR="007D5F8F">
        <w:rPr>
          <w:lang w:val="en-GB"/>
        </w:rPr>
        <w:t>ject</w:t>
      </w:r>
      <w:r w:rsidRPr="00C47C1C">
        <w:rPr>
          <w:lang w:val="en-GB"/>
        </w:rPr>
        <w:t xml:space="preserve"> refers to</w:t>
      </w:r>
      <w:r w:rsidR="00AA76D8" w:rsidRPr="00F8079F">
        <w:rPr>
          <w:lang w:val="en-GB"/>
        </w:rPr>
        <w:t xml:space="preserve"> </w:t>
      </w:r>
    </w:p>
    <w:p w:rsidR="00F8079F" w:rsidRPr="00F8079F" w:rsidRDefault="00F8079F" w:rsidP="00EB431D">
      <w:pPr>
        <w:spacing w:after="0"/>
        <w:rPr>
          <w:b/>
          <w:lang w:val="en-GB"/>
        </w:rPr>
      </w:pPr>
    </w:p>
    <w:p w:rsidR="008F76D1" w:rsidRDefault="00AF1168" w:rsidP="00EB431D">
      <w:pPr>
        <w:pStyle w:val="Listeafsnit"/>
        <w:numPr>
          <w:ilvl w:val="0"/>
          <w:numId w:val="3"/>
        </w:numPr>
        <w:spacing w:line="240" w:lineRule="auto"/>
        <w:rPr>
          <w:b/>
          <w:lang w:val="en-GB"/>
        </w:rPr>
      </w:pPr>
      <w:r>
        <w:rPr>
          <w:b/>
          <w:lang w:val="en-GB"/>
        </w:rPr>
        <w:t>Brief summary of i</w:t>
      </w:r>
      <w:r w:rsidR="008F76D1">
        <w:rPr>
          <w:b/>
          <w:lang w:val="en-GB"/>
        </w:rPr>
        <w:t>ssues to be addressed and institutional context</w:t>
      </w:r>
      <w:r w:rsidR="008F76D1">
        <w:rPr>
          <w:b/>
          <w:lang w:val="en-GB"/>
        </w:rPr>
        <w:br/>
      </w:r>
    </w:p>
    <w:p w:rsidR="008A747D" w:rsidRDefault="00FC71D5" w:rsidP="00EB431D">
      <w:pPr>
        <w:pStyle w:val="Listeafsnit"/>
        <w:numPr>
          <w:ilvl w:val="0"/>
          <w:numId w:val="3"/>
        </w:numPr>
        <w:spacing w:line="240" w:lineRule="auto"/>
        <w:rPr>
          <w:b/>
          <w:lang w:val="en-GB"/>
        </w:rPr>
      </w:pPr>
      <w:r w:rsidRPr="00AC1017">
        <w:rPr>
          <w:b/>
          <w:lang w:val="en-GB"/>
        </w:rPr>
        <w:t>Strategic considerations and justification</w:t>
      </w:r>
    </w:p>
    <w:p w:rsidR="00F8079F" w:rsidRPr="00AF1168" w:rsidRDefault="008A747D" w:rsidP="00FB71DE">
      <w:pPr>
        <w:pStyle w:val="Listeafsnit"/>
        <w:numPr>
          <w:ilvl w:val="0"/>
          <w:numId w:val="15"/>
        </w:numPr>
        <w:spacing w:after="0" w:line="240" w:lineRule="auto"/>
        <w:rPr>
          <w:lang w:val="en-GB"/>
        </w:rPr>
      </w:pPr>
      <w:r w:rsidRPr="00AF1168">
        <w:rPr>
          <w:lang w:val="en-GB"/>
        </w:rPr>
        <w:t>Context for the programme and development engagements</w:t>
      </w:r>
      <w:r w:rsidR="00BE5F16" w:rsidRPr="00AF1168">
        <w:rPr>
          <w:lang w:val="en-GB"/>
        </w:rPr>
        <w:t>.</w:t>
      </w:r>
    </w:p>
    <w:p w:rsidR="00C94DC1" w:rsidRDefault="00C94DC1" w:rsidP="00FB71DE">
      <w:pPr>
        <w:pStyle w:val="Listeafsnit"/>
        <w:numPr>
          <w:ilvl w:val="0"/>
          <w:numId w:val="15"/>
        </w:numPr>
        <w:spacing w:after="0" w:line="240" w:lineRule="auto"/>
        <w:rPr>
          <w:lang w:val="en-GB"/>
        </w:rPr>
      </w:pPr>
      <w:r>
        <w:rPr>
          <w:lang w:val="en-GB"/>
        </w:rPr>
        <w:t>Results and learnings from previous cooperation</w:t>
      </w:r>
    </w:p>
    <w:p w:rsidR="00537B2A" w:rsidRPr="00AF1168" w:rsidRDefault="00537B2A" w:rsidP="00FB71DE">
      <w:pPr>
        <w:pStyle w:val="Listeafsnit"/>
        <w:numPr>
          <w:ilvl w:val="0"/>
          <w:numId w:val="15"/>
        </w:numPr>
        <w:spacing w:after="0" w:line="240" w:lineRule="auto"/>
        <w:rPr>
          <w:lang w:val="en-GB"/>
        </w:rPr>
      </w:pPr>
      <w:r w:rsidRPr="00AF1168">
        <w:rPr>
          <w:lang w:val="en-GB"/>
        </w:rPr>
        <w:t xml:space="preserve">Brief </w:t>
      </w:r>
      <w:r w:rsidR="004616DD" w:rsidRPr="00AF1168">
        <w:rPr>
          <w:lang w:val="en-GB"/>
        </w:rPr>
        <w:t>summary</w:t>
      </w:r>
      <w:r w:rsidRPr="00AF1168">
        <w:rPr>
          <w:lang w:val="en-GB"/>
        </w:rPr>
        <w:t xml:space="preserve"> of the national/regional</w:t>
      </w:r>
      <w:r w:rsidR="00655B1F" w:rsidRPr="00AF1168">
        <w:rPr>
          <w:lang w:val="en-GB"/>
        </w:rPr>
        <w:t>/Global</w:t>
      </w:r>
      <w:r w:rsidRPr="00AF1168">
        <w:rPr>
          <w:lang w:val="en-GB"/>
        </w:rPr>
        <w:t xml:space="preserve"> political, social, economic, environmental, humanitarian, security and human rights context </w:t>
      </w:r>
      <w:r w:rsidR="007E441A" w:rsidRPr="00AF1168">
        <w:rPr>
          <w:lang w:val="en-GB"/>
        </w:rPr>
        <w:t xml:space="preserve">and the specific opportunities, challenges and risks </w:t>
      </w:r>
      <w:r w:rsidRPr="00AF1168">
        <w:rPr>
          <w:lang w:val="en-GB"/>
        </w:rPr>
        <w:t>building on the context analysis</w:t>
      </w:r>
      <w:r w:rsidR="0067022D" w:rsidRPr="00AF1168">
        <w:rPr>
          <w:lang w:val="en-GB"/>
        </w:rPr>
        <w:t>.</w:t>
      </w:r>
    </w:p>
    <w:p w:rsidR="008A747D" w:rsidRPr="000944B3" w:rsidRDefault="008A747D" w:rsidP="00EB431D">
      <w:pPr>
        <w:pStyle w:val="Listeafsnit"/>
        <w:numPr>
          <w:ilvl w:val="0"/>
          <w:numId w:val="7"/>
        </w:numPr>
        <w:spacing w:after="0" w:line="240" w:lineRule="auto"/>
        <w:ind w:left="720"/>
        <w:rPr>
          <w:lang w:val="en-GB"/>
        </w:rPr>
      </w:pPr>
      <w:r w:rsidRPr="00ED5E4F">
        <w:rPr>
          <w:lang w:val="en-GB"/>
        </w:rPr>
        <w:t xml:space="preserve">Brief </w:t>
      </w:r>
      <w:r w:rsidR="00B50DAB">
        <w:rPr>
          <w:lang w:val="en-GB"/>
        </w:rPr>
        <w:t>summary</w:t>
      </w:r>
      <w:r w:rsidRPr="00ED5E4F">
        <w:rPr>
          <w:lang w:val="en-GB"/>
        </w:rPr>
        <w:t xml:space="preserve"> of the </w:t>
      </w:r>
      <w:r w:rsidR="00C47C1C">
        <w:rPr>
          <w:lang w:val="en-GB"/>
        </w:rPr>
        <w:t>strategic framework</w:t>
      </w:r>
      <w:r w:rsidRPr="000944B3">
        <w:rPr>
          <w:lang w:val="en-GB"/>
        </w:rPr>
        <w:t xml:space="preserve"> and overall strategic objectives</w:t>
      </w:r>
      <w:r w:rsidR="0067022D">
        <w:rPr>
          <w:lang w:val="en-GB"/>
        </w:rPr>
        <w:t>.</w:t>
      </w:r>
      <w:r w:rsidRPr="000944B3">
        <w:rPr>
          <w:lang w:val="en-GB"/>
        </w:rPr>
        <w:t xml:space="preserve"> </w:t>
      </w:r>
    </w:p>
    <w:p w:rsidR="00B35AFF" w:rsidRPr="00FB71DE" w:rsidRDefault="00B35AFF" w:rsidP="00EB431D">
      <w:pPr>
        <w:pStyle w:val="Listeafsnit"/>
        <w:numPr>
          <w:ilvl w:val="0"/>
          <w:numId w:val="7"/>
        </w:numPr>
        <w:spacing w:after="0" w:line="240" w:lineRule="auto"/>
        <w:ind w:left="720"/>
      </w:pPr>
      <w:r w:rsidRPr="00FB71DE">
        <w:t xml:space="preserve">Key stakeholders </w:t>
      </w:r>
    </w:p>
    <w:p w:rsidR="00E70021" w:rsidRDefault="008A747D" w:rsidP="00EB431D">
      <w:pPr>
        <w:pStyle w:val="Listeafsnit"/>
        <w:numPr>
          <w:ilvl w:val="0"/>
          <w:numId w:val="7"/>
        </w:numPr>
        <w:spacing w:after="0" w:line="240" w:lineRule="auto"/>
        <w:ind w:left="720"/>
        <w:rPr>
          <w:lang w:val="en-GB"/>
        </w:rPr>
      </w:pPr>
      <w:r w:rsidRPr="00ED5E4F">
        <w:rPr>
          <w:lang w:val="en-GB"/>
        </w:rPr>
        <w:t>Adherence to the aid effectiveness agenda</w:t>
      </w:r>
      <w:r w:rsidR="0067022D">
        <w:rPr>
          <w:lang w:val="en-GB"/>
        </w:rPr>
        <w:t>,</w:t>
      </w:r>
      <w:r w:rsidRPr="00ED5E4F">
        <w:rPr>
          <w:lang w:val="en-GB"/>
        </w:rPr>
        <w:t xml:space="preserve"> including alignment to national objectives and partner strategies</w:t>
      </w:r>
      <w:r w:rsidR="00FC5C27">
        <w:rPr>
          <w:lang w:val="en-GB"/>
        </w:rPr>
        <w:t>, and opportunities for working with or through other development partners and multilaterals.</w:t>
      </w:r>
    </w:p>
    <w:p w:rsidR="00F8079F" w:rsidRDefault="00513917" w:rsidP="00EB431D">
      <w:pPr>
        <w:pStyle w:val="Listeafsnit"/>
        <w:numPr>
          <w:ilvl w:val="0"/>
          <w:numId w:val="7"/>
        </w:numPr>
        <w:spacing w:after="0" w:line="240" w:lineRule="auto"/>
        <w:ind w:left="720"/>
        <w:rPr>
          <w:lang w:val="en-GB"/>
        </w:rPr>
      </w:pPr>
      <w:r w:rsidRPr="00E70021">
        <w:rPr>
          <w:lang w:val="en-GB"/>
        </w:rPr>
        <w:t>If relevant, c</w:t>
      </w:r>
      <w:r w:rsidR="007E441A" w:rsidRPr="00E70021">
        <w:rPr>
          <w:lang w:val="en-GB"/>
        </w:rPr>
        <w:t>onsiderations about synergies between humanitarian and development assistance and security and fragility</w:t>
      </w:r>
      <w:r w:rsidR="00683C3C" w:rsidRPr="00E70021">
        <w:rPr>
          <w:lang w:val="en-GB"/>
        </w:rPr>
        <w:t xml:space="preserve"> situation</w:t>
      </w:r>
      <w:r w:rsidR="00F217A8" w:rsidRPr="00E70021">
        <w:rPr>
          <w:lang w:val="en-GB"/>
        </w:rPr>
        <w:t>.</w:t>
      </w:r>
    </w:p>
    <w:p w:rsidR="00087916" w:rsidRDefault="00FC5C27" w:rsidP="00EB431D">
      <w:pPr>
        <w:pStyle w:val="Listeafsnit"/>
        <w:numPr>
          <w:ilvl w:val="0"/>
          <w:numId w:val="7"/>
        </w:numPr>
        <w:spacing w:line="240" w:lineRule="auto"/>
        <w:ind w:left="738"/>
        <w:rPr>
          <w:lang w:val="en-GB"/>
        </w:rPr>
      </w:pPr>
      <w:r w:rsidRPr="00F8079F">
        <w:rPr>
          <w:lang w:val="en-GB"/>
        </w:rPr>
        <w:t>Considerations about</w:t>
      </w:r>
      <w:r w:rsidR="00F85215" w:rsidRPr="00F8079F">
        <w:rPr>
          <w:lang w:val="en-GB"/>
        </w:rPr>
        <w:t xml:space="preserve"> Danish strengths, interest and opportunities for engaging Danish public, private and civil society actors</w:t>
      </w:r>
      <w:r w:rsidR="0067022D" w:rsidRPr="00F8079F">
        <w:rPr>
          <w:lang w:val="en-GB"/>
        </w:rPr>
        <w:t>.</w:t>
      </w:r>
    </w:p>
    <w:p w:rsidR="003C781F" w:rsidRPr="00AF1168" w:rsidRDefault="00E70021" w:rsidP="00DE1BD0">
      <w:pPr>
        <w:pStyle w:val="Listeafsnit"/>
        <w:numPr>
          <w:ilvl w:val="0"/>
          <w:numId w:val="9"/>
        </w:numPr>
        <w:spacing w:line="240" w:lineRule="auto"/>
        <w:ind w:left="738"/>
        <w:rPr>
          <w:lang w:val="en-GB"/>
        </w:rPr>
      </w:pPr>
      <w:r w:rsidRPr="00DE1BD0">
        <w:rPr>
          <w:lang w:val="en-GB"/>
        </w:rPr>
        <w:t xml:space="preserve">Relevance of support in terms of 1. </w:t>
      </w:r>
      <w:r w:rsidR="00CC7EB0" w:rsidRPr="00DE1BD0">
        <w:rPr>
          <w:lang w:val="en-GB"/>
        </w:rPr>
        <w:t xml:space="preserve">Relevance for </w:t>
      </w:r>
      <w:r w:rsidR="00813127" w:rsidRPr="00DE1BD0">
        <w:rPr>
          <w:lang w:val="en-GB"/>
        </w:rPr>
        <w:t xml:space="preserve">the </w:t>
      </w:r>
      <w:r w:rsidR="00CC7EB0" w:rsidRPr="00DE1BD0">
        <w:rPr>
          <w:lang w:val="en-GB"/>
        </w:rPr>
        <w:t xml:space="preserve">issues </w:t>
      </w:r>
      <w:r w:rsidR="00813127" w:rsidRPr="00DE1BD0">
        <w:rPr>
          <w:lang w:val="en-GB"/>
        </w:rPr>
        <w:t>addressed by the programme</w:t>
      </w:r>
      <w:r w:rsidRPr="00DE1BD0">
        <w:rPr>
          <w:lang w:val="en-GB"/>
        </w:rPr>
        <w:t xml:space="preserve">, 2. In relation to </w:t>
      </w:r>
      <w:r w:rsidR="00813127" w:rsidRPr="00AF1168">
        <w:rPr>
          <w:lang w:val="en-GB"/>
        </w:rPr>
        <w:t xml:space="preserve">priorities of </w:t>
      </w:r>
      <w:r w:rsidRPr="00AF1168">
        <w:rPr>
          <w:lang w:val="en-GB"/>
        </w:rPr>
        <w:t>counterpart</w:t>
      </w:r>
      <w:r w:rsidR="00813127" w:rsidRPr="00AF1168">
        <w:rPr>
          <w:lang w:val="en-GB"/>
        </w:rPr>
        <w:t>s</w:t>
      </w:r>
      <w:r w:rsidRPr="00AF1168">
        <w:rPr>
          <w:lang w:val="en-GB"/>
        </w:rPr>
        <w:t xml:space="preserve">, 3. For </w:t>
      </w:r>
      <w:r w:rsidR="00813127" w:rsidRPr="00AF1168">
        <w:rPr>
          <w:lang w:val="en-GB"/>
        </w:rPr>
        <w:t>Denmark’s</w:t>
      </w:r>
      <w:r w:rsidRPr="00AF1168">
        <w:rPr>
          <w:lang w:val="en-GB"/>
        </w:rPr>
        <w:t xml:space="preserve"> priorities</w:t>
      </w:r>
      <w:r w:rsidR="008A747D" w:rsidRPr="00AF1168">
        <w:rPr>
          <w:lang w:val="en-GB"/>
        </w:rPr>
        <w:t xml:space="preserve">, </w:t>
      </w:r>
    </w:p>
    <w:p w:rsidR="00A011EB" w:rsidRPr="00DE1BD0" w:rsidRDefault="00E70021" w:rsidP="00DE1BD0">
      <w:pPr>
        <w:pStyle w:val="Listeafsnit"/>
        <w:numPr>
          <w:ilvl w:val="0"/>
          <w:numId w:val="9"/>
        </w:numPr>
        <w:spacing w:line="240" w:lineRule="auto"/>
        <w:ind w:left="738"/>
        <w:rPr>
          <w:lang w:val="en-GB"/>
        </w:rPr>
      </w:pPr>
      <w:r w:rsidRPr="00CC7EB0">
        <w:rPr>
          <w:lang w:val="en-GB"/>
        </w:rPr>
        <w:t>J</w:t>
      </w:r>
      <w:r w:rsidR="008A747D" w:rsidRPr="00CC7EB0">
        <w:rPr>
          <w:lang w:val="en-GB"/>
        </w:rPr>
        <w:t xml:space="preserve">ustification </w:t>
      </w:r>
      <w:r w:rsidR="00CC7EB0" w:rsidRPr="00CC7EB0">
        <w:rPr>
          <w:lang w:val="en-GB"/>
        </w:rPr>
        <w:t xml:space="preserve">of </w:t>
      </w:r>
      <w:r w:rsidR="008A747D" w:rsidRPr="00CC7EB0">
        <w:rPr>
          <w:lang w:val="en-GB"/>
        </w:rPr>
        <w:t>programme design based on the five quality criteria; relevance, impact, effectiveness, efficiency, and sustainability</w:t>
      </w:r>
      <w:r w:rsidR="004F77E2" w:rsidRPr="00CC7EB0">
        <w:rPr>
          <w:lang w:val="en-GB"/>
        </w:rPr>
        <w:t>.</w:t>
      </w:r>
      <w:r w:rsidR="00CC7EB0" w:rsidRPr="00CC7EB0">
        <w:rPr>
          <w:lang w:val="en-GB"/>
        </w:rPr>
        <w:t xml:space="preserve"> This includes</w:t>
      </w:r>
      <w:r w:rsidR="00DE1BD0">
        <w:rPr>
          <w:lang w:val="en-GB"/>
        </w:rPr>
        <w:t>:</w:t>
      </w:r>
      <w:r w:rsidR="00CC7EB0" w:rsidRPr="00DE1BD0">
        <w:rPr>
          <w:lang w:val="en-GB"/>
        </w:rPr>
        <w:t xml:space="preserve"> </w:t>
      </w:r>
      <w:r w:rsidR="00C7255B">
        <w:rPr>
          <w:lang w:val="en-GB"/>
        </w:rPr>
        <w:t xml:space="preserve">justification of the </w:t>
      </w:r>
      <w:r w:rsidR="00CC7EB0" w:rsidRPr="00DE1BD0">
        <w:rPr>
          <w:lang w:val="en-GB"/>
        </w:rPr>
        <w:t>c</w:t>
      </w:r>
      <w:r w:rsidR="00A011EB" w:rsidRPr="00DE1BD0">
        <w:rPr>
          <w:lang w:val="en-GB"/>
        </w:rPr>
        <w:t>hoice of partner</w:t>
      </w:r>
      <w:r w:rsidR="00FB71DE">
        <w:rPr>
          <w:lang w:val="en-GB"/>
        </w:rPr>
        <w:t xml:space="preserve"> </w:t>
      </w:r>
      <w:r w:rsidR="00DE1BD0">
        <w:rPr>
          <w:lang w:val="en-GB"/>
        </w:rPr>
        <w:t>(</w:t>
      </w:r>
      <w:r w:rsidR="00FB71DE">
        <w:rPr>
          <w:lang w:val="en-GB"/>
        </w:rPr>
        <w:t xml:space="preserve">standard </w:t>
      </w:r>
      <w:r w:rsidR="00DE1BD0">
        <w:rPr>
          <w:lang w:val="en-GB"/>
        </w:rPr>
        <w:t xml:space="preserve">annex </w:t>
      </w:r>
      <w:r w:rsidR="00FB71DE">
        <w:rPr>
          <w:lang w:val="en-GB"/>
        </w:rPr>
        <w:t>2</w:t>
      </w:r>
      <w:r w:rsidR="00DE1BD0">
        <w:rPr>
          <w:lang w:val="en-GB"/>
        </w:rPr>
        <w:t>)</w:t>
      </w:r>
      <w:r w:rsidR="00A011EB" w:rsidRPr="00DE1BD0">
        <w:rPr>
          <w:lang w:val="en-GB"/>
        </w:rPr>
        <w:t xml:space="preserve">, </w:t>
      </w:r>
      <w:r w:rsidR="00DE1BD0" w:rsidRPr="00DE1BD0">
        <w:rPr>
          <w:lang w:val="en-GB"/>
        </w:rPr>
        <w:t xml:space="preserve">support </w:t>
      </w:r>
      <w:r w:rsidR="00A011EB" w:rsidRPr="00DE1BD0">
        <w:rPr>
          <w:lang w:val="en-GB"/>
        </w:rPr>
        <w:t>modalities, capacity building and technical assistance to engagement partners.</w:t>
      </w:r>
    </w:p>
    <w:p w:rsidR="00A011EB" w:rsidRDefault="00A011EB" w:rsidP="00EB431D">
      <w:pPr>
        <w:pStyle w:val="Listeafsnit"/>
        <w:spacing w:line="240" w:lineRule="auto"/>
        <w:ind w:left="1458"/>
        <w:rPr>
          <w:lang w:val="en-GB"/>
        </w:rPr>
      </w:pPr>
    </w:p>
    <w:p w:rsidR="00C94DC1" w:rsidRDefault="00C94DC1" w:rsidP="00C94DC1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C94DC1">
        <w:rPr>
          <w:b/>
          <w:lang w:val="en-GB"/>
        </w:rPr>
        <w:t xml:space="preserve">Theory of change and </w:t>
      </w:r>
      <w:bookmarkStart w:id="1" w:name="_GoBack"/>
      <w:bookmarkEnd w:id="1"/>
      <w:r w:rsidRPr="00C94DC1">
        <w:rPr>
          <w:b/>
          <w:lang w:val="en-GB"/>
        </w:rPr>
        <w:t>key assumptions</w:t>
      </w:r>
    </w:p>
    <w:p w:rsidR="00C94DC1" w:rsidRPr="00DB1BDC" w:rsidRDefault="00C94DC1" w:rsidP="00EB431D">
      <w:pPr>
        <w:spacing w:after="0"/>
        <w:rPr>
          <w:lang w:val="en-GB"/>
        </w:rPr>
      </w:pPr>
    </w:p>
    <w:p w:rsidR="005506DE" w:rsidRPr="00F8079F" w:rsidRDefault="004841F1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Pro</w:t>
      </w:r>
      <w:r w:rsidR="00FB71DE">
        <w:rPr>
          <w:b/>
          <w:lang w:val="en-GB"/>
        </w:rPr>
        <w:t>ject</w:t>
      </w:r>
      <w:r w:rsidR="005506DE" w:rsidRPr="00F8079F">
        <w:rPr>
          <w:b/>
          <w:lang w:val="en-GB"/>
        </w:rPr>
        <w:t xml:space="preserve"> Objective</w:t>
      </w:r>
      <w:r w:rsidRPr="00F8079F">
        <w:rPr>
          <w:b/>
          <w:lang w:val="en-GB"/>
        </w:rPr>
        <w:t xml:space="preserve"> and </w:t>
      </w:r>
      <w:r w:rsidR="00B21405">
        <w:rPr>
          <w:b/>
          <w:lang w:val="en-GB"/>
        </w:rPr>
        <w:t>summary of results frame</w:t>
      </w:r>
      <w:r w:rsidRPr="00F8079F">
        <w:rPr>
          <w:b/>
          <w:lang w:val="en-GB"/>
        </w:rPr>
        <w:t xml:space="preserve"> </w:t>
      </w:r>
      <w:r w:rsidR="005506DE" w:rsidRPr="00F8079F">
        <w:rPr>
          <w:b/>
          <w:lang w:val="en-GB"/>
        </w:rPr>
        <w:t xml:space="preserve"> </w:t>
      </w:r>
    </w:p>
    <w:p w:rsidR="005506DE" w:rsidRPr="00A011EB" w:rsidRDefault="005506DE" w:rsidP="00EB431D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A011EB">
        <w:rPr>
          <w:lang w:val="en-GB"/>
        </w:rPr>
        <w:t>The objective(s) of the development cooperation among the parties is [</w:t>
      </w:r>
      <w:r w:rsidRPr="00A011EB">
        <w:rPr>
          <w:i/>
          <w:lang w:val="en-GB"/>
        </w:rPr>
        <w:t>objective from pro</w:t>
      </w:r>
      <w:r w:rsidR="00EB17B2">
        <w:rPr>
          <w:i/>
          <w:lang w:val="en-GB"/>
        </w:rPr>
        <w:t>ject</w:t>
      </w:r>
      <w:r w:rsidRPr="00A011EB">
        <w:rPr>
          <w:i/>
          <w:lang w:val="en-GB"/>
        </w:rPr>
        <w:t xml:space="preserve"> documentation</w:t>
      </w:r>
      <w:r w:rsidRPr="00F8079F">
        <w:rPr>
          <w:lang w:val="en-GB"/>
        </w:rPr>
        <w:t>].</w:t>
      </w:r>
    </w:p>
    <w:p w:rsidR="005506DE" w:rsidRPr="00A011EB" w:rsidRDefault="005506DE" w:rsidP="00EB431D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A011EB">
        <w:rPr>
          <w:lang w:val="en-GB"/>
        </w:rPr>
        <w:t xml:space="preserve">The </w:t>
      </w:r>
      <w:r w:rsidR="00EB17B2">
        <w:rPr>
          <w:lang w:val="en-GB"/>
        </w:rPr>
        <w:t xml:space="preserve">responsible MFA Unit </w:t>
      </w:r>
      <w:r w:rsidRPr="00A011EB">
        <w:rPr>
          <w:lang w:val="en-GB"/>
        </w:rPr>
        <w:t>will base the actual support on progress attained in the implementation of the engagement as described in the documentation. Progress will be measured through the [</w:t>
      </w:r>
      <w:r w:rsidRPr="00A011EB">
        <w:rPr>
          <w:i/>
          <w:lang w:val="en-GB"/>
        </w:rPr>
        <w:t>Name of implementing partner</w:t>
      </w:r>
      <w:r w:rsidRPr="00A011EB">
        <w:rPr>
          <w:lang w:val="en-GB"/>
        </w:rPr>
        <w:t>]’s monitoring framework.</w:t>
      </w:r>
    </w:p>
    <w:p w:rsidR="005506DE" w:rsidRPr="00A011EB" w:rsidRDefault="005506DE" w:rsidP="00EB431D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A011EB">
        <w:rPr>
          <w:lang w:val="en-GB"/>
        </w:rPr>
        <w:t xml:space="preserve">For Danida’s reporting purposes the following key outcome and output indicators have been selected to document progress: </w:t>
      </w:r>
    </w:p>
    <w:p w:rsidR="00A011EB" w:rsidRPr="00A011EB" w:rsidRDefault="00A011EB" w:rsidP="00EB431D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A011EB">
        <w:rPr>
          <w:lang w:val="en-GB"/>
        </w:rPr>
        <w:t xml:space="preserve">Results framework, including outcome indicators. </w:t>
      </w:r>
    </w:p>
    <w:p w:rsidR="004841F1" w:rsidRDefault="004841F1" w:rsidP="00EB431D">
      <w:pPr>
        <w:spacing w:after="0"/>
        <w:rPr>
          <w:lang w:val="en-GB"/>
        </w:rPr>
      </w:pPr>
    </w:p>
    <w:p w:rsidR="00A011EB" w:rsidRPr="0064483F" w:rsidRDefault="00A011EB" w:rsidP="00EB431D">
      <w:pPr>
        <w:spacing w:after="0"/>
        <w:rPr>
          <w:i/>
          <w:lang w:val="en-GB"/>
        </w:rPr>
      </w:pPr>
    </w:p>
    <w:p w:rsidR="005506DE" w:rsidRPr="00F8079F" w:rsidRDefault="005506DE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lastRenderedPageBreak/>
        <w:t>Inputs/budget</w:t>
      </w:r>
    </w:p>
    <w:p w:rsidR="008E1AF0" w:rsidRPr="008E1AF0" w:rsidRDefault="005506DE" w:rsidP="00FB71DE">
      <w:pPr>
        <w:pStyle w:val="Listeafsnit"/>
        <w:numPr>
          <w:ilvl w:val="0"/>
          <w:numId w:val="16"/>
        </w:numPr>
        <w:rPr>
          <w:lang w:val="en-GB"/>
        </w:rPr>
      </w:pPr>
      <w:r w:rsidRPr="008E1AF0">
        <w:rPr>
          <w:lang w:val="en-GB"/>
        </w:rPr>
        <w:t>[</w:t>
      </w:r>
      <w:r w:rsidRPr="00FB71DE">
        <w:rPr>
          <w:i/>
          <w:lang w:val="en-GB"/>
        </w:rPr>
        <w:t>Budget at output level</w:t>
      </w:r>
      <w:r w:rsidRPr="008E1AF0">
        <w:rPr>
          <w:lang w:val="en-GB"/>
        </w:rPr>
        <w:t xml:space="preserve">. </w:t>
      </w:r>
      <w:r w:rsidRPr="00FB71DE">
        <w:rPr>
          <w:i/>
          <w:lang w:val="en-GB"/>
        </w:rPr>
        <w:t>Budget and supporting text</w:t>
      </w:r>
      <w:r w:rsidRPr="008E1AF0">
        <w:rPr>
          <w:lang w:val="en-GB"/>
        </w:rPr>
        <w:t xml:space="preserve"> </w:t>
      </w:r>
      <w:r w:rsidRPr="00FB71DE">
        <w:rPr>
          <w:i/>
          <w:lang w:val="en-GB"/>
        </w:rPr>
        <w:t>must also reflect inputs from partner and other donors + specific administrative clauses in regard to re-allocation etc.</w:t>
      </w:r>
      <w:r w:rsidRPr="008E1AF0">
        <w:rPr>
          <w:lang w:val="en-GB"/>
        </w:rPr>
        <w:t>]</w:t>
      </w:r>
    </w:p>
    <w:p w:rsidR="007D5F8F" w:rsidRDefault="007D5F8F" w:rsidP="00FB71DE">
      <w:pPr>
        <w:pStyle w:val="Listeafsnit"/>
        <w:numPr>
          <w:ilvl w:val="0"/>
          <w:numId w:val="16"/>
        </w:numPr>
        <w:rPr>
          <w:lang w:val="en-GB"/>
        </w:rPr>
      </w:pPr>
      <w:r w:rsidRPr="008E1AF0">
        <w:rPr>
          <w:lang w:val="en-GB"/>
        </w:rPr>
        <w:t>Include unallocated funds</w:t>
      </w:r>
    </w:p>
    <w:p w:rsidR="00C94DC1" w:rsidRPr="008E1AF0" w:rsidRDefault="00C94DC1" w:rsidP="00C94DC1">
      <w:pPr>
        <w:pStyle w:val="Listeafsnit"/>
        <w:rPr>
          <w:lang w:val="en-GB"/>
        </w:rPr>
      </w:pPr>
    </w:p>
    <w:p w:rsidR="005506DE" w:rsidRPr="00F8079F" w:rsidRDefault="004841F1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 xml:space="preserve">Institutional and </w:t>
      </w:r>
      <w:r w:rsidR="005506DE" w:rsidRPr="00F8079F">
        <w:rPr>
          <w:b/>
          <w:lang w:val="en-GB"/>
        </w:rPr>
        <w:t>Management arrangement</w:t>
      </w:r>
    </w:p>
    <w:p w:rsidR="00B21405" w:rsidRDefault="005506DE" w:rsidP="00EB431D">
      <w:pPr>
        <w:rPr>
          <w:lang w:val="en-GB"/>
        </w:rPr>
      </w:pPr>
      <w:r w:rsidRPr="0064483F">
        <w:rPr>
          <w:lang w:val="en-GB"/>
        </w:rPr>
        <w:t xml:space="preserve">The parties have agreed to the following management arrangement with the aim to ensure adequate dialogue and timely decisions </w:t>
      </w:r>
      <w:r w:rsidR="00813127" w:rsidRPr="0064483F">
        <w:rPr>
          <w:lang w:val="en-GB"/>
        </w:rPr>
        <w:t>about</w:t>
      </w:r>
      <w:r w:rsidRPr="0064483F">
        <w:rPr>
          <w:lang w:val="en-GB"/>
        </w:rPr>
        <w:t xml:space="preserve"> this </w:t>
      </w:r>
      <w:r w:rsidR="00813127">
        <w:rPr>
          <w:lang w:val="en-GB"/>
        </w:rPr>
        <w:t>program</w:t>
      </w:r>
      <w:r w:rsidRPr="0064483F">
        <w:rPr>
          <w:lang w:val="en-GB"/>
        </w:rPr>
        <w:t>.</w:t>
      </w:r>
    </w:p>
    <w:p w:rsidR="005F3513" w:rsidRPr="00EB17B2" w:rsidRDefault="005F3513" w:rsidP="00EB17B2">
      <w:pPr>
        <w:pStyle w:val="Listeafsnit"/>
        <w:numPr>
          <w:ilvl w:val="0"/>
          <w:numId w:val="17"/>
        </w:numPr>
        <w:rPr>
          <w:lang w:val="en-GB"/>
        </w:rPr>
      </w:pPr>
      <w:r w:rsidRPr="00FB71DE">
        <w:rPr>
          <w:lang w:val="en-GB"/>
        </w:rPr>
        <w:t xml:space="preserve">Present the organization and handling of the management of the </w:t>
      </w:r>
      <w:r w:rsidR="00813127" w:rsidRPr="00EB17B2">
        <w:rPr>
          <w:lang w:val="en-GB"/>
        </w:rPr>
        <w:t>programme,</w:t>
      </w:r>
      <w:r w:rsidRPr="00EB17B2">
        <w:rPr>
          <w:lang w:val="en-GB"/>
        </w:rPr>
        <w:t xml:space="preserve"> when relevant, and the mechanisms for programme level dialogue, ongoing QA, risk management and reviews. </w:t>
      </w:r>
    </w:p>
    <w:p w:rsidR="005F3513" w:rsidRPr="00EB17B2" w:rsidRDefault="005F3513" w:rsidP="00EB17B2">
      <w:pPr>
        <w:pStyle w:val="Listeafsnit"/>
        <w:numPr>
          <w:ilvl w:val="0"/>
          <w:numId w:val="17"/>
        </w:numPr>
        <w:spacing w:line="240" w:lineRule="auto"/>
        <w:rPr>
          <w:lang w:val="en-GB"/>
        </w:rPr>
      </w:pPr>
      <w:r w:rsidRPr="00EB17B2">
        <w:rPr>
          <w:lang w:val="en-GB"/>
        </w:rPr>
        <w:t>Summarise anti-corruption measures applied.</w:t>
      </w:r>
    </w:p>
    <w:p w:rsidR="005F3513" w:rsidRPr="00EB17B2" w:rsidRDefault="005F3513" w:rsidP="00EB17B2">
      <w:pPr>
        <w:pStyle w:val="Listeafsnit"/>
        <w:numPr>
          <w:ilvl w:val="0"/>
          <w:numId w:val="17"/>
        </w:numPr>
        <w:spacing w:after="0" w:line="240" w:lineRule="auto"/>
        <w:rPr>
          <w:lang w:val="en-GB"/>
        </w:rPr>
      </w:pPr>
      <w:r w:rsidRPr="00EB17B2">
        <w:rPr>
          <w:lang w:val="en-GB"/>
        </w:rPr>
        <w:t>Summarise the plan for communicating results.</w:t>
      </w:r>
    </w:p>
    <w:p w:rsidR="0052286E" w:rsidRPr="00EB17B2" w:rsidRDefault="0052286E" w:rsidP="00EB431D">
      <w:pPr>
        <w:spacing w:after="0"/>
        <w:rPr>
          <w:lang w:val="en-GB"/>
        </w:rPr>
      </w:pPr>
    </w:p>
    <w:p w:rsidR="005506DE" w:rsidRPr="0064483F" w:rsidRDefault="005506DE" w:rsidP="00EB431D">
      <w:pPr>
        <w:spacing w:after="0"/>
        <w:rPr>
          <w:lang w:val="en-GB"/>
        </w:rPr>
      </w:pPr>
      <w:r w:rsidRPr="00EB17B2">
        <w:rPr>
          <w:lang w:val="en-GB"/>
        </w:rPr>
        <w:t>[</w:t>
      </w:r>
      <w:r w:rsidRPr="00EB17B2">
        <w:rPr>
          <w:i/>
          <w:lang w:val="en-GB"/>
        </w:rPr>
        <w:t>Summary of management arrangement as described in documentation</w:t>
      </w:r>
      <w:r w:rsidRPr="0064483F">
        <w:rPr>
          <w:i/>
          <w:lang w:val="en-GB"/>
        </w:rPr>
        <w:t>. If not applicable, management arrangement should be detailed or annexed as part of agreement documentation. In case of Joint Financial Agreement (JFA), ref</w:t>
      </w:r>
      <w:r>
        <w:rPr>
          <w:i/>
          <w:lang w:val="en-GB"/>
        </w:rPr>
        <w:t>erence is made to JFA agreement</w:t>
      </w:r>
      <w:r w:rsidRPr="0064483F">
        <w:rPr>
          <w:lang w:val="en-GB"/>
        </w:rPr>
        <w:t>]</w:t>
      </w:r>
    </w:p>
    <w:p w:rsidR="005506DE" w:rsidRPr="0064483F" w:rsidRDefault="005506DE" w:rsidP="00EB431D">
      <w:pPr>
        <w:spacing w:after="0"/>
        <w:rPr>
          <w:b/>
          <w:lang w:val="en-GB"/>
        </w:rPr>
      </w:pPr>
    </w:p>
    <w:p w:rsidR="005506DE" w:rsidRPr="00F8079F" w:rsidRDefault="005506DE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Financial Management</w:t>
      </w:r>
      <w:r w:rsidR="004841F1" w:rsidRPr="00F8079F">
        <w:rPr>
          <w:b/>
          <w:lang w:val="en-GB"/>
        </w:rPr>
        <w:t>, planning and reporting</w:t>
      </w:r>
    </w:p>
    <w:p w:rsidR="005506DE" w:rsidRPr="0064483F" w:rsidRDefault="00EB17B2" w:rsidP="00EB431D">
      <w:pPr>
        <w:spacing w:after="0"/>
        <w:rPr>
          <w:i/>
          <w:lang w:val="en-GB"/>
        </w:rPr>
      </w:pPr>
      <w:r w:rsidRPr="00EB17B2" w:rsidDel="00EB17B2">
        <w:rPr>
          <w:lang w:val="en-GB"/>
        </w:rPr>
        <w:t xml:space="preserve"> </w:t>
      </w:r>
      <w:r w:rsidR="005506DE" w:rsidRPr="0064483F">
        <w:rPr>
          <w:i/>
          <w:lang w:val="en-GB"/>
        </w:rPr>
        <w:t>[</w:t>
      </w:r>
      <w:r w:rsidR="005506DE">
        <w:rPr>
          <w:i/>
          <w:lang w:val="en-GB"/>
        </w:rPr>
        <w:t>P</w:t>
      </w:r>
      <w:r w:rsidR="005506DE" w:rsidRPr="0064483F">
        <w:rPr>
          <w:i/>
          <w:lang w:val="en-GB"/>
        </w:rPr>
        <w:t>rocedures and minimum requirement in</w:t>
      </w:r>
      <w:r w:rsidR="00F8079F">
        <w:rPr>
          <w:i/>
          <w:lang w:val="en-GB"/>
        </w:rPr>
        <w:t xml:space="preserve"> </w:t>
      </w:r>
      <w:r w:rsidR="005506DE" w:rsidRPr="0064483F">
        <w:rPr>
          <w:i/>
          <w:lang w:val="en-GB"/>
        </w:rPr>
        <w:t xml:space="preserve">regard to disbursement, partner’s procedures for financial management, procurement, </w:t>
      </w:r>
      <w:r w:rsidR="008E1AF0">
        <w:rPr>
          <w:i/>
          <w:lang w:val="en-GB"/>
        </w:rPr>
        <w:t xml:space="preserve">workplanning and </w:t>
      </w:r>
      <w:r w:rsidR="005506DE" w:rsidRPr="0064483F">
        <w:rPr>
          <w:i/>
          <w:lang w:val="en-GB"/>
        </w:rPr>
        <w:t>progress reports, financial re</w:t>
      </w:r>
      <w:r w:rsidR="005506DE">
        <w:rPr>
          <w:i/>
          <w:lang w:val="en-GB"/>
        </w:rPr>
        <w:t>ports, accounting and auditing.</w:t>
      </w:r>
      <w:r w:rsidR="005506DE" w:rsidRPr="0064483F">
        <w:rPr>
          <w:i/>
          <w:lang w:val="en-GB"/>
        </w:rPr>
        <w:t>]</w:t>
      </w:r>
    </w:p>
    <w:p w:rsidR="00F8079F" w:rsidRPr="00F8079F" w:rsidRDefault="00F8079F" w:rsidP="00EB431D">
      <w:pPr>
        <w:spacing w:after="0"/>
        <w:rPr>
          <w:lang w:val="en-GB"/>
        </w:rPr>
      </w:pPr>
    </w:p>
    <w:p w:rsidR="005506DE" w:rsidRPr="00F8079F" w:rsidRDefault="005506DE" w:rsidP="00EB431D">
      <w:pPr>
        <w:spacing w:after="0"/>
        <w:rPr>
          <w:i/>
          <w:lang w:val="en-GB"/>
        </w:rPr>
      </w:pPr>
      <w:r w:rsidRPr="00F8079F">
        <w:rPr>
          <w:i/>
          <w:lang w:val="en-GB"/>
        </w:rPr>
        <w:t xml:space="preserve">[Agreed procedures and mechanisms for monitoring of progress, and dialogue concerning implementation.] </w:t>
      </w:r>
    </w:p>
    <w:p w:rsidR="005506DE" w:rsidRDefault="005506DE" w:rsidP="00EB431D">
      <w:pPr>
        <w:rPr>
          <w:lang w:val="en-GB"/>
        </w:rPr>
      </w:pPr>
      <w:r>
        <w:rPr>
          <w:lang w:val="en-GB"/>
        </w:rPr>
        <w:t>[</w:t>
      </w:r>
      <w:r w:rsidRPr="00B23D90">
        <w:rPr>
          <w:i/>
          <w:lang w:val="en-GB"/>
        </w:rPr>
        <w:t>Enter as standard text</w:t>
      </w:r>
      <w:r>
        <w:rPr>
          <w:lang w:val="en-GB"/>
        </w:rPr>
        <w:t xml:space="preserve">] The </w:t>
      </w:r>
      <w:r w:rsidR="00EB17B2">
        <w:rPr>
          <w:lang w:val="en-GB"/>
        </w:rPr>
        <w:t xml:space="preserve">responsible MFA unit </w:t>
      </w:r>
      <w:r>
        <w:rPr>
          <w:lang w:val="en-GB"/>
        </w:rPr>
        <w:t>shall have the right to carry out any technical or financial mission that is considered necessary to monitor the implementation of the programme.</w:t>
      </w:r>
    </w:p>
    <w:p w:rsidR="005506DE" w:rsidRDefault="005506DE" w:rsidP="00EB431D">
      <w:pPr>
        <w:rPr>
          <w:lang w:val="en-GB"/>
        </w:rPr>
      </w:pPr>
      <w:r>
        <w:rPr>
          <w:lang w:val="en-GB"/>
        </w:rPr>
        <w:t xml:space="preserve">After the termination of the programme </w:t>
      </w:r>
      <w:r w:rsidR="00813127">
        <w:rPr>
          <w:lang w:val="en-GB"/>
        </w:rPr>
        <w:t>support,</w:t>
      </w:r>
      <w:r>
        <w:rPr>
          <w:lang w:val="en-GB"/>
        </w:rPr>
        <w:t xml:space="preserve"> the D</w:t>
      </w:r>
      <w:r w:rsidR="00393C75">
        <w:rPr>
          <w:lang w:val="en-GB"/>
        </w:rPr>
        <w:t>enmark (responsible institution)</w:t>
      </w:r>
      <w:r>
        <w:rPr>
          <w:lang w:val="en-GB"/>
        </w:rPr>
        <w:t xml:space="preserve"> reserves the right to carry out evaluation in accordance with this article. </w:t>
      </w:r>
    </w:p>
    <w:p w:rsidR="00CC7EB0" w:rsidRPr="00F8079F" w:rsidRDefault="00CC7EB0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Risk Management</w:t>
      </w:r>
    </w:p>
    <w:p w:rsidR="00CC7EB0" w:rsidRDefault="00CC7EB0" w:rsidP="00EB431D">
      <w:pPr>
        <w:rPr>
          <w:b/>
          <w:lang w:val="en-GB"/>
        </w:rPr>
      </w:pPr>
      <w:r w:rsidRPr="00AC1017">
        <w:rPr>
          <w:lang w:val="en-GB"/>
        </w:rPr>
        <w:t xml:space="preserve">Summary of risk analysis and risk response for programmatic and institutional risk factors. </w:t>
      </w:r>
      <w:r w:rsidR="00DD0472">
        <w:rPr>
          <w:lang w:val="en-GB"/>
        </w:rPr>
        <w:t xml:space="preserve"> Describe assumptions made. If relevant describe j</w:t>
      </w:r>
      <w:r w:rsidRPr="00AC1017">
        <w:rPr>
          <w:lang w:val="en-GB"/>
        </w:rPr>
        <w:t xml:space="preserve">oint </w:t>
      </w:r>
      <w:r w:rsidR="00DD0472">
        <w:rPr>
          <w:lang w:val="en-GB"/>
        </w:rPr>
        <w:t xml:space="preserve">risk </w:t>
      </w:r>
      <w:r w:rsidRPr="00AC1017">
        <w:rPr>
          <w:lang w:val="en-GB"/>
        </w:rPr>
        <w:t>management arrangements</w:t>
      </w:r>
      <w:r w:rsidR="00DD0472">
        <w:rPr>
          <w:lang w:val="en-GB"/>
        </w:rPr>
        <w:t xml:space="preserve"> e.g. discussions as part of annual reporting.</w:t>
      </w:r>
      <w:r>
        <w:rPr>
          <w:lang w:val="en-GB"/>
        </w:rPr>
        <w:t xml:space="preserve"> </w:t>
      </w:r>
      <w:r w:rsidR="00DD0472">
        <w:rPr>
          <w:lang w:val="en-GB"/>
        </w:rPr>
        <w:t>Detailed r</w:t>
      </w:r>
      <w:r>
        <w:rPr>
          <w:lang w:val="en-GB"/>
        </w:rPr>
        <w:t>isk matrix in annex</w:t>
      </w:r>
    </w:p>
    <w:p w:rsidR="0052286E" w:rsidRDefault="0052286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p w:rsidR="005F3513" w:rsidRPr="00EB431D" w:rsidRDefault="005F3513" w:rsidP="004E6723">
      <w:pPr>
        <w:spacing w:after="240"/>
        <w:rPr>
          <w:b/>
          <w:sz w:val="28"/>
          <w:szCs w:val="28"/>
          <w:lang w:val="en-GB"/>
        </w:rPr>
      </w:pPr>
      <w:r w:rsidRPr="00EB431D">
        <w:rPr>
          <w:b/>
          <w:sz w:val="28"/>
          <w:szCs w:val="28"/>
          <w:lang w:val="en-GB"/>
        </w:rPr>
        <w:lastRenderedPageBreak/>
        <w:t xml:space="preserve">Annexes: </w:t>
      </w:r>
    </w:p>
    <w:p w:rsidR="00955E0A" w:rsidRDefault="003421A1" w:rsidP="00EB431D">
      <w:pPr>
        <w:spacing w:line="240" w:lineRule="auto"/>
        <w:rPr>
          <w:b/>
          <w:lang w:val="en-GB"/>
        </w:rPr>
      </w:pPr>
      <w:r>
        <w:rPr>
          <w:b/>
          <w:lang w:val="en-GB"/>
        </w:rPr>
        <w:t>Annex 1:</w:t>
      </w:r>
      <w:r w:rsidR="00393C75" w:rsidRPr="00EB431D">
        <w:rPr>
          <w:b/>
          <w:lang w:val="en-GB"/>
        </w:rPr>
        <w:t xml:space="preserve"> </w:t>
      </w:r>
      <w:r w:rsidR="00EB17B2">
        <w:rPr>
          <w:b/>
          <w:lang w:val="en-GB"/>
        </w:rPr>
        <w:t>Context Analysis</w:t>
      </w:r>
    </w:p>
    <w:p w:rsidR="00EB17B2" w:rsidRDefault="00955E0A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 xml:space="preserve">Annex 2: </w:t>
      </w:r>
      <w:r w:rsidR="00EB17B2">
        <w:rPr>
          <w:b/>
          <w:lang w:val="en-GB"/>
        </w:rPr>
        <w:t>Partner</w:t>
      </w:r>
    </w:p>
    <w:p w:rsidR="00955E0A" w:rsidRDefault="00EB17B2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 xml:space="preserve">Annex 3: </w:t>
      </w:r>
      <w:r w:rsidR="003421A1" w:rsidRPr="00EB431D">
        <w:rPr>
          <w:b/>
          <w:lang w:val="en-GB"/>
        </w:rPr>
        <w:t xml:space="preserve">Result </w:t>
      </w:r>
      <w:r w:rsidR="00955E0A">
        <w:rPr>
          <w:b/>
          <w:lang w:val="en-GB"/>
        </w:rPr>
        <w:t>Framework</w:t>
      </w:r>
    </w:p>
    <w:p w:rsidR="00955E0A" w:rsidRDefault="00955E0A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>An</w:t>
      </w:r>
      <w:r w:rsidR="003421A1">
        <w:rPr>
          <w:b/>
          <w:lang w:val="en-GB"/>
        </w:rPr>
        <w:t xml:space="preserve">nex </w:t>
      </w:r>
      <w:r w:rsidR="00EB17B2">
        <w:rPr>
          <w:b/>
          <w:lang w:val="en-GB"/>
        </w:rPr>
        <w:t>4</w:t>
      </w:r>
      <w:r w:rsidR="003421A1">
        <w:rPr>
          <w:b/>
          <w:lang w:val="en-GB"/>
        </w:rPr>
        <w:t xml:space="preserve">: </w:t>
      </w:r>
      <w:r>
        <w:rPr>
          <w:b/>
          <w:lang w:val="en-GB"/>
        </w:rPr>
        <w:t>Budget details</w:t>
      </w:r>
    </w:p>
    <w:p w:rsidR="00393C75" w:rsidRPr="00655B1F" w:rsidRDefault="00EB17B2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>Annex 5</w:t>
      </w:r>
      <w:r w:rsidR="00955E0A">
        <w:rPr>
          <w:b/>
          <w:lang w:val="en-GB"/>
        </w:rPr>
        <w:t xml:space="preserve">: </w:t>
      </w:r>
      <w:r w:rsidR="003421A1" w:rsidRPr="00EB431D">
        <w:rPr>
          <w:b/>
          <w:lang w:val="en-GB"/>
        </w:rPr>
        <w:t xml:space="preserve">Risk Management Matrix </w:t>
      </w:r>
    </w:p>
    <w:p w:rsidR="00EB17B2" w:rsidRDefault="005B6E0B">
      <w:pPr>
        <w:rPr>
          <w:b/>
          <w:lang w:val="en-US"/>
        </w:rPr>
      </w:pPr>
      <w:r w:rsidRPr="00EB17B2">
        <w:rPr>
          <w:b/>
          <w:lang w:val="en-US"/>
        </w:rPr>
        <w:t xml:space="preserve">Annex </w:t>
      </w:r>
      <w:r w:rsidR="00EB17B2">
        <w:rPr>
          <w:b/>
          <w:lang w:val="en-US"/>
        </w:rPr>
        <w:t>6</w:t>
      </w:r>
      <w:r w:rsidRPr="00EB17B2">
        <w:rPr>
          <w:b/>
          <w:lang w:val="en-US"/>
        </w:rPr>
        <w:t xml:space="preserve">: </w:t>
      </w:r>
      <w:r w:rsidR="00EB17B2">
        <w:rPr>
          <w:b/>
          <w:lang w:val="en-US"/>
        </w:rPr>
        <w:t>List of supplementary materials</w:t>
      </w:r>
    </w:p>
    <w:p w:rsidR="00955E0A" w:rsidRDefault="00EB17B2">
      <w:pPr>
        <w:rPr>
          <w:b/>
          <w:lang w:val="en-US"/>
        </w:rPr>
      </w:pPr>
      <w:r>
        <w:rPr>
          <w:b/>
          <w:lang w:val="en-US"/>
        </w:rPr>
        <w:t xml:space="preserve">Annex 7: </w:t>
      </w:r>
      <w:r w:rsidR="00955E0A">
        <w:rPr>
          <w:b/>
          <w:lang w:val="en-US"/>
        </w:rPr>
        <w:t>Plan for communication of results</w:t>
      </w:r>
    </w:p>
    <w:p w:rsidR="005B6E0B" w:rsidRDefault="00955E0A">
      <w:pPr>
        <w:rPr>
          <w:b/>
          <w:lang w:val="en-US"/>
        </w:rPr>
      </w:pPr>
      <w:r>
        <w:rPr>
          <w:b/>
          <w:lang w:val="en-US"/>
        </w:rPr>
        <w:t xml:space="preserve">Annex </w:t>
      </w:r>
      <w:r w:rsidR="00EB17B2">
        <w:rPr>
          <w:b/>
          <w:lang w:val="en-US"/>
        </w:rPr>
        <w:t>8</w:t>
      </w:r>
      <w:r>
        <w:rPr>
          <w:b/>
          <w:lang w:val="en-US"/>
        </w:rPr>
        <w:t>: Proces</w:t>
      </w:r>
      <w:r w:rsidR="00EB17B2">
        <w:rPr>
          <w:b/>
          <w:lang w:val="en-US"/>
        </w:rPr>
        <w:t>s</w:t>
      </w:r>
      <w:r>
        <w:rPr>
          <w:b/>
          <w:lang w:val="en-US"/>
        </w:rPr>
        <w:t xml:space="preserve"> Action Plan for implementation</w:t>
      </w:r>
    </w:p>
    <w:p w:rsidR="00EB17B2" w:rsidRPr="00EB17B2" w:rsidRDefault="00EB17B2">
      <w:pPr>
        <w:rPr>
          <w:b/>
          <w:lang w:val="en-US"/>
        </w:rPr>
      </w:pPr>
      <w:r>
        <w:rPr>
          <w:b/>
          <w:lang w:val="en-US"/>
        </w:rPr>
        <w:t xml:space="preserve">Annex 9: Signed </w:t>
      </w:r>
      <w:r w:rsidR="00C94DC1">
        <w:rPr>
          <w:b/>
          <w:lang w:val="en-US"/>
        </w:rPr>
        <w:t xml:space="preserve">Quality Assurance Checklist (or signed </w:t>
      </w:r>
      <w:r>
        <w:rPr>
          <w:b/>
          <w:lang w:val="en-US"/>
        </w:rPr>
        <w:t xml:space="preserve">table </w:t>
      </w:r>
      <w:r w:rsidR="00D05496">
        <w:rPr>
          <w:b/>
          <w:lang w:val="en-US"/>
        </w:rPr>
        <w:t>of appraisal recommendations and follow-up actions taken</w:t>
      </w:r>
      <w:r w:rsidR="00C94DC1">
        <w:rPr>
          <w:b/>
          <w:lang w:val="en-US"/>
        </w:rPr>
        <w:t xml:space="preserve"> if the appraisal has been conducted by TQS)</w:t>
      </w:r>
    </w:p>
    <w:sectPr w:rsidR="00EB17B2" w:rsidRPr="00EB17B2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02" w:rsidRDefault="00B87002" w:rsidP="00AC1017">
      <w:pPr>
        <w:spacing w:after="0" w:line="240" w:lineRule="auto"/>
      </w:pPr>
      <w:r>
        <w:separator/>
      </w:r>
    </w:p>
  </w:endnote>
  <w:endnote w:type="continuationSeparator" w:id="0">
    <w:p w:rsidR="00B87002" w:rsidRDefault="00B87002" w:rsidP="00AC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84363"/>
      <w:docPartObj>
        <w:docPartGallery w:val="Page Numbers (Bottom of Page)"/>
        <w:docPartUnique/>
      </w:docPartObj>
    </w:sdtPr>
    <w:sdtEndPr/>
    <w:sdtContent>
      <w:p w:rsidR="00AC1017" w:rsidRDefault="00AC101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BE7">
          <w:rPr>
            <w:noProof/>
          </w:rPr>
          <w:t>1</w:t>
        </w:r>
        <w:r>
          <w:fldChar w:fldCharType="end"/>
        </w:r>
      </w:p>
    </w:sdtContent>
  </w:sdt>
  <w:p w:rsidR="00AC1017" w:rsidRDefault="00AC10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02" w:rsidRDefault="00B87002" w:rsidP="00AC1017">
      <w:pPr>
        <w:spacing w:after="0" w:line="240" w:lineRule="auto"/>
      </w:pPr>
      <w:r>
        <w:separator/>
      </w:r>
    </w:p>
  </w:footnote>
  <w:footnote w:type="continuationSeparator" w:id="0">
    <w:p w:rsidR="00B87002" w:rsidRDefault="00B87002" w:rsidP="00AC1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409"/>
    <w:multiLevelType w:val="hybridMultilevel"/>
    <w:tmpl w:val="F8BE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A7E"/>
    <w:multiLevelType w:val="hybridMultilevel"/>
    <w:tmpl w:val="147A1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4FC5"/>
    <w:multiLevelType w:val="hybridMultilevel"/>
    <w:tmpl w:val="D742A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D391F"/>
    <w:multiLevelType w:val="hybridMultilevel"/>
    <w:tmpl w:val="F8CEBBFE"/>
    <w:lvl w:ilvl="0" w:tplc="89DC5BE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E2DDB"/>
    <w:multiLevelType w:val="hybridMultilevel"/>
    <w:tmpl w:val="AAFE61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B2BB8"/>
    <w:multiLevelType w:val="hybridMultilevel"/>
    <w:tmpl w:val="E87EE838"/>
    <w:lvl w:ilvl="0" w:tplc="0406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370451B1"/>
    <w:multiLevelType w:val="hybridMultilevel"/>
    <w:tmpl w:val="9768157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F425C"/>
    <w:multiLevelType w:val="hybridMultilevel"/>
    <w:tmpl w:val="1888830E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204E57"/>
    <w:multiLevelType w:val="hybridMultilevel"/>
    <w:tmpl w:val="30326C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5684D"/>
    <w:multiLevelType w:val="hybridMultilevel"/>
    <w:tmpl w:val="9822F800"/>
    <w:lvl w:ilvl="0" w:tplc="655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B21782"/>
    <w:multiLevelType w:val="hybridMultilevel"/>
    <w:tmpl w:val="31E8F6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9120A"/>
    <w:multiLevelType w:val="hybridMultilevel"/>
    <w:tmpl w:val="54E42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17DA5"/>
    <w:multiLevelType w:val="hybridMultilevel"/>
    <w:tmpl w:val="D4B8254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5647E"/>
    <w:multiLevelType w:val="hybridMultilevel"/>
    <w:tmpl w:val="7482FB5E"/>
    <w:lvl w:ilvl="0" w:tplc="F7B0AC8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106D36"/>
    <w:multiLevelType w:val="hybridMultilevel"/>
    <w:tmpl w:val="396EAC4C"/>
    <w:lvl w:ilvl="0" w:tplc="0406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6" w15:restartNumberingAfterBreak="0">
    <w:nsid w:val="7A0E2FD9"/>
    <w:multiLevelType w:val="hybridMultilevel"/>
    <w:tmpl w:val="68ECA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C0514"/>
    <w:multiLevelType w:val="hybridMultilevel"/>
    <w:tmpl w:val="E68660A2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3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16"/>
  </w:num>
  <w:num w:numId="16">
    <w:abstractNumId w:val="1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16"/>
    <w:rsid w:val="00005465"/>
    <w:rsid w:val="00010300"/>
    <w:rsid w:val="000315E6"/>
    <w:rsid w:val="00034894"/>
    <w:rsid w:val="00041260"/>
    <w:rsid w:val="00052FFF"/>
    <w:rsid w:val="0008620D"/>
    <w:rsid w:val="00087916"/>
    <w:rsid w:val="0009096B"/>
    <w:rsid w:val="000944B3"/>
    <w:rsid w:val="00096AC6"/>
    <w:rsid w:val="000A0ACE"/>
    <w:rsid w:val="000A6FAF"/>
    <w:rsid w:val="000B35D4"/>
    <w:rsid w:val="000B7B40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0C7"/>
    <w:rsid w:val="00142644"/>
    <w:rsid w:val="00143DC5"/>
    <w:rsid w:val="001635C9"/>
    <w:rsid w:val="00182A3C"/>
    <w:rsid w:val="001C76A7"/>
    <w:rsid w:val="00207B57"/>
    <w:rsid w:val="00211D79"/>
    <w:rsid w:val="00217410"/>
    <w:rsid w:val="002305A9"/>
    <w:rsid w:val="002349A1"/>
    <w:rsid w:val="00240DED"/>
    <w:rsid w:val="0024378F"/>
    <w:rsid w:val="002462BA"/>
    <w:rsid w:val="002544CE"/>
    <w:rsid w:val="00263418"/>
    <w:rsid w:val="0027320F"/>
    <w:rsid w:val="00273449"/>
    <w:rsid w:val="002971C4"/>
    <w:rsid w:val="002A07F3"/>
    <w:rsid w:val="002A7462"/>
    <w:rsid w:val="002B3C9F"/>
    <w:rsid w:val="002B42DA"/>
    <w:rsid w:val="002D1531"/>
    <w:rsid w:val="002D175F"/>
    <w:rsid w:val="002D353B"/>
    <w:rsid w:val="002D5C40"/>
    <w:rsid w:val="002E5891"/>
    <w:rsid w:val="002E58AD"/>
    <w:rsid w:val="002F3683"/>
    <w:rsid w:val="002F5307"/>
    <w:rsid w:val="003040D0"/>
    <w:rsid w:val="00312E4F"/>
    <w:rsid w:val="00332DA2"/>
    <w:rsid w:val="003421A1"/>
    <w:rsid w:val="00364CBE"/>
    <w:rsid w:val="00376309"/>
    <w:rsid w:val="003866D7"/>
    <w:rsid w:val="00393C75"/>
    <w:rsid w:val="003A6AC0"/>
    <w:rsid w:val="003C781F"/>
    <w:rsid w:val="003D22A7"/>
    <w:rsid w:val="003D723A"/>
    <w:rsid w:val="003E7B45"/>
    <w:rsid w:val="00411003"/>
    <w:rsid w:val="00412A84"/>
    <w:rsid w:val="004314CE"/>
    <w:rsid w:val="00442697"/>
    <w:rsid w:val="00444A94"/>
    <w:rsid w:val="00455A98"/>
    <w:rsid w:val="004616DD"/>
    <w:rsid w:val="00463203"/>
    <w:rsid w:val="00467041"/>
    <w:rsid w:val="00471458"/>
    <w:rsid w:val="00474A00"/>
    <w:rsid w:val="004841F1"/>
    <w:rsid w:val="00496446"/>
    <w:rsid w:val="004A35EF"/>
    <w:rsid w:val="004A74B6"/>
    <w:rsid w:val="004C1B1E"/>
    <w:rsid w:val="004C7D83"/>
    <w:rsid w:val="004E6723"/>
    <w:rsid w:val="004E6F6E"/>
    <w:rsid w:val="004F6A66"/>
    <w:rsid w:val="004F77E2"/>
    <w:rsid w:val="00503EBE"/>
    <w:rsid w:val="00513917"/>
    <w:rsid w:val="005170AB"/>
    <w:rsid w:val="00521E90"/>
    <w:rsid w:val="005224A4"/>
    <w:rsid w:val="0052286E"/>
    <w:rsid w:val="00530077"/>
    <w:rsid w:val="00537B2A"/>
    <w:rsid w:val="00542881"/>
    <w:rsid w:val="005506DE"/>
    <w:rsid w:val="00567041"/>
    <w:rsid w:val="0056719A"/>
    <w:rsid w:val="005729A7"/>
    <w:rsid w:val="005773A9"/>
    <w:rsid w:val="005B6E0B"/>
    <w:rsid w:val="005C3267"/>
    <w:rsid w:val="005C4745"/>
    <w:rsid w:val="005C6FC0"/>
    <w:rsid w:val="005D400D"/>
    <w:rsid w:val="005F0239"/>
    <w:rsid w:val="005F2887"/>
    <w:rsid w:val="005F3513"/>
    <w:rsid w:val="0060023A"/>
    <w:rsid w:val="006053EA"/>
    <w:rsid w:val="006171D7"/>
    <w:rsid w:val="006171DF"/>
    <w:rsid w:val="00627FE9"/>
    <w:rsid w:val="00633333"/>
    <w:rsid w:val="00641351"/>
    <w:rsid w:val="00642B17"/>
    <w:rsid w:val="00642DC3"/>
    <w:rsid w:val="006457CB"/>
    <w:rsid w:val="00651182"/>
    <w:rsid w:val="00655B1F"/>
    <w:rsid w:val="0067022D"/>
    <w:rsid w:val="00674AB4"/>
    <w:rsid w:val="00683C3C"/>
    <w:rsid w:val="00683EB9"/>
    <w:rsid w:val="00691FB2"/>
    <w:rsid w:val="0069620B"/>
    <w:rsid w:val="006A0778"/>
    <w:rsid w:val="006A1893"/>
    <w:rsid w:val="006A7CCA"/>
    <w:rsid w:val="006B1C61"/>
    <w:rsid w:val="006B4ED5"/>
    <w:rsid w:val="006C00D3"/>
    <w:rsid w:val="006C1925"/>
    <w:rsid w:val="006C7886"/>
    <w:rsid w:val="006D302C"/>
    <w:rsid w:val="006D3267"/>
    <w:rsid w:val="006E4A7A"/>
    <w:rsid w:val="006E6637"/>
    <w:rsid w:val="006F3793"/>
    <w:rsid w:val="007037FC"/>
    <w:rsid w:val="00713112"/>
    <w:rsid w:val="00717344"/>
    <w:rsid w:val="0072347A"/>
    <w:rsid w:val="00727093"/>
    <w:rsid w:val="00743382"/>
    <w:rsid w:val="00750E77"/>
    <w:rsid w:val="007570B8"/>
    <w:rsid w:val="00773BFD"/>
    <w:rsid w:val="007764DB"/>
    <w:rsid w:val="00790F36"/>
    <w:rsid w:val="007A27D0"/>
    <w:rsid w:val="007A2B17"/>
    <w:rsid w:val="007B56EB"/>
    <w:rsid w:val="007C1729"/>
    <w:rsid w:val="007C5896"/>
    <w:rsid w:val="007C6C54"/>
    <w:rsid w:val="007D1847"/>
    <w:rsid w:val="007D5F8F"/>
    <w:rsid w:val="007D6B69"/>
    <w:rsid w:val="007E186A"/>
    <w:rsid w:val="007E1EEA"/>
    <w:rsid w:val="007E1F2C"/>
    <w:rsid w:val="007E441A"/>
    <w:rsid w:val="007F1D48"/>
    <w:rsid w:val="007F3C0B"/>
    <w:rsid w:val="007F46F2"/>
    <w:rsid w:val="00802698"/>
    <w:rsid w:val="00813127"/>
    <w:rsid w:val="00816D8D"/>
    <w:rsid w:val="00830FF3"/>
    <w:rsid w:val="00836532"/>
    <w:rsid w:val="00844886"/>
    <w:rsid w:val="00861CE8"/>
    <w:rsid w:val="00862788"/>
    <w:rsid w:val="008669A9"/>
    <w:rsid w:val="0087619B"/>
    <w:rsid w:val="00876E07"/>
    <w:rsid w:val="00880DF9"/>
    <w:rsid w:val="008A747D"/>
    <w:rsid w:val="008B52E9"/>
    <w:rsid w:val="008C7002"/>
    <w:rsid w:val="008E1AF0"/>
    <w:rsid w:val="008F76D1"/>
    <w:rsid w:val="009019EC"/>
    <w:rsid w:val="00952311"/>
    <w:rsid w:val="00955E0A"/>
    <w:rsid w:val="009622EA"/>
    <w:rsid w:val="0096293A"/>
    <w:rsid w:val="00977CFE"/>
    <w:rsid w:val="009853AE"/>
    <w:rsid w:val="0099285B"/>
    <w:rsid w:val="009A5792"/>
    <w:rsid w:val="009D0128"/>
    <w:rsid w:val="009D2773"/>
    <w:rsid w:val="009D717B"/>
    <w:rsid w:val="009D76FE"/>
    <w:rsid w:val="009F1F0D"/>
    <w:rsid w:val="00A011EB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DDF"/>
    <w:rsid w:val="00AA76D8"/>
    <w:rsid w:val="00AB1D0E"/>
    <w:rsid w:val="00AC1017"/>
    <w:rsid w:val="00AD2F1A"/>
    <w:rsid w:val="00AD78E2"/>
    <w:rsid w:val="00AE1ED0"/>
    <w:rsid w:val="00AE3794"/>
    <w:rsid w:val="00AF1168"/>
    <w:rsid w:val="00B15E9F"/>
    <w:rsid w:val="00B21405"/>
    <w:rsid w:val="00B33310"/>
    <w:rsid w:val="00B35AFF"/>
    <w:rsid w:val="00B44B02"/>
    <w:rsid w:val="00B50DAB"/>
    <w:rsid w:val="00B53F54"/>
    <w:rsid w:val="00B62B6C"/>
    <w:rsid w:val="00B64BE7"/>
    <w:rsid w:val="00B64CC1"/>
    <w:rsid w:val="00B84B8C"/>
    <w:rsid w:val="00B85F2A"/>
    <w:rsid w:val="00B87002"/>
    <w:rsid w:val="00B903B8"/>
    <w:rsid w:val="00B953CA"/>
    <w:rsid w:val="00BA2304"/>
    <w:rsid w:val="00BB1806"/>
    <w:rsid w:val="00BB27F3"/>
    <w:rsid w:val="00BB46A4"/>
    <w:rsid w:val="00BC7AE9"/>
    <w:rsid w:val="00BD12AB"/>
    <w:rsid w:val="00BD309D"/>
    <w:rsid w:val="00BE5F16"/>
    <w:rsid w:val="00BF17C7"/>
    <w:rsid w:val="00C163A8"/>
    <w:rsid w:val="00C1708A"/>
    <w:rsid w:val="00C1738F"/>
    <w:rsid w:val="00C47C1C"/>
    <w:rsid w:val="00C70987"/>
    <w:rsid w:val="00C7255B"/>
    <w:rsid w:val="00C87468"/>
    <w:rsid w:val="00C94DC1"/>
    <w:rsid w:val="00CB0024"/>
    <w:rsid w:val="00CC0B37"/>
    <w:rsid w:val="00CC7EB0"/>
    <w:rsid w:val="00CE2E35"/>
    <w:rsid w:val="00CE4C28"/>
    <w:rsid w:val="00CF10AF"/>
    <w:rsid w:val="00D05496"/>
    <w:rsid w:val="00D10CC5"/>
    <w:rsid w:val="00D1183F"/>
    <w:rsid w:val="00D208EB"/>
    <w:rsid w:val="00D25823"/>
    <w:rsid w:val="00D3073C"/>
    <w:rsid w:val="00D366EC"/>
    <w:rsid w:val="00D4121B"/>
    <w:rsid w:val="00D44C4D"/>
    <w:rsid w:val="00D47AA2"/>
    <w:rsid w:val="00D7174A"/>
    <w:rsid w:val="00D856AE"/>
    <w:rsid w:val="00DA1F65"/>
    <w:rsid w:val="00DA7A9E"/>
    <w:rsid w:val="00DB2A19"/>
    <w:rsid w:val="00DC3A7F"/>
    <w:rsid w:val="00DD0472"/>
    <w:rsid w:val="00DD212D"/>
    <w:rsid w:val="00DD5896"/>
    <w:rsid w:val="00DE1BD0"/>
    <w:rsid w:val="00DF2D32"/>
    <w:rsid w:val="00DF397E"/>
    <w:rsid w:val="00E11C4B"/>
    <w:rsid w:val="00E32DA3"/>
    <w:rsid w:val="00E4248B"/>
    <w:rsid w:val="00E53408"/>
    <w:rsid w:val="00E552C8"/>
    <w:rsid w:val="00E70021"/>
    <w:rsid w:val="00E80F3E"/>
    <w:rsid w:val="00E91019"/>
    <w:rsid w:val="00E93D83"/>
    <w:rsid w:val="00EB17B2"/>
    <w:rsid w:val="00EB2D21"/>
    <w:rsid w:val="00EB431D"/>
    <w:rsid w:val="00EB4712"/>
    <w:rsid w:val="00EF08B6"/>
    <w:rsid w:val="00EF3850"/>
    <w:rsid w:val="00EF3DD9"/>
    <w:rsid w:val="00F0280D"/>
    <w:rsid w:val="00F17675"/>
    <w:rsid w:val="00F217A8"/>
    <w:rsid w:val="00F268D1"/>
    <w:rsid w:val="00F36241"/>
    <w:rsid w:val="00F55E05"/>
    <w:rsid w:val="00F67EA1"/>
    <w:rsid w:val="00F74ABB"/>
    <w:rsid w:val="00F8079F"/>
    <w:rsid w:val="00F83833"/>
    <w:rsid w:val="00F85215"/>
    <w:rsid w:val="00F978A5"/>
    <w:rsid w:val="00FA1891"/>
    <w:rsid w:val="00FB71DE"/>
    <w:rsid w:val="00FC0499"/>
    <w:rsid w:val="00FC5C27"/>
    <w:rsid w:val="00FC71D5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D438"/>
  <w15:docId w15:val="{CF20B5D8-B8DA-4755-8BEB-37C42C0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47D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8A747D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8A747D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A747D"/>
    <w:pPr>
      <w:ind w:left="720"/>
      <w:contextualSpacing/>
    </w:pPr>
  </w:style>
  <w:style w:type="paragraph" w:customStyle="1" w:styleId="Default">
    <w:name w:val="Default"/>
    <w:rsid w:val="00BE5F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49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49A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49A1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49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49A1"/>
    <w:rPr>
      <w:rFonts w:eastAsiaTheme="minorEastAsia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49A1"/>
    <w:rPr>
      <w:rFonts w:ascii="Tahoma" w:eastAsiaTheme="minorEastAsi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5506DE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5506D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1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1017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C1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1017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han\AppData\Local\Microsoft\Windows\Temporary%20Internet%20Files\Content.IE5\4GO0YY45\Tool%20Contents%20of%20Country%20Programme%20Doc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A384-72E9-4406-B2D1-9AFB63C1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 Contents of Country Programme Document</Template>
  <TotalTime>1</TotalTime>
  <Pages>3</Pages>
  <Words>652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Taus Hansen</dc:creator>
  <cp:lastModifiedBy>Frank Rothaus Jensen</cp:lastModifiedBy>
  <cp:revision>2</cp:revision>
  <cp:lastPrinted>2018-01-17T11:48:00Z</cp:lastPrinted>
  <dcterms:created xsi:type="dcterms:W3CDTF">2018-01-17T13:15:00Z</dcterms:created>
  <dcterms:modified xsi:type="dcterms:W3CDTF">2018-01-17T13:15:00Z</dcterms:modified>
</cp:coreProperties>
</file>